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02F" w:rsidRPr="00AD41F0" w:rsidRDefault="0087202F" w:rsidP="0087202F">
      <w:pPr>
        <w:pStyle w:val="1"/>
        <w:spacing w:before="170"/>
        <w:ind w:left="0"/>
        <w:rPr>
          <w:color w:val="337AB7"/>
        </w:rPr>
      </w:pPr>
      <w:r w:rsidRPr="00AD41F0">
        <w:rPr>
          <w:color w:val="337AB7"/>
        </w:rPr>
        <w:t>Effect of curcumin on inflammation, hepatic injury and oxidative stress in a rat model of intrauterine growth retardation</w:t>
      </w:r>
    </w:p>
    <w:p w:rsidR="0087202F" w:rsidRDefault="0087202F" w:rsidP="0087202F">
      <w:pPr>
        <w:pStyle w:val="a5"/>
        <w:spacing w:before="73" w:line="198" w:lineRule="exact"/>
        <w:ind w:left="100" w:right="-58"/>
        <w:rPr>
          <w:rFonts w:ascii="Arial"/>
        </w:rPr>
      </w:pPr>
      <w:r w:rsidRPr="00AD41F0">
        <w:rPr>
          <w:rFonts w:ascii="Arial"/>
        </w:rPr>
        <w:t xml:space="preserve">Jintian He, PhD, </w:t>
      </w:r>
      <w:r>
        <w:rPr>
          <w:rFonts w:ascii="Arial"/>
        </w:rPr>
        <w:t>Nanjing</w:t>
      </w:r>
      <w:r w:rsidRPr="00AD41F0">
        <w:rPr>
          <w:rFonts w:ascii="Arial" w:hint="eastAsia"/>
        </w:rPr>
        <w:t xml:space="preserve"> </w:t>
      </w:r>
      <w:r w:rsidRPr="00AD41F0">
        <w:rPr>
          <w:rFonts w:ascii="Arial"/>
        </w:rPr>
        <w:t>Agricultural University, China</w:t>
      </w:r>
    </w:p>
    <w:p w:rsidR="0087202F" w:rsidRDefault="0087202F" w:rsidP="0087202F">
      <w:pPr>
        <w:pStyle w:val="a5"/>
        <w:spacing w:before="73" w:line="198" w:lineRule="exact"/>
        <w:ind w:left="100" w:right="-58"/>
        <w:rPr>
          <w:rFonts w:ascii="Arial"/>
        </w:rPr>
      </w:pPr>
      <w:r w:rsidRPr="00AD41F0">
        <w:rPr>
          <w:rFonts w:ascii="Arial"/>
        </w:rPr>
        <w:t xml:space="preserve">Yu Niu, PhD, </w:t>
      </w:r>
      <w:r>
        <w:rPr>
          <w:rFonts w:ascii="Arial"/>
        </w:rPr>
        <w:t>Nanjing</w:t>
      </w:r>
      <w:r w:rsidRPr="00AD41F0">
        <w:rPr>
          <w:rFonts w:ascii="Arial" w:hint="eastAsia"/>
        </w:rPr>
        <w:t xml:space="preserve"> </w:t>
      </w:r>
      <w:r w:rsidRPr="00AD41F0">
        <w:rPr>
          <w:rFonts w:ascii="Arial"/>
        </w:rPr>
        <w:t>Agricultural University, China</w:t>
      </w:r>
    </w:p>
    <w:p w:rsidR="0087202F" w:rsidRDefault="0087202F" w:rsidP="0087202F">
      <w:pPr>
        <w:pStyle w:val="a5"/>
        <w:spacing w:before="73" w:line="198" w:lineRule="exact"/>
        <w:ind w:left="100" w:right="-58"/>
        <w:rPr>
          <w:rFonts w:ascii="Arial"/>
        </w:rPr>
      </w:pPr>
      <w:r w:rsidRPr="00AD41F0">
        <w:rPr>
          <w:rFonts w:ascii="Arial"/>
        </w:rPr>
        <w:t xml:space="preserve">Fei Wang, Master, </w:t>
      </w:r>
      <w:r>
        <w:rPr>
          <w:rFonts w:ascii="Arial"/>
        </w:rPr>
        <w:t>Nanjing</w:t>
      </w:r>
      <w:r w:rsidRPr="00AD41F0">
        <w:rPr>
          <w:rFonts w:ascii="Arial" w:hint="eastAsia"/>
        </w:rPr>
        <w:t xml:space="preserve"> </w:t>
      </w:r>
      <w:r w:rsidRPr="00AD41F0">
        <w:rPr>
          <w:rFonts w:ascii="Arial"/>
        </w:rPr>
        <w:t>Agricultural University, China</w:t>
      </w:r>
    </w:p>
    <w:p w:rsidR="0087202F" w:rsidRDefault="0087202F" w:rsidP="0087202F">
      <w:pPr>
        <w:pStyle w:val="a5"/>
        <w:spacing w:before="73" w:line="198" w:lineRule="exact"/>
        <w:ind w:left="100" w:right="-58"/>
        <w:rPr>
          <w:rFonts w:ascii="Arial"/>
        </w:rPr>
      </w:pPr>
      <w:r w:rsidRPr="00AD41F0">
        <w:rPr>
          <w:rFonts w:ascii="Arial"/>
        </w:rPr>
        <w:t xml:space="preserve">Chao Wang, PhD, </w:t>
      </w:r>
      <w:r>
        <w:rPr>
          <w:rFonts w:ascii="Arial"/>
        </w:rPr>
        <w:t>Nanjing</w:t>
      </w:r>
      <w:r w:rsidRPr="00AD41F0">
        <w:rPr>
          <w:rFonts w:ascii="Arial" w:hint="eastAsia"/>
        </w:rPr>
        <w:t xml:space="preserve"> </w:t>
      </w:r>
      <w:r w:rsidRPr="00AD41F0">
        <w:rPr>
          <w:rFonts w:ascii="Arial"/>
        </w:rPr>
        <w:t>Agricultural University, China</w:t>
      </w:r>
    </w:p>
    <w:p w:rsidR="0087202F" w:rsidRDefault="0087202F" w:rsidP="0087202F">
      <w:pPr>
        <w:pStyle w:val="a5"/>
        <w:spacing w:before="73" w:line="198" w:lineRule="exact"/>
        <w:ind w:left="100" w:right="-58"/>
        <w:rPr>
          <w:rFonts w:ascii="Arial"/>
        </w:rPr>
      </w:pPr>
      <w:r w:rsidRPr="00AD41F0">
        <w:rPr>
          <w:rFonts w:ascii="Arial"/>
        </w:rPr>
        <w:t>Tao Cui, Master, Wageningen</w:t>
      </w:r>
      <w:r>
        <w:rPr>
          <w:rFonts w:ascii="Arial"/>
        </w:rPr>
        <w:t xml:space="preserve"> </w:t>
      </w:r>
      <w:r w:rsidRPr="00AD41F0">
        <w:rPr>
          <w:rFonts w:ascii="Arial"/>
        </w:rPr>
        <w:t>University</w:t>
      </w:r>
      <w:r>
        <w:rPr>
          <w:rFonts w:ascii="Arial"/>
        </w:rPr>
        <w:t xml:space="preserve">, Holland </w:t>
      </w:r>
    </w:p>
    <w:p w:rsidR="0087202F" w:rsidRPr="00AD41F0" w:rsidRDefault="0087202F" w:rsidP="0087202F">
      <w:pPr>
        <w:pStyle w:val="a5"/>
        <w:spacing w:before="73" w:line="198" w:lineRule="exact"/>
        <w:ind w:left="100" w:right="-58"/>
        <w:rPr>
          <w:rFonts w:ascii="Arial"/>
        </w:rPr>
      </w:pPr>
      <w:r w:rsidRPr="00AD41F0">
        <w:rPr>
          <w:rFonts w:ascii="Arial"/>
        </w:rPr>
        <w:t>Kaiwen Bai, PhD, Nanjing</w:t>
      </w:r>
      <w:r w:rsidRPr="00AD41F0">
        <w:rPr>
          <w:rFonts w:ascii="Arial" w:hint="eastAsia"/>
        </w:rPr>
        <w:t xml:space="preserve"> </w:t>
      </w:r>
      <w:r w:rsidRPr="00AD41F0">
        <w:rPr>
          <w:rFonts w:ascii="Arial"/>
        </w:rPr>
        <w:t>Agricultural University, China</w:t>
      </w:r>
    </w:p>
    <w:p w:rsidR="0087202F" w:rsidRPr="00AD41F0" w:rsidRDefault="0087202F" w:rsidP="0087202F">
      <w:pPr>
        <w:pStyle w:val="a5"/>
        <w:spacing w:before="73" w:line="198" w:lineRule="exact"/>
        <w:ind w:left="100" w:right="-58"/>
        <w:rPr>
          <w:rFonts w:ascii="Arial"/>
        </w:rPr>
      </w:pPr>
      <w:r w:rsidRPr="00AD41F0">
        <w:rPr>
          <w:rFonts w:ascii="Arial"/>
        </w:rPr>
        <w:t>Jingfei Zhang, PhD, Nanjing</w:t>
      </w:r>
      <w:r w:rsidRPr="00AD41F0">
        <w:rPr>
          <w:rFonts w:ascii="Arial" w:hint="eastAsia"/>
        </w:rPr>
        <w:t xml:space="preserve"> </w:t>
      </w:r>
      <w:r w:rsidRPr="00AD41F0">
        <w:rPr>
          <w:rFonts w:ascii="Arial"/>
        </w:rPr>
        <w:t>Agricultural University, China</w:t>
      </w:r>
    </w:p>
    <w:p w:rsidR="0087202F" w:rsidRPr="00AD41F0" w:rsidRDefault="0087202F" w:rsidP="0087202F">
      <w:pPr>
        <w:pStyle w:val="a5"/>
        <w:spacing w:before="73" w:line="198" w:lineRule="exact"/>
        <w:ind w:left="100" w:right="-58"/>
        <w:rPr>
          <w:rFonts w:ascii="Arial"/>
        </w:rPr>
      </w:pPr>
      <w:r w:rsidRPr="00AD41F0">
        <w:rPr>
          <w:rFonts w:ascii="Arial"/>
        </w:rPr>
        <w:t>Xiang Zhong, PhD, Nanjing</w:t>
      </w:r>
      <w:r w:rsidRPr="00AD41F0">
        <w:rPr>
          <w:rFonts w:ascii="Arial" w:hint="eastAsia"/>
        </w:rPr>
        <w:t xml:space="preserve"> </w:t>
      </w:r>
      <w:r w:rsidRPr="00AD41F0">
        <w:rPr>
          <w:rFonts w:ascii="Arial"/>
        </w:rPr>
        <w:t>Agricultural University, China</w:t>
      </w:r>
    </w:p>
    <w:p w:rsidR="0087202F" w:rsidRPr="00AD41F0" w:rsidRDefault="0087202F" w:rsidP="0087202F">
      <w:pPr>
        <w:pStyle w:val="a5"/>
        <w:spacing w:before="73" w:line="198" w:lineRule="exact"/>
        <w:ind w:left="100" w:right="-58"/>
        <w:rPr>
          <w:rFonts w:ascii="Arial"/>
        </w:rPr>
      </w:pPr>
      <w:r w:rsidRPr="00AD41F0">
        <w:rPr>
          <w:rFonts w:ascii="Arial"/>
        </w:rPr>
        <w:t>Lili Zhang</w:t>
      </w:r>
      <w:r>
        <w:rPr>
          <w:rFonts w:ascii="Arial"/>
        </w:rPr>
        <w:t>,</w:t>
      </w:r>
      <w:r w:rsidRPr="00AD41F0">
        <w:rPr>
          <w:rFonts w:ascii="Arial"/>
        </w:rPr>
        <w:t xml:space="preserve"> PhD, Nanjing</w:t>
      </w:r>
      <w:r w:rsidRPr="00AD41F0">
        <w:rPr>
          <w:rFonts w:ascii="Arial" w:hint="eastAsia"/>
        </w:rPr>
        <w:t xml:space="preserve"> </w:t>
      </w:r>
      <w:r w:rsidRPr="00AD41F0">
        <w:rPr>
          <w:rFonts w:ascii="Arial"/>
        </w:rPr>
        <w:t>Agricultural University, China</w:t>
      </w:r>
    </w:p>
    <w:p w:rsidR="0087202F" w:rsidRDefault="0087202F" w:rsidP="0087202F">
      <w:pPr>
        <w:pStyle w:val="a5"/>
        <w:spacing w:before="73" w:line="198" w:lineRule="exact"/>
        <w:ind w:left="100" w:right="-58"/>
        <w:rPr>
          <w:rFonts w:ascii="Arial"/>
        </w:rPr>
        <w:sectPr w:rsidR="0087202F" w:rsidSect="00C4590A">
          <w:pgSz w:w="11906" w:h="16838"/>
          <w:pgMar w:top="851" w:right="680" w:bottom="1134" w:left="680" w:header="851" w:footer="992" w:gutter="0"/>
          <w:cols w:space="425"/>
          <w:docGrid w:type="lines" w:linePitch="312"/>
        </w:sectPr>
      </w:pPr>
      <w:r w:rsidRPr="00AD41F0">
        <w:rPr>
          <w:rFonts w:ascii="Arial"/>
        </w:rPr>
        <w:t>Tian Wang</w:t>
      </w:r>
      <w:r>
        <w:rPr>
          <w:rFonts w:ascii="Arial"/>
        </w:rPr>
        <w:t>,</w:t>
      </w:r>
      <w:r w:rsidRPr="00AD41F0">
        <w:rPr>
          <w:rFonts w:ascii="Arial"/>
        </w:rPr>
        <w:t xml:space="preserve"> PhD, Nanjing</w:t>
      </w:r>
      <w:r w:rsidRPr="00AD41F0">
        <w:rPr>
          <w:rFonts w:ascii="Arial" w:hint="eastAsia"/>
        </w:rPr>
        <w:t xml:space="preserve"> </w:t>
      </w:r>
      <w:r w:rsidRPr="00AD41F0">
        <w:rPr>
          <w:rFonts w:ascii="Arial"/>
        </w:rPr>
        <w:t>Agricultural University, China</w:t>
      </w:r>
    </w:p>
    <w:p w:rsidR="0087202F" w:rsidRPr="0087202F" w:rsidRDefault="0087202F" w:rsidP="00C4590A">
      <w:pPr>
        <w:pStyle w:val="3"/>
        <w:keepNext w:val="0"/>
        <w:keepLines w:val="0"/>
        <w:spacing w:before="147" w:after="0" w:line="240" w:lineRule="auto"/>
        <w:jc w:val="left"/>
        <w:rPr>
          <w:rFonts w:ascii="Arial" w:eastAsia="Arial" w:hAnsi="Arial" w:cs="Arial"/>
          <w:color w:val="BF5A14"/>
          <w:kern w:val="0"/>
          <w:sz w:val="20"/>
          <w:szCs w:val="20"/>
          <w:lang w:eastAsia="en-US"/>
        </w:rPr>
      </w:pPr>
      <w:r w:rsidRPr="0087202F">
        <w:rPr>
          <w:rFonts w:ascii="Arial" w:eastAsia="Arial" w:hAnsi="Arial" w:cs="Arial"/>
          <w:color w:val="BF5A14"/>
          <w:kern w:val="0"/>
          <w:sz w:val="20"/>
          <w:szCs w:val="20"/>
          <w:lang w:eastAsia="en-US"/>
        </w:rPr>
        <w:lastRenderedPageBreak/>
        <w:t>Abstract</w:t>
      </w:r>
    </w:p>
    <w:p w:rsidR="0087202F" w:rsidRPr="0087202F" w:rsidRDefault="0087202F" w:rsidP="0087202F">
      <w:pPr>
        <w:spacing w:line="281" w:lineRule="auto"/>
        <w:rPr>
          <w:rFonts w:ascii="Tw Cen MT" w:eastAsia="Tw Cen MT" w:hAnsi="Tw Cen MT" w:cs="Tw Cen MT"/>
          <w:kern w:val="0"/>
          <w:sz w:val="18"/>
          <w:szCs w:val="18"/>
          <w:lang w:eastAsia="en-US"/>
        </w:rPr>
      </w:pPr>
      <w:r w:rsidRPr="0087202F">
        <w:rPr>
          <w:rFonts w:ascii="Tw Cen MT" w:eastAsia="Tw Cen MT" w:hAnsi="Tw Cen MT" w:cs="Tw Cen MT"/>
          <w:kern w:val="0"/>
          <w:sz w:val="18"/>
          <w:szCs w:val="18"/>
          <w:lang w:eastAsia="en-US"/>
        </w:rPr>
        <w:t xml:space="preserve">Statement of the Problem: Intrauterine growth retardation (IUGR) has long-term adverse influences upon the body during the early period of life. Curcumin, a natural phenolic compound, has positive effects on the improvement of inflammation, oxidative stress and injury. However, researches underlying effects of curcumin on IUGR are not well characterized. Methodology &amp; Theoretical Orientation: A rat of restricted maternal nutrition was used to create IUGR newborns model. Offspring was weaned onto standard feed pellets until 6 wk of ages. At 6 wk, rats with normal birth weight (NBW) or with IUGR were divided and fed basic diets (NBW and IUGR groups) or fed basic diets supplemented with 400 mg/kg curcumin (NC and IC groups) until 12 wk of ages. Findings: Rats with IUGR showed higher concentrations of tumor necrosis factor </w:t>
      </w:r>
      <w:r>
        <w:rPr>
          <w:rFonts w:ascii="Tw Cen MT" w:eastAsia="Tw Cen MT" w:hAnsi="Tw Cen MT" w:cs="Tw Cen MT"/>
          <w:kern w:val="0"/>
          <w:sz w:val="18"/>
          <w:szCs w:val="18"/>
          <w:lang w:eastAsia="en-US"/>
        </w:rPr>
        <w:sym w:font="Symbol" w:char="F061"/>
      </w:r>
      <w:r w:rsidRPr="0087202F">
        <w:rPr>
          <w:rFonts w:ascii="Tw Cen MT" w:eastAsia="Tw Cen MT" w:hAnsi="Tw Cen MT" w:cs="Tw Cen MT"/>
          <w:kern w:val="0"/>
          <w:sz w:val="18"/>
          <w:szCs w:val="18"/>
          <w:lang w:eastAsia="en-US"/>
        </w:rPr>
        <w:t xml:space="preserve"> (TNF-</w:t>
      </w:r>
      <w:r>
        <w:rPr>
          <w:rFonts w:ascii="Tw Cen MT" w:eastAsia="Tw Cen MT" w:hAnsi="Tw Cen MT" w:cs="Tw Cen MT"/>
          <w:kern w:val="0"/>
          <w:sz w:val="18"/>
          <w:szCs w:val="18"/>
          <w:lang w:eastAsia="en-US"/>
        </w:rPr>
        <w:sym w:font="Symbol" w:char="F061"/>
      </w:r>
      <w:r w:rsidRPr="0087202F">
        <w:rPr>
          <w:rFonts w:ascii="Tw Cen MT" w:eastAsia="Tw Cen MT" w:hAnsi="Tw Cen MT" w:cs="Tw Cen MT"/>
          <w:kern w:val="0"/>
          <w:sz w:val="18"/>
          <w:szCs w:val="18"/>
          <w:lang w:eastAsia="en-US"/>
        </w:rPr>
        <w:t>), interleukin 1</w:t>
      </w:r>
      <w:r w:rsidRPr="0087202F">
        <w:rPr>
          <w:rFonts w:ascii="Calibri" w:eastAsia="Tw Cen MT" w:hAnsi="Calibri" w:cs="Calibri"/>
          <w:kern w:val="0"/>
          <w:sz w:val="18"/>
          <w:szCs w:val="18"/>
          <w:lang w:eastAsia="en-US"/>
        </w:rPr>
        <w:t>β</w:t>
      </w:r>
      <w:r w:rsidRPr="0087202F">
        <w:rPr>
          <w:rFonts w:ascii="Tw Cen MT" w:eastAsia="Tw Cen MT" w:hAnsi="Tw Cen MT" w:cs="Tw Cen MT"/>
          <w:kern w:val="0"/>
          <w:sz w:val="18"/>
          <w:szCs w:val="18"/>
          <w:lang w:eastAsia="en-US"/>
        </w:rPr>
        <w:t xml:space="preserve"> (IL-1</w:t>
      </w:r>
      <w:r w:rsidRPr="0087202F">
        <w:rPr>
          <w:rFonts w:ascii="Calibri" w:eastAsia="Tw Cen MT" w:hAnsi="Calibri" w:cs="Calibri"/>
          <w:kern w:val="0"/>
          <w:sz w:val="18"/>
          <w:szCs w:val="18"/>
          <w:lang w:eastAsia="en-US"/>
        </w:rPr>
        <w:t>β</w:t>
      </w:r>
      <w:r w:rsidRPr="0087202F">
        <w:rPr>
          <w:rFonts w:ascii="Tw Cen MT" w:eastAsia="Tw Cen MT" w:hAnsi="Tw Cen MT" w:cs="Tw Cen MT"/>
          <w:kern w:val="0"/>
          <w:sz w:val="18"/>
          <w:szCs w:val="18"/>
          <w:lang w:eastAsia="en-US"/>
        </w:rPr>
        <w:t>) and interleukin 6 (IL-6), higher activities of aspartate aminotransferase (AST) and alanine aminotransferase (ALT) in the serum, and increased concentrations of malondialdehyde (MDA) and protein carbonyl (PC) in the liver than those of the NBW group. The liver of IUGR rats exhibited lower activity of superoxide dismutase and decreased metabolic efficiency of hepatic glutathione redox cycle as compared with the NBW group. Compared to the IUGR group, dietary curcumin supplementation significantly decreased concentrations of TNF-</w:t>
      </w:r>
      <w:r>
        <w:rPr>
          <w:rFonts w:ascii="Tw Cen MT" w:eastAsia="Tw Cen MT" w:hAnsi="Tw Cen MT" w:cs="Tw Cen MT"/>
          <w:kern w:val="0"/>
          <w:sz w:val="18"/>
          <w:szCs w:val="18"/>
          <w:lang w:eastAsia="en-US"/>
        </w:rPr>
        <w:sym w:font="Symbol" w:char="F061"/>
      </w:r>
      <w:r w:rsidRPr="0087202F">
        <w:rPr>
          <w:rFonts w:ascii="Tw Cen MT" w:eastAsia="Tw Cen MT" w:hAnsi="Tw Cen MT" w:cs="Tw Cen MT"/>
          <w:kern w:val="0"/>
          <w:sz w:val="18"/>
          <w:szCs w:val="18"/>
          <w:lang w:eastAsia="en-US"/>
        </w:rPr>
        <w:t>, IL-1</w:t>
      </w:r>
      <w:r w:rsidRPr="0087202F">
        <w:rPr>
          <w:rFonts w:ascii="Calibri" w:eastAsia="Tw Cen MT" w:hAnsi="Calibri" w:cs="Calibri"/>
          <w:kern w:val="0"/>
          <w:sz w:val="18"/>
          <w:szCs w:val="18"/>
          <w:lang w:eastAsia="en-US"/>
        </w:rPr>
        <w:t>β</w:t>
      </w:r>
      <w:r w:rsidRPr="0087202F">
        <w:rPr>
          <w:rFonts w:ascii="Tw Cen MT" w:eastAsia="Tw Cen MT" w:hAnsi="Tw Cen MT" w:cs="Tw Cen MT"/>
          <w:kern w:val="0"/>
          <w:sz w:val="18"/>
          <w:szCs w:val="18"/>
          <w:lang w:eastAsia="en-US"/>
        </w:rPr>
        <w:t>, IL-6 and activities of AST, ALT in the serum and concentrations of MDA and PC in the liver, and efficiently improved hepatic glutathione redox cycle in the liver of the IC group. These results above were associated with decreased mRNA expressions for NF-</w:t>
      </w:r>
      <w:r w:rsidRPr="0087202F">
        <w:rPr>
          <w:rFonts w:ascii="Calibri" w:eastAsia="Tw Cen MT" w:hAnsi="Calibri" w:cs="Calibri"/>
          <w:kern w:val="0"/>
          <w:sz w:val="18"/>
          <w:szCs w:val="18"/>
          <w:lang w:eastAsia="en-US"/>
        </w:rPr>
        <w:t>κ</w:t>
      </w:r>
      <w:r w:rsidRPr="0087202F">
        <w:rPr>
          <w:rFonts w:ascii="Tw Cen MT" w:eastAsia="Tw Cen MT" w:hAnsi="Tw Cen MT" w:cs="Tw Cen MT"/>
          <w:kern w:val="0"/>
          <w:sz w:val="18"/>
          <w:szCs w:val="18"/>
          <w:lang w:eastAsia="en-US"/>
        </w:rPr>
        <w:t xml:space="preserve">B and JAK/STAT pathway, and increased mRNA expressions for genes involved in Nrf2/ARE pathway in the liver of the IC group as compared to the IUGR group. Conclusion &amp; Significance: In conclusion, </w:t>
      </w:r>
      <w:r w:rsidRPr="0087202F">
        <w:rPr>
          <w:rFonts w:ascii="Tw Cen MT" w:eastAsia="Tw Cen MT" w:hAnsi="Tw Cen MT" w:cs="Tw Cen MT"/>
          <w:kern w:val="0"/>
          <w:sz w:val="18"/>
          <w:szCs w:val="18"/>
          <w:lang w:eastAsia="en-US"/>
        </w:rPr>
        <w:lastRenderedPageBreak/>
        <w:t>maternal undernutrition was shown to decrease birth weight and lead to inflammation, oxidative stress and injury in rats. Curcumin appeared to be beneficial in preventing IUGR induced inflammation, oxidative stress and injury by activating expressions of NF-</w:t>
      </w:r>
      <w:r w:rsidRPr="0087202F">
        <w:rPr>
          <w:rFonts w:ascii="Calibri" w:eastAsia="Tw Cen MT" w:hAnsi="Calibri" w:cs="Calibri"/>
          <w:kern w:val="0"/>
          <w:sz w:val="18"/>
          <w:szCs w:val="18"/>
          <w:lang w:eastAsia="en-US"/>
        </w:rPr>
        <w:t>κ</w:t>
      </w:r>
      <w:r w:rsidRPr="0087202F">
        <w:rPr>
          <w:rFonts w:ascii="Tw Cen MT" w:eastAsia="Tw Cen MT" w:hAnsi="Tw Cen MT" w:cs="Tw Cen MT"/>
          <w:kern w:val="0"/>
          <w:sz w:val="18"/>
          <w:szCs w:val="18"/>
          <w:lang w:eastAsia="en-US"/>
        </w:rPr>
        <w:t>B, JAK/STAT pathway and Nrf2/ARE pathway in the liver.</w:t>
      </w:r>
    </w:p>
    <w:p w:rsidR="0087202F" w:rsidRPr="0087202F" w:rsidRDefault="0087202F" w:rsidP="0087202F">
      <w:pPr>
        <w:ind w:left="283" w:hangingChars="141" w:hanging="283"/>
        <w:rPr>
          <w:rFonts w:ascii="Arial"/>
          <w:b/>
          <w:color w:val="BF5A14"/>
          <w:sz w:val="20"/>
        </w:rPr>
      </w:pPr>
      <w:r w:rsidRPr="0087202F">
        <w:rPr>
          <w:rFonts w:ascii="Arial"/>
          <w:b/>
          <w:color w:val="BF5A14"/>
          <w:sz w:val="20"/>
        </w:rPr>
        <w:t>Recent Publications</w:t>
      </w:r>
    </w:p>
    <w:p w:rsidR="0087202F" w:rsidRPr="0087202F" w:rsidRDefault="0087202F" w:rsidP="0087202F">
      <w:pPr>
        <w:rPr>
          <w:sz w:val="18"/>
          <w:szCs w:val="18"/>
        </w:rPr>
      </w:pPr>
      <w:r w:rsidRPr="0087202F">
        <w:rPr>
          <w:sz w:val="18"/>
          <w:szCs w:val="18"/>
        </w:rPr>
        <w:t>1.</w:t>
      </w:r>
      <w:r w:rsidRPr="0087202F">
        <w:rPr>
          <w:sz w:val="18"/>
          <w:szCs w:val="18"/>
        </w:rPr>
        <w:tab/>
        <w:t>A VA (2010) Intrauterine growth restriction as a potential risk factor for disease onset in adulthood. Journal of Pediatric Endocrinology &amp; Metabolism 23(3):215-224.</w:t>
      </w:r>
    </w:p>
    <w:p w:rsidR="0087202F" w:rsidRPr="0087202F" w:rsidRDefault="0087202F" w:rsidP="0087202F">
      <w:pPr>
        <w:rPr>
          <w:sz w:val="18"/>
          <w:szCs w:val="18"/>
        </w:rPr>
      </w:pPr>
      <w:r w:rsidRPr="0087202F">
        <w:rPr>
          <w:sz w:val="18"/>
          <w:szCs w:val="18"/>
        </w:rPr>
        <w:t>2.</w:t>
      </w:r>
      <w:r w:rsidRPr="0087202F">
        <w:rPr>
          <w:sz w:val="18"/>
          <w:szCs w:val="18"/>
        </w:rPr>
        <w:tab/>
        <w:t>Hay WW (2001) Intrauterine growth restriction. NeoReviews 2(6):e129-e38.</w:t>
      </w:r>
    </w:p>
    <w:p w:rsidR="0087202F" w:rsidRPr="0087202F" w:rsidRDefault="0087202F" w:rsidP="0087202F">
      <w:pPr>
        <w:rPr>
          <w:sz w:val="18"/>
          <w:szCs w:val="18"/>
        </w:rPr>
      </w:pPr>
      <w:r w:rsidRPr="0087202F">
        <w:rPr>
          <w:sz w:val="18"/>
          <w:szCs w:val="18"/>
        </w:rPr>
        <w:t>3.</w:t>
      </w:r>
      <w:r w:rsidRPr="0087202F">
        <w:rPr>
          <w:sz w:val="18"/>
          <w:szCs w:val="18"/>
        </w:rPr>
        <w:tab/>
        <w:t xml:space="preserve">Raghupathy R (2012) Intrauterine growth restriction: cytokine profiles of trophoblast </w:t>
      </w:r>
      <w:r>
        <w:t>antigen-</w:t>
      </w:r>
      <w:r w:rsidRPr="0087202F">
        <w:rPr>
          <w:sz w:val="18"/>
          <w:szCs w:val="18"/>
        </w:rPr>
        <w:t xml:space="preserve">stimulated maternal lymphocytes. Clinical &amp; developmental immunology 734865. </w:t>
      </w:r>
    </w:p>
    <w:p w:rsidR="0087202F" w:rsidRPr="0087202F" w:rsidRDefault="0087202F" w:rsidP="0087202F">
      <w:pPr>
        <w:rPr>
          <w:sz w:val="18"/>
          <w:szCs w:val="18"/>
        </w:rPr>
      </w:pPr>
      <w:r w:rsidRPr="0087202F">
        <w:rPr>
          <w:sz w:val="18"/>
          <w:szCs w:val="18"/>
        </w:rPr>
        <w:t>4.</w:t>
      </w:r>
      <w:r w:rsidRPr="0087202F">
        <w:rPr>
          <w:sz w:val="18"/>
          <w:szCs w:val="18"/>
        </w:rPr>
        <w:tab/>
        <w:t xml:space="preserve">Wang ME (2012) Curcumin protects against thioacetamide-induced hepatic fibrosis by attenuating the inflammatory response and inducing apoptosis of damaged hepatocytes. J Nutr Biochem 23(10):1352-66. </w:t>
      </w:r>
    </w:p>
    <w:p w:rsidR="0087202F" w:rsidRPr="0087202F" w:rsidRDefault="0087202F" w:rsidP="0087202F">
      <w:pPr>
        <w:rPr>
          <w:sz w:val="18"/>
          <w:szCs w:val="18"/>
        </w:rPr>
      </w:pPr>
      <w:r w:rsidRPr="0087202F">
        <w:rPr>
          <w:sz w:val="18"/>
          <w:szCs w:val="18"/>
        </w:rPr>
        <w:t>5.</w:t>
      </w:r>
      <w:r w:rsidRPr="0087202F">
        <w:rPr>
          <w:sz w:val="18"/>
          <w:szCs w:val="18"/>
        </w:rPr>
        <w:tab/>
        <w:t xml:space="preserve">Zhang Jingfei (2014) Curcumin attenuates D-galactosamine/lipopolysaccharide-induced liver injury and mitochondrial dysfunction in mice. Journal of Nutrition 144(8):1211-8. </w:t>
      </w:r>
    </w:p>
    <w:p w:rsidR="0087202F" w:rsidRPr="0087202F" w:rsidRDefault="0087202F" w:rsidP="0087202F">
      <w:pPr>
        <w:rPr>
          <w:sz w:val="18"/>
          <w:szCs w:val="18"/>
        </w:rPr>
      </w:pPr>
      <w:r w:rsidRPr="0087202F">
        <w:rPr>
          <w:sz w:val="18"/>
          <w:szCs w:val="18"/>
        </w:rPr>
        <w:t>6.</w:t>
      </w:r>
      <w:r w:rsidRPr="0087202F">
        <w:rPr>
          <w:sz w:val="18"/>
          <w:szCs w:val="18"/>
        </w:rPr>
        <w:tab/>
        <w:t>Toydemir T (2015) Antioxidative, antiapoptotic, and proliferative effect of curcumin on liver regeneration after partial hepatectomy in rats. Toxicology &amp; Industrial Health 31(2):162-72.</w:t>
      </w:r>
    </w:p>
    <w:p w:rsidR="0087202F" w:rsidRPr="0087202F" w:rsidRDefault="0087202F" w:rsidP="0087202F">
      <w:pPr>
        <w:rPr>
          <w:sz w:val="18"/>
          <w:szCs w:val="18"/>
        </w:rPr>
      </w:pPr>
      <w:r w:rsidRPr="0087202F">
        <w:rPr>
          <w:sz w:val="18"/>
          <w:szCs w:val="18"/>
        </w:rPr>
        <w:t>7.</w:t>
      </w:r>
      <w:r w:rsidRPr="0087202F">
        <w:rPr>
          <w:sz w:val="18"/>
          <w:szCs w:val="18"/>
        </w:rPr>
        <w:tab/>
        <w:t xml:space="preserve">He Jintian (2015) Dietary tributyrin supplementation attenuates insulin resistance and abnormal lipid metabolism in suckling piglets with intrauterine growth retardation. PloS one 10(8):e0136848. </w:t>
      </w:r>
    </w:p>
    <w:p w:rsidR="00223E91" w:rsidRDefault="0087202F" w:rsidP="0087202F">
      <w:pPr>
        <w:rPr>
          <w:sz w:val="18"/>
          <w:szCs w:val="18"/>
        </w:rPr>
        <w:sectPr w:rsidR="00223E91" w:rsidSect="00C4590A">
          <w:type w:val="continuous"/>
          <w:pgSz w:w="11906" w:h="16838"/>
          <w:pgMar w:top="964" w:right="964" w:bottom="1440" w:left="709" w:header="851" w:footer="992" w:gutter="0"/>
          <w:cols w:num="2" w:space="425"/>
          <w:docGrid w:type="lines" w:linePitch="312"/>
        </w:sectPr>
      </w:pPr>
      <w:r w:rsidRPr="0087202F">
        <w:rPr>
          <w:sz w:val="18"/>
          <w:szCs w:val="18"/>
        </w:rPr>
        <w:t>8.</w:t>
      </w:r>
      <w:r w:rsidRPr="0087202F">
        <w:rPr>
          <w:sz w:val="18"/>
          <w:szCs w:val="18"/>
        </w:rPr>
        <w:tab/>
        <w:t>Sahin K (2012) Curcumin ameloriates heat stress via inhibition of oxidative stress and modulation of Nrf2/HO-1 pathway in quail. Food &amp; Chemical Toxicology 50(11):4035-41.</w:t>
      </w:r>
    </w:p>
    <w:p w:rsidR="00D62D53" w:rsidRDefault="00D62D53" w:rsidP="0087202F">
      <w:pPr>
        <w:rPr>
          <w:sz w:val="18"/>
          <w:szCs w:val="18"/>
        </w:rPr>
      </w:pPr>
    </w:p>
    <w:p w:rsidR="00223E91" w:rsidRDefault="00223E91" w:rsidP="0087202F">
      <w:pPr>
        <w:rPr>
          <w:rFonts w:hint="eastAsia"/>
          <w:sz w:val="18"/>
          <w:szCs w:val="18"/>
        </w:rPr>
      </w:pPr>
    </w:p>
    <w:p w:rsidR="00223E91" w:rsidRDefault="00223E91" w:rsidP="0087202F">
      <w:pPr>
        <w:rPr>
          <w:rFonts w:hint="eastAsia"/>
          <w:sz w:val="18"/>
          <w:szCs w:val="18"/>
        </w:rPr>
      </w:pPr>
      <w:r>
        <w:rPr>
          <w:noProof/>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9884</wp:posOffset>
                </wp:positionV>
                <wp:extent cx="4192438" cy="0"/>
                <wp:effectExtent l="0" t="0" r="36830" b="19050"/>
                <wp:wrapNone/>
                <wp:docPr id="2" name="直接连接符 2"/>
                <wp:cNvGraphicFramePr/>
                <a:graphic xmlns:a="http://schemas.openxmlformats.org/drawingml/2006/main">
                  <a:graphicData uri="http://schemas.microsoft.com/office/word/2010/wordprocessingShape">
                    <wps:wsp>
                      <wps:cNvCnPr/>
                      <wps:spPr>
                        <a:xfrm flipV="1">
                          <a:off x="0" y="0"/>
                          <a:ext cx="4192438" cy="0"/>
                        </a:xfrm>
                        <a:prstGeom prst="line">
                          <a:avLst/>
                        </a:prstGeom>
                        <a:ln w="2222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6DA5D9" id="直接连接符 2" o:spid="_x0000_s1026" style="position:absolute;left:0;text-align:left;flip:y;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8pt" to="330.1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" strokecolor="#2e74b5 [2404]" strokeweight="1.75pt">
                <v:stroke joinstyle="miter"/>
                <w10:wrap anchorx="margin"/>
              </v:line>
            </w:pict>
          </mc:Fallback>
        </mc:AlternateContent>
      </w:r>
      <w:r>
        <w:rPr>
          <w:noProof/>
          <w:sz w:val="18"/>
          <w:szCs w:val="18"/>
        </w:rPr>
        <w:drawing>
          <wp:anchor distT="0" distB="0" distL="114300" distR="114300" simplePos="0" relativeHeight="251658240" behindDoc="1" locked="0" layoutInCell="1" allowOverlap="1" wp14:anchorId="0EAC1FBB" wp14:editId="7C49F0B8">
            <wp:simplePos x="0" y="0"/>
            <wp:positionH relativeFrom="margin">
              <wp:posOffset>44390</wp:posOffset>
            </wp:positionH>
            <wp:positionV relativeFrom="paragraph">
              <wp:posOffset>8255</wp:posOffset>
            </wp:positionV>
            <wp:extent cx="560705" cy="671830"/>
            <wp:effectExtent l="0" t="0" r="0" b="0"/>
            <wp:wrapTight wrapText="bothSides">
              <wp:wrapPolygon edited="0">
                <wp:start x="5871" y="0"/>
                <wp:lineTo x="3669" y="2450"/>
                <wp:lineTo x="3669" y="6125"/>
                <wp:lineTo x="5137" y="9800"/>
                <wp:lineTo x="0" y="12862"/>
                <wp:lineTo x="0" y="20824"/>
                <wp:lineTo x="20548" y="20824"/>
                <wp:lineTo x="20548" y="13474"/>
                <wp:lineTo x="15411" y="9800"/>
                <wp:lineTo x="17613" y="6737"/>
                <wp:lineTo x="16879" y="3062"/>
                <wp:lineTo x="13943" y="0"/>
                <wp:lineTo x="5871"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0705" cy="671830"/>
                    </a:xfrm>
                    <a:prstGeom prst="rect">
                      <a:avLst/>
                    </a:prstGeom>
                  </pic:spPr>
                </pic:pic>
              </a:graphicData>
            </a:graphic>
          </wp:anchor>
        </w:drawing>
      </w:r>
    </w:p>
    <w:p w:rsidR="00223E91" w:rsidRDefault="004B39A4" w:rsidP="00585A6A">
      <w:pPr>
        <w:spacing w:line="154" w:lineRule="exact"/>
        <w:ind w:firstLineChars="50" w:firstLine="70"/>
        <w:rPr>
          <w:rFonts w:ascii="Arial Unicode MS" w:eastAsia="Arial Unicode MS" w:hAnsi="Arial Unicode MS" w:cs="Arial Unicode MS"/>
          <w:sz w:val="14"/>
          <w:szCs w:val="14"/>
        </w:rPr>
      </w:pPr>
      <w:r w:rsidRPr="00585A6A">
        <w:rPr>
          <w:rFonts w:ascii="Arial Unicode MS" w:eastAsia="Arial Unicode MS" w:hAnsi="Arial Unicode MS" w:cs="Arial Unicode MS" w:hint="eastAsia"/>
          <w:sz w:val="14"/>
          <w:szCs w:val="14"/>
        </w:rPr>
        <w:t>Jintian He has his expertise in evaluatio</w:t>
      </w:r>
      <w:r w:rsidRPr="00585A6A">
        <w:rPr>
          <w:rFonts w:ascii="Arial Unicode MS" w:eastAsia="Arial Unicode MS" w:hAnsi="Arial Unicode MS" w:cs="Arial Unicode MS"/>
          <w:sz w:val="14"/>
          <w:szCs w:val="14"/>
        </w:rPr>
        <w:t xml:space="preserve">n and passion in proving the health </w:t>
      </w:r>
      <w:r w:rsidR="005A5BD5" w:rsidRPr="00585A6A">
        <w:rPr>
          <w:rFonts w:ascii="Arial Unicode MS" w:eastAsia="Arial Unicode MS" w:hAnsi="Arial Unicode MS" w:cs="Arial Unicode MS"/>
          <w:sz w:val="14"/>
          <w:szCs w:val="14"/>
        </w:rPr>
        <w:t xml:space="preserve">and wellbeing of neonates with intrauterine growth retardation. His previous </w:t>
      </w:r>
      <w:r w:rsidR="0008533B" w:rsidRPr="00585A6A">
        <w:rPr>
          <w:rFonts w:ascii="Arial Unicode MS" w:eastAsia="Arial Unicode MS" w:hAnsi="Arial Unicode MS" w:cs="Arial Unicode MS"/>
          <w:sz w:val="14"/>
          <w:szCs w:val="14"/>
        </w:rPr>
        <w:t>researches on animal model</w:t>
      </w:r>
      <w:r w:rsidR="005A5BD5" w:rsidRPr="00585A6A">
        <w:rPr>
          <w:rFonts w:ascii="Arial Unicode MS" w:eastAsia="Arial Unicode MS" w:hAnsi="Arial Unicode MS" w:cs="Arial Unicode MS"/>
          <w:sz w:val="14"/>
          <w:szCs w:val="14"/>
        </w:rPr>
        <w:t xml:space="preserve"> showed that offspring with intrauterine growth retardation</w:t>
      </w:r>
      <w:r w:rsidR="0008533B" w:rsidRPr="00585A6A">
        <w:rPr>
          <w:rFonts w:ascii="Arial Unicode MS" w:eastAsia="Arial Unicode MS" w:hAnsi="Arial Unicode MS" w:cs="Arial Unicode MS"/>
          <w:sz w:val="14"/>
          <w:szCs w:val="14"/>
        </w:rPr>
        <w:t xml:space="preserve"> exhibited </w:t>
      </w:r>
      <w:r w:rsidR="0008533B" w:rsidRPr="00585A6A">
        <w:rPr>
          <w:rFonts w:ascii="Arial Unicode MS" w:eastAsia="Arial Unicode MS" w:hAnsi="Arial Unicode MS" w:cs="Arial Unicode MS"/>
          <w:iCs/>
          <w:color w:val="231F20"/>
          <w:sz w:val="14"/>
          <w:szCs w:val="14"/>
        </w:rPr>
        <w:t>oxidative stress</w:t>
      </w:r>
      <w:r w:rsidR="0008533B" w:rsidRPr="00585A6A">
        <w:rPr>
          <w:rFonts w:ascii="Arial Unicode MS" w:eastAsia="Arial Unicode MS" w:hAnsi="Arial Unicode MS" w:cs="Arial Unicode MS"/>
          <w:iCs/>
          <w:color w:val="231F20"/>
          <w:sz w:val="14"/>
          <w:szCs w:val="14"/>
        </w:rPr>
        <w:t>, injury, abnormal lipid metabolism and insulin resistance in th</w:t>
      </w:r>
      <w:bookmarkStart w:id="0" w:name="_GoBack"/>
      <w:bookmarkEnd w:id="0"/>
      <w:r w:rsidR="0008533B" w:rsidRPr="00585A6A">
        <w:rPr>
          <w:rFonts w:ascii="Arial Unicode MS" w:eastAsia="Arial Unicode MS" w:hAnsi="Arial Unicode MS" w:cs="Arial Unicode MS"/>
          <w:iCs/>
          <w:color w:val="231F20"/>
          <w:sz w:val="14"/>
          <w:szCs w:val="14"/>
        </w:rPr>
        <w:t>e liver.</w:t>
      </w:r>
      <w:r w:rsidR="005A5BD5" w:rsidRPr="00585A6A">
        <w:rPr>
          <w:rFonts w:ascii="Arial Unicode MS" w:eastAsia="Arial Unicode MS" w:hAnsi="Arial Unicode MS" w:cs="Arial Unicode MS"/>
          <w:sz w:val="14"/>
          <w:szCs w:val="14"/>
        </w:rPr>
        <w:t xml:space="preserve"> </w:t>
      </w:r>
      <w:r w:rsidR="0008533B" w:rsidRPr="00585A6A">
        <w:rPr>
          <w:rFonts w:ascii="Arial Unicode MS" w:eastAsia="Arial Unicode MS" w:hAnsi="Arial Unicode MS" w:cs="Arial Unicode MS"/>
          <w:sz w:val="14"/>
          <w:szCs w:val="14"/>
        </w:rPr>
        <w:t xml:space="preserve">He also has been focusing on the newly nutritional strategy for </w:t>
      </w:r>
      <w:r w:rsidR="0008533B" w:rsidRPr="00585A6A">
        <w:rPr>
          <w:rFonts w:ascii="Arial Unicode MS" w:eastAsia="Arial Unicode MS" w:hAnsi="Arial Unicode MS" w:cs="Arial Unicode MS"/>
          <w:sz w:val="14"/>
          <w:szCs w:val="14"/>
        </w:rPr>
        <w:t>attenuating</w:t>
      </w:r>
      <w:r w:rsidR="0008533B" w:rsidRPr="00585A6A">
        <w:rPr>
          <w:rFonts w:ascii="Arial Unicode MS" w:eastAsia="Arial Unicode MS" w:hAnsi="Arial Unicode MS" w:cs="Arial Unicode MS"/>
          <w:sz w:val="14"/>
          <w:szCs w:val="14"/>
        </w:rPr>
        <w:t xml:space="preserve"> adverse influences in animal </w:t>
      </w:r>
      <w:r w:rsidR="003D7F4E">
        <w:rPr>
          <w:rFonts w:ascii="Arial Unicode MS" w:eastAsia="Arial Unicode MS" w:hAnsi="Arial Unicode MS" w:cs="Arial Unicode MS"/>
          <w:sz w:val="14"/>
          <w:szCs w:val="14"/>
        </w:rPr>
        <w:t>or</w:t>
      </w:r>
      <w:r w:rsidR="0008533B" w:rsidRPr="00585A6A">
        <w:rPr>
          <w:rFonts w:ascii="Arial Unicode MS" w:eastAsia="Arial Unicode MS" w:hAnsi="Arial Unicode MS" w:cs="Arial Unicode MS"/>
          <w:sz w:val="14"/>
          <w:szCs w:val="14"/>
        </w:rPr>
        <w:t xml:space="preserve"> human with intrauterine growth retardation.</w:t>
      </w:r>
      <w:r w:rsidR="00585A6A" w:rsidRPr="00585A6A">
        <w:rPr>
          <w:rFonts w:ascii="Arial Unicode MS" w:eastAsia="Arial Unicode MS" w:hAnsi="Arial Unicode MS" w:cs="Arial Unicode MS"/>
          <w:sz w:val="14"/>
          <w:szCs w:val="14"/>
        </w:rPr>
        <w:t xml:space="preserve"> This study demonstrated that curcumin could be a new strategy for curing intrauterine growth retardation of human. </w:t>
      </w:r>
    </w:p>
    <w:p w:rsidR="00585A6A" w:rsidRPr="00585A6A" w:rsidRDefault="003D7F4E" w:rsidP="00585A6A">
      <w:pPr>
        <w:spacing w:line="154" w:lineRule="exact"/>
        <w:ind w:firstLineChars="50" w:firstLine="70"/>
        <w:jc w:val="center"/>
        <w:rPr>
          <w:rFonts w:ascii="Arial Unicode MS" w:eastAsia="Arial Unicode MS" w:hAnsi="Arial Unicode MS" w:cs="Arial Unicode MS" w:hint="eastAsia"/>
          <w:sz w:val="14"/>
          <w:szCs w:val="14"/>
        </w:rPr>
      </w:pPr>
      <w:r>
        <w:rPr>
          <w:rFonts w:ascii="Arial Unicode MS" w:eastAsia="Arial Unicode MS" w:hAnsi="Arial Unicode MS" w:cs="Arial Unicode MS"/>
          <w:noProof/>
          <w:sz w:val="14"/>
          <w:szCs w:val="1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166526</wp:posOffset>
                </wp:positionV>
                <wp:extent cx="3864634" cy="8627"/>
                <wp:effectExtent l="0" t="0" r="21590" b="29845"/>
                <wp:wrapNone/>
                <wp:docPr id="4" name="直接连接符 4"/>
                <wp:cNvGraphicFramePr/>
                <a:graphic xmlns:a="http://schemas.openxmlformats.org/drawingml/2006/main">
                  <a:graphicData uri="http://schemas.microsoft.com/office/word/2010/wordprocessingShape">
                    <wps:wsp>
                      <wps:cNvCnPr/>
                      <wps:spPr>
                        <a:xfrm>
                          <a:off x="0" y="0"/>
                          <a:ext cx="3864634" cy="862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656836" id="直接连接符 4" o:spid="_x0000_s1026" style="position:absolute;left:0;text-align:left;z-index:251660288;visibility:visible;mso-wrap-style:square;mso-wrap-distance-left:9pt;mso-wrap-distance-top:0;mso-wrap-distance-right:9pt;mso-wrap-distance-bottom:0;mso-position-horizontal:center;mso-position-horizontal-relative:margin;mso-position-vertical:absolute;mso-position-vertical-relative:text" from="0,13.1pt" to="304.3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" strokecolor="#5b9bd5 [3204]" strokeweight=".5pt">
                <v:stroke joinstyle="miter"/>
                <w10:wrap anchorx="margin"/>
              </v:line>
            </w:pict>
          </mc:Fallback>
        </mc:AlternateContent>
      </w:r>
      <w:r w:rsidR="00585A6A">
        <w:rPr>
          <w:rFonts w:ascii="Arial Unicode MS" w:eastAsia="Arial Unicode MS" w:hAnsi="Arial Unicode MS" w:cs="Arial Unicode MS"/>
          <w:sz w:val="14"/>
          <w:szCs w:val="14"/>
        </w:rPr>
        <w:t>Email: 2604463443@qq.com</w:t>
      </w:r>
    </w:p>
    <w:sectPr w:rsidR="00585A6A" w:rsidRPr="00585A6A" w:rsidSect="004B39A4">
      <w:type w:val="continuous"/>
      <w:pgSz w:w="11906" w:h="16838"/>
      <w:pgMar w:top="964" w:right="964" w:bottom="1440" w:left="709"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1985" w:rsidRDefault="008A1985" w:rsidP="00AF081B">
      <w:r>
        <w:separator/>
      </w:r>
    </w:p>
  </w:endnote>
  <w:endnote w:type="continuationSeparator" w:id="0">
    <w:p w:rsidR="008A1985" w:rsidRDefault="008A1985" w:rsidP="00AF0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6"/>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1985" w:rsidRDefault="008A1985" w:rsidP="00AF081B">
      <w:r>
        <w:separator/>
      </w:r>
    </w:p>
  </w:footnote>
  <w:footnote w:type="continuationSeparator" w:id="0">
    <w:p w:rsidR="008A1985" w:rsidRDefault="008A1985" w:rsidP="00AF08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2AC"/>
    <w:rsid w:val="0008533B"/>
    <w:rsid w:val="001F033E"/>
    <w:rsid w:val="00223E91"/>
    <w:rsid w:val="0025700D"/>
    <w:rsid w:val="002C4CBA"/>
    <w:rsid w:val="003D7F4E"/>
    <w:rsid w:val="004B39A4"/>
    <w:rsid w:val="00585A6A"/>
    <w:rsid w:val="005A5BD5"/>
    <w:rsid w:val="005C4C40"/>
    <w:rsid w:val="00701D6E"/>
    <w:rsid w:val="0087202F"/>
    <w:rsid w:val="008A1985"/>
    <w:rsid w:val="008C2B69"/>
    <w:rsid w:val="00A242AC"/>
    <w:rsid w:val="00A3708D"/>
    <w:rsid w:val="00AB3071"/>
    <w:rsid w:val="00AF081B"/>
    <w:rsid w:val="00C4590A"/>
    <w:rsid w:val="00D14F61"/>
    <w:rsid w:val="00D62D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A9C13A8-1124-40C3-8EAC-B28B93F3C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Char"/>
    <w:uiPriority w:val="1"/>
    <w:qFormat/>
    <w:rsid w:val="0087202F"/>
    <w:pPr>
      <w:spacing w:before="47" w:line="400" w:lineRule="exact"/>
      <w:ind w:left="100"/>
      <w:jc w:val="left"/>
      <w:outlineLvl w:val="0"/>
    </w:pPr>
    <w:rPr>
      <w:rFonts w:ascii="Minion Pro" w:eastAsia="Minion Pro" w:hAnsi="Minion Pro" w:cs="Minion Pro"/>
      <w:b/>
      <w:bCs/>
      <w:kern w:val="0"/>
      <w:sz w:val="36"/>
      <w:szCs w:val="36"/>
      <w:lang w:eastAsia="en-US"/>
    </w:rPr>
  </w:style>
  <w:style w:type="paragraph" w:styleId="3">
    <w:name w:val="heading 3"/>
    <w:basedOn w:val="a"/>
    <w:next w:val="a"/>
    <w:link w:val="3Char"/>
    <w:uiPriority w:val="1"/>
    <w:unhideWhenUsed/>
    <w:qFormat/>
    <w:rsid w:val="0087202F"/>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F081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F081B"/>
    <w:rPr>
      <w:sz w:val="18"/>
      <w:szCs w:val="18"/>
    </w:rPr>
  </w:style>
  <w:style w:type="paragraph" w:styleId="a4">
    <w:name w:val="footer"/>
    <w:basedOn w:val="a"/>
    <w:link w:val="Char0"/>
    <w:uiPriority w:val="99"/>
    <w:unhideWhenUsed/>
    <w:rsid w:val="00AF081B"/>
    <w:pPr>
      <w:tabs>
        <w:tab w:val="center" w:pos="4153"/>
        <w:tab w:val="right" w:pos="8306"/>
      </w:tabs>
      <w:snapToGrid w:val="0"/>
      <w:jc w:val="left"/>
    </w:pPr>
    <w:rPr>
      <w:sz w:val="18"/>
      <w:szCs w:val="18"/>
    </w:rPr>
  </w:style>
  <w:style w:type="character" w:customStyle="1" w:styleId="Char0">
    <w:name w:val="页脚 Char"/>
    <w:basedOn w:val="a0"/>
    <w:link w:val="a4"/>
    <w:uiPriority w:val="99"/>
    <w:rsid w:val="00AF081B"/>
    <w:rPr>
      <w:sz w:val="18"/>
      <w:szCs w:val="18"/>
    </w:rPr>
  </w:style>
  <w:style w:type="character" w:customStyle="1" w:styleId="1Char">
    <w:name w:val="标题 1 Char"/>
    <w:basedOn w:val="a0"/>
    <w:link w:val="1"/>
    <w:uiPriority w:val="1"/>
    <w:rsid w:val="0087202F"/>
    <w:rPr>
      <w:rFonts w:ascii="Minion Pro" w:eastAsia="Minion Pro" w:hAnsi="Minion Pro" w:cs="Minion Pro"/>
      <w:b/>
      <w:bCs/>
      <w:kern w:val="0"/>
      <w:sz w:val="36"/>
      <w:szCs w:val="36"/>
      <w:lang w:eastAsia="en-US"/>
    </w:rPr>
  </w:style>
  <w:style w:type="paragraph" w:styleId="a5">
    <w:name w:val="Body Text"/>
    <w:basedOn w:val="a"/>
    <w:link w:val="Char1"/>
    <w:uiPriority w:val="1"/>
    <w:qFormat/>
    <w:rsid w:val="0087202F"/>
    <w:pPr>
      <w:jc w:val="left"/>
    </w:pPr>
    <w:rPr>
      <w:rFonts w:ascii="Tw Cen MT" w:eastAsia="Tw Cen MT" w:hAnsi="Tw Cen MT" w:cs="Tw Cen MT"/>
      <w:kern w:val="0"/>
      <w:sz w:val="18"/>
      <w:szCs w:val="18"/>
      <w:lang w:eastAsia="en-US"/>
    </w:rPr>
  </w:style>
  <w:style w:type="character" w:customStyle="1" w:styleId="Char1">
    <w:name w:val="正文文本 Char"/>
    <w:basedOn w:val="a0"/>
    <w:link w:val="a5"/>
    <w:uiPriority w:val="1"/>
    <w:rsid w:val="0087202F"/>
    <w:rPr>
      <w:rFonts w:ascii="Tw Cen MT" w:eastAsia="Tw Cen MT" w:hAnsi="Tw Cen MT" w:cs="Tw Cen MT"/>
      <w:kern w:val="0"/>
      <w:sz w:val="18"/>
      <w:szCs w:val="18"/>
      <w:lang w:eastAsia="en-US"/>
    </w:rPr>
  </w:style>
  <w:style w:type="character" w:customStyle="1" w:styleId="3Char">
    <w:name w:val="标题 3 Char"/>
    <w:basedOn w:val="a0"/>
    <w:link w:val="3"/>
    <w:uiPriority w:val="1"/>
    <w:rsid w:val="0087202F"/>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2EBC8"/>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727</Words>
  <Characters>4150</Characters>
  <Application>Microsoft Office Word</Application>
  <DocSecurity>0</DocSecurity>
  <Lines>34</Lines>
  <Paragraphs>9</Paragraphs>
  <ScaleCrop>false</ScaleCrop>
  <Company>Sky123.Org</Company>
  <LinksUpToDate>false</LinksUpToDate>
  <CharactersWithSpaces>4868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10</cp:revision>
  <cp:lastPrinted>2017-06-29T05:48:00Z</cp:lastPrinted>
  <dcterms:created xsi:type="dcterms:W3CDTF">2017-05-22T02:38:00Z</dcterms:created>
  <dcterms:modified xsi:type="dcterms:W3CDTF">2017-07-14T08:14:00Z</dcterms:modified>
</cp:coreProperties>
</file>