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ascii="Times New Roman" w:hAnsi="Times New Roman" w:cs="Times New Roman"/>
          <w:b/>
          <w:bCs w:val="0"/>
          <w:sz w:val="28"/>
          <w:szCs w:val="44"/>
          <w:lang w:val="en-US" w:eastAsia="zh-CN" w:bidi="ar"/>
        </w:rPr>
      </w:pPr>
      <w:bookmarkStart w:id="0" w:name="_GoBack"/>
      <w:r>
        <w:rPr>
          <w:rFonts w:hint="default" w:ascii="Times New Roman" w:hAnsi="Times New Roman" w:cs="Times New Roman"/>
          <w:b/>
          <w:bCs w:val="0"/>
          <w:sz w:val="28"/>
          <w:szCs w:val="44"/>
          <w:lang w:val="en-US" w:eastAsia="zh-CN" w:bidi="ar"/>
        </w:rPr>
        <w:t>Effect of Selenium-rich camellia oil on hypolipidemic and antioxidation in rats fat with high-diet fed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jc w:val="both"/>
        <w:textAlignment w:val="auto"/>
        <w:rPr>
          <w:rFonts w:hint="default" w:ascii="Times New Roman" w:hAnsi="Times New Roman" w:cs="Times New Roman"/>
          <w:b w:val="0"/>
          <w:bCs/>
          <w:sz w:val="21"/>
          <w:szCs w:val="21"/>
          <w:vertAlign w:val="superscript"/>
          <w:lang w:val="en-US" w:eastAsia="zh-CN" w:bidi="ar"/>
        </w:rPr>
      </w:pPr>
      <w:r>
        <w:rPr>
          <w:rFonts w:hint="default" w:ascii="Times New Roman" w:hAnsi="Times New Roman" w:cs="Times New Roman"/>
          <w:b w:val="0"/>
          <w:bCs/>
          <w:sz w:val="21"/>
          <w:szCs w:val="21"/>
          <w:lang w:val="en-US" w:eastAsia="zh-CN" w:bidi="ar"/>
        </w:rPr>
        <w:t>Hao Shi</w:t>
      </w:r>
      <w:r>
        <w:rPr>
          <w:rFonts w:hint="default" w:ascii="Times New Roman" w:hAnsi="Times New Roman" w:cs="Times New Roman"/>
          <w:b w:val="0"/>
          <w:bCs/>
          <w:sz w:val="21"/>
          <w:szCs w:val="21"/>
          <w:vertAlign w:val="superscript"/>
          <w:lang w:val="en-US" w:eastAsia="zh-CN" w:bidi="ar"/>
        </w:rPr>
        <w:t>a,b</w:t>
      </w:r>
      <w:r>
        <w:rPr>
          <w:rFonts w:hint="default" w:ascii="Times New Roman" w:hAnsi="Times New Roman" w:cs="Times New Roman"/>
          <w:b w:val="0"/>
          <w:bCs/>
          <w:sz w:val="21"/>
          <w:szCs w:val="21"/>
          <w:lang w:val="en-US" w:eastAsia="zh-CN" w:bidi="ar"/>
        </w:rPr>
        <w:t xml:space="preserve">, </w:t>
      </w:r>
      <w:r>
        <w:rPr>
          <w:rFonts w:hint="default" w:ascii="Times New Roman" w:hAnsi="Times New Roman" w:cs="Times New Roman"/>
          <w:bCs/>
          <w:color w:val="000000" w:themeColor="text1"/>
          <w:sz w:val="21"/>
          <w:szCs w:val="21"/>
          <w:lang w:bidi="ar"/>
          <w14:textFill>
            <w14:solidFill>
              <w14:schemeClr w14:val="tx1"/>
            </w14:solidFill>
          </w14:textFill>
        </w:rPr>
        <w:t>Xiangyu Zhou</w:t>
      </w:r>
      <w:r>
        <w:rPr>
          <w:rFonts w:hint="default" w:ascii="Times New Roman" w:hAnsi="Times New Roman" w:cs="Times New Roman"/>
          <w:bCs/>
          <w:color w:val="000000" w:themeColor="text1"/>
          <w:sz w:val="21"/>
          <w:szCs w:val="21"/>
          <w:vertAlign w:val="superscript"/>
          <w:lang w:bidi="ar"/>
          <w14:textFill>
            <w14:solidFill>
              <w14:schemeClr w14:val="tx1"/>
            </w14:solidFill>
          </w14:textFill>
        </w:rPr>
        <w:t>c</w:t>
      </w:r>
      <w:r>
        <w:rPr>
          <w:rFonts w:hint="default" w:ascii="Times New Roman" w:hAnsi="Times New Roman" w:cs="Times New Roman"/>
          <w:bCs/>
          <w:color w:val="000000" w:themeColor="text1"/>
          <w:sz w:val="21"/>
          <w:szCs w:val="21"/>
          <w:vertAlign w:val="superscript"/>
          <w:lang w:val="en-US" w:eastAsia="zh-CN" w:bidi="ar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cs="Times New Roman"/>
          <w:bCs/>
          <w:color w:val="000000" w:themeColor="text1"/>
          <w:sz w:val="21"/>
          <w:szCs w:val="21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cs="Times New Roman"/>
          <w:b w:val="0"/>
          <w:bCs/>
          <w:sz w:val="21"/>
          <w:szCs w:val="21"/>
          <w:lang w:val="en-US" w:eastAsia="zh-CN" w:bidi="ar"/>
        </w:rPr>
        <w:t>Xiaoe He</w:t>
      </w:r>
      <w:r>
        <w:rPr>
          <w:rFonts w:hint="default" w:ascii="Times New Roman" w:hAnsi="Times New Roman" w:cs="Times New Roman"/>
          <w:b w:val="0"/>
          <w:bCs/>
          <w:sz w:val="21"/>
          <w:szCs w:val="21"/>
          <w:vertAlign w:val="superscript"/>
          <w:lang w:val="en-US" w:eastAsia="zh-CN" w:bidi="ar"/>
        </w:rPr>
        <w:t>,b1</w:t>
      </w:r>
      <w:r>
        <w:rPr>
          <w:rFonts w:hint="default" w:ascii="Times New Roman" w:hAnsi="Times New Roman" w:cs="Times New Roman"/>
          <w:b w:val="0"/>
          <w:bCs/>
          <w:sz w:val="21"/>
          <w:szCs w:val="21"/>
          <w:lang w:val="en-US" w:eastAsia="zh-CN" w:bidi="ar"/>
        </w:rPr>
        <w:t>, Rencai Wang</w:t>
      </w:r>
      <w:r>
        <w:rPr>
          <w:rFonts w:hint="default" w:ascii="Times New Roman" w:hAnsi="Times New Roman" w:cs="Times New Roman"/>
          <w:b w:val="0"/>
          <w:bCs/>
          <w:sz w:val="21"/>
          <w:szCs w:val="21"/>
          <w:vertAlign w:val="superscript"/>
          <w:lang w:val="en-US" w:eastAsia="zh-CN" w:bidi="ar"/>
        </w:rPr>
        <w:t>b</w:t>
      </w:r>
      <w:r>
        <w:rPr>
          <w:rFonts w:hint="eastAsia" w:ascii="Times New Roman" w:hAnsi="Times New Roman" w:cs="Times New Roman"/>
          <w:b w:val="0"/>
          <w:bCs/>
          <w:sz w:val="21"/>
          <w:szCs w:val="21"/>
          <w:vertAlign w:val="superscript"/>
          <w:lang w:val="en-US" w:eastAsia="zh-CN" w:bidi="ar"/>
        </w:rPr>
        <w:t>,d</w:t>
      </w:r>
      <w:r>
        <w:rPr>
          <w:rFonts w:hint="default" w:ascii="Times New Roman" w:hAnsi="Times New Roman" w:cs="Times New Roman"/>
          <w:b w:val="0"/>
          <w:bCs/>
          <w:sz w:val="21"/>
          <w:szCs w:val="21"/>
          <w:vertAlign w:val="superscript"/>
          <w:lang w:val="en-US" w:eastAsia="zh-CN" w:bidi="ar"/>
        </w:rPr>
        <w:t>*</w:t>
      </w:r>
      <w:r>
        <w:rPr>
          <w:rFonts w:hint="default" w:ascii="Times New Roman" w:hAnsi="Times New Roman" w:cs="Times New Roman"/>
          <w:b w:val="0"/>
          <w:bCs/>
          <w:sz w:val="21"/>
          <w:szCs w:val="21"/>
          <w:vertAlign w:val="baseline"/>
          <w:lang w:val="en-US" w:eastAsia="zh-CN" w:bidi="ar"/>
        </w:rPr>
        <w:t>and Wenhua Zhou</w:t>
      </w:r>
      <w:r>
        <w:rPr>
          <w:rFonts w:hint="default" w:ascii="Times New Roman" w:hAnsi="Times New Roman" w:cs="Times New Roman"/>
          <w:b w:val="0"/>
          <w:bCs/>
          <w:sz w:val="21"/>
          <w:szCs w:val="21"/>
          <w:vertAlign w:val="superscript"/>
          <w:lang w:val="en-US" w:eastAsia="zh-CN" w:bidi="ar"/>
        </w:rPr>
        <w:t>a,b*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jc w:val="both"/>
        <w:textAlignment w:val="auto"/>
        <w:rPr>
          <w:rFonts w:hint="default" w:ascii="Times New Roman" w:hAnsi="Times New Roman" w:cs="Times New Roman"/>
          <w:b w:val="0"/>
          <w:bCs/>
          <w:sz w:val="21"/>
          <w:szCs w:val="21"/>
          <w:vertAlign w:val="superscript"/>
          <w:lang w:val="en-US" w:eastAsia="zh-CN" w:bidi="a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/>
          <w:sz w:val="21"/>
          <w:szCs w:val="32"/>
          <w:vertAlign w:val="superscript"/>
          <w:lang w:val="en-US" w:eastAsia="zh-CN" w:bidi="ar"/>
        </w:rPr>
      </w:pPr>
      <w:r>
        <w:rPr>
          <w:rFonts w:hint="default" w:ascii="Times New Roman" w:hAnsi="Times New Roman" w:cs="Times New Roman"/>
          <w:bCs/>
          <w:color w:val="000000" w:themeColor="text1"/>
          <w:sz w:val="20"/>
          <w:szCs w:val="28"/>
          <w:vertAlign w:val="superscript"/>
          <w:lang w:bidi="ar"/>
          <w14:textFill>
            <w14:solidFill>
              <w14:schemeClr w14:val="tx1"/>
            </w14:solidFill>
          </w14:textFill>
        </w:rPr>
        <w:t xml:space="preserve">a </w:t>
      </w:r>
      <w:r>
        <w:rPr>
          <w:rFonts w:hint="default" w:ascii="Times New Roman" w:hAnsi="Times New Roman" w:cs="Times New Roman"/>
          <w:bCs/>
          <w:color w:val="000000" w:themeColor="text1"/>
          <w:sz w:val="20"/>
          <w:szCs w:val="28"/>
          <w:lang w:bidi="ar"/>
          <w14:textFill>
            <w14:solidFill>
              <w14:schemeClr w14:val="tx1"/>
            </w14:solidFill>
          </w14:textFill>
        </w:rPr>
        <w:t>College of food science and engineering, Central South University of Forestry and Technology, Changsha, People’s Republic of China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Cs/>
          <w:color w:val="000000" w:themeColor="text1"/>
          <w:sz w:val="20"/>
          <w:szCs w:val="28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/>
          <w:sz w:val="20"/>
          <w:szCs w:val="28"/>
          <w:vertAlign w:val="superscript"/>
          <w:lang w:val="en-US" w:eastAsia="zh-CN" w:bidi="ar"/>
        </w:rPr>
        <w:t>b</w:t>
      </w:r>
      <w:r>
        <w:rPr>
          <w:rFonts w:hint="default" w:ascii="Times New Roman" w:hAnsi="Times New Roman" w:cs="Times New Roman"/>
          <w:b w:val="0"/>
          <w:bCs/>
          <w:sz w:val="20"/>
          <w:szCs w:val="28"/>
          <w:vertAlign w:val="superscript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0"/>
          <w:szCs w:val="28"/>
          <w:lang w:val="en-US" w:eastAsia="zh-CN" w:bidi="ar"/>
        </w:rPr>
        <w:t>College of Agriculture and Forestry Science, Hunan Applied technology University, Changde,</w:t>
      </w:r>
      <w:r>
        <w:rPr>
          <w:rFonts w:hint="default" w:ascii="Times New Roman" w:hAnsi="Times New Roman" w:cs="Times New Roman"/>
          <w:bCs/>
          <w:color w:val="000000" w:themeColor="text1"/>
          <w:sz w:val="20"/>
          <w:szCs w:val="28"/>
          <w:lang w:bidi="ar"/>
          <w14:textFill>
            <w14:solidFill>
              <w14:schemeClr w14:val="tx1"/>
            </w14:solidFill>
          </w14:textFill>
        </w:rPr>
        <w:t>People’s Republic of China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/>
          <w:sz w:val="20"/>
          <w:szCs w:val="28"/>
          <w:lang w:val="en-US" w:eastAsia="zh-CN" w:bidi="ar"/>
        </w:rPr>
      </w:pPr>
      <w:r>
        <w:rPr>
          <w:rFonts w:hint="default" w:ascii="Times New Roman" w:hAnsi="Times New Roman" w:cs="Times New Roman"/>
          <w:bCs/>
          <w:color w:val="000000" w:themeColor="text1"/>
          <w:sz w:val="20"/>
          <w:szCs w:val="28"/>
          <w:vertAlign w:val="superscript"/>
          <w:lang w:bidi="ar"/>
          <w14:textFill>
            <w14:solidFill>
              <w14:schemeClr w14:val="tx1"/>
            </w14:solidFill>
          </w14:textFill>
        </w:rPr>
        <w:t xml:space="preserve">c </w:t>
      </w:r>
      <w:r>
        <w:rPr>
          <w:rFonts w:hint="default" w:ascii="Times New Roman" w:hAnsi="Times New Roman" w:cs="Times New Roman"/>
          <w:bCs/>
          <w:color w:val="000000" w:themeColor="text1"/>
          <w:sz w:val="20"/>
          <w:szCs w:val="28"/>
          <w:vertAlign w:val="baseline"/>
          <w:lang w:bidi="ar"/>
          <w14:textFill>
            <w14:solidFill>
              <w14:schemeClr w14:val="tx1"/>
            </w14:solidFill>
          </w14:textFill>
        </w:rPr>
        <w:t>School of Food Science and Nutrition, University of Leeds, Leeds, West Yorkshire L</w:t>
      </w:r>
      <w:r>
        <w:rPr>
          <w:rFonts w:hint="eastAsia" w:ascii="Times New Roman" w:hAnsi="Times New Roman" w:cs="Times New Roman"/>
          <w:bCs/>
          <w:color w:val="000000" w:themeColor="text1"/>
          <w:sz w:val="20"/>
          <w:szCs w:val="28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m</w:t>
      </w:r>
      <w:r>
        <w:rPr>
          <w:rFonts w:hint="default" w:ascii="Times New Roman" w:hAnsi="Times New Roman" w:cs="Times New Roman"/>
          <w:bCs/>
          <w:color w:val="000000" w:themeColor="text1"/>
          <w:sz w:val="20"/>
          <w:szCs w:val="28"/>
          <w:vertAlign w:val="baseline"/>
          <w:lang w:bidi="ar"/>
          <w14:textFill>
            <w14:solidFill>
              <w14:schemeClr w14:val="tx1"/>
            </w14:solidFill>
          </w14:textFill>
        </w:rPr>
        <w:t xml:space="preserve">S2 9JT, UK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/>
          <w:sz w:val="20"/>
          <w:szCs w:val="28"/>
          <w:lang w:val="en-US" w:eastAsia="zh-CN" w:bidi="ar"/>
        </w:rPr>
      </w:pPr>
      <w:r>
        <w:rPr>
          <w:rFonts w:hint="eastAsia" w:ascii="Times New Roman" w:hAnsi="Times New Roman" w:cs="Times New Roman"/>
          <w:b w:val="0"/>
          <w:bCs/>
          <w:sz w:val="20"/>
          <w:szCs w:val="28"/>
          <w:vertAlign w:val="superscript"/>
          <w:lang w:val="en-US" w:eastAsia="zh-CN" w:bidi="ar"/>
        </w:rPr>
        <w:t>d</w:t>
      </w:r>
      <w:r>
        <w:rPr>
          <w:rFonts w:hint="default" w:ascii="Times New Roman" w:hAnsi="Times New Roman" w:cs="Times New Roman"/>
          <w:b w:val="0"/>
          <w:bCs/>
          <w:sz w:val="20"/>
          <w:szCs w:val="28"/>
          <w:vertAlign w:val="superscript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0"/>
          <w:szCs w:val="28"/>
          <w:lang w:val="en-US" w:eastAsia="zh-CN" w:bidi="ar"/>
        </w:rPr>
        <w:t xml:space="preserve">College of Horticulture, Hunan Agricultural University, Changsha, </w:t>
      </w:r>
      <w:r>
        <w:rPr>
          <w:rFonts w:hint="default" w:ascii="Times New Roman" w:hAnsi="Times New Roman" w:cs="Times New Roman"/>
          <w:bCs/>
          <w:color w:val="000000" w:themeColor="text1"/>
          <w:sz w:val="20"/>
          <w:szCs w:val="28"/>
          <w:lang w:bidi="ar"/>
          <w14:textFill>
            <w14:solidFill>
              <w14:schemeClr w14:val="tx1"/>
            </w14:solidFill>
          </w14:textFill>
        </w:rPr>
        <w:t>People’s Republic of China</w:t>
      </w:r>
    </w:p>
    <w:p>
      <w:pPr>
        <w:jc w:val="both"/>
        <w:rPr>
          <w:rFonts w:hint="eastAsia"/>
        </w:rPr>
      </w:pPr>
    </w:p>
    <w:p>
      <w:pPr>
        <w:jc w:val="both"/>
        <w:rPr>
          <w:rFonts w:hint="eastAsia"/>
        </w:rPr>
      </w:pPr>
    </w:p>
    <w:p>
      <w:pPr>
        <w:jc w:val="both"/>
        <w:rPr>
          <w:rFonts w:hint="eastAsia"/>
        </w:rPr>
      </w:pPr>
      <w:r>
        <w:rPr>
          <w:rFonts w:hint="eastAsia"/>
        </w:rPr>
        <w:t xml:space="preserve">To research the effects of camellia oil on hypolipidemic and antioxidant activity in rats fed with </w:t>
      </w:r>
      <w:r>
        <w:rPr>
          <w:rFonts w:hint="eastAsia"/>
          <w:lang w:val="en-US" w:eastAsia="zh-CN"/>
        </w:rPr>
        <w:t xml:space="preserve">the </w:t>
      </w:r>
      <w:r>
        <w:rPr>
          <w:rFonts w:hint="eastAsia"/>
        </w:rPr>
        <w:t xml:space="preserve">high-fat diet, and promote the high-value utilization of camellia resources. The experiment was divided into CK group (basic diet group), model group (high-fat diet group), positive group (treated with 10 mg/kg BW atorvastatin), treatment group (treated with 2.5, 7.5, 15 mL/kg-.BW camellia oil, respectively). The body weight, liver-body weight ratio of rats were measured , and lipid index (TC, TG, HDL-C, LDL-C) were measured in serum. Moreover, ALT, AST, SOD, GSH-Px activity, MDA content, lipid metabolism-related genes and antioxidant-related genes were measured in liver tissue, then, their hypolipidemic and antioxidant abilities were evaluated. As compared to the model group, the weight and liver-body weight ratio of rats had significantly decreased in </w:t>
      </w:r>
      <w:r>
        <w:rPr>
          <w:rFonts w:hint="eastAsia"/>
          <w:lang w:val="en-US" w:eastAsia="zh-CN"/>
        </w:rPr>
        <w:t xml:space="preserve">the </w:t>
      </w:r>
      <w:r>
        <w:rPr>
          <w:rFonts w:hint="eastAsia"/>
        </w:rPr>
        <w:t>agent group (treated with camellia oil or atorvastatin) (P&lt;0.01), The contents of TC, TG and LDL-C were significantly lower in agent group than those in model group (P&lt;0.01), while the contents of HDL-C was increased. The activity of ALT and AST were significantly decreased in agent group than those in model group (p&lt;0.01). The relative expression of ACAT1, DGAT2, FAS and SREBP genes were significantly reduced in agent group (P&lt;0.01), while the relative expression of LCAT, UCP2, MCD and CPT-1 genes were significantly increased (P&lt;0.01). The SOD, GSH-Px activities and MDA content were significantly increased (P&lt; 0.01) when rats w</w:t>
      </w:r>
      <w:r>
        <w:rPr>
          <w:rFonts w:hint="eastAsia"/>
          <w:lang w:val="en-US" w:eastAsia="zh-CN"/>
        </w:rPr>
        <w:t>ere</w:t>
      </w:r>
      <w:r>
        <w:rPr>
          <w:rFonts w:hint="eastAsia"/>
        </w:rPr>
        <w:t xml:space="preserve"> treated with camellia oil, and the relative expressions of antioxidant genes (SOD1, GPx1, CAT and Gclm) were significantly increased (P&lt;0.01). Atorvastatin and camellia oil had a strong effect on hypolipidemic and antioxidant</w:t>
      </w:r>
      <w:r>
        <w:rPr>
          <w:rFonts w:hint="eastAsia"/>
          <w:lang w:val="en-US" w:eastAsia="zh-CN"/>
        </w:rPr>
        <w:t>s</w:t>
      </w:r>
      <w:r>
        <w:rPr>
          <w:rFonts w:hint="eastAsia"/>
        </w:rPr>
        <w:t>, but the effect of middle-dose camellia oil was better. The results firstly determined the hypolipidemic and antioxidant activities of camellia oil, thus providing a new natural resource for future investigation and development of the camellia oil-based antioxidant and Hypolipidemic drugs, health products, or additives.</w:t>
      </w:r>
    </w:p>
    <w:p>
      <w:pPr>
        <w:jc w:val="both"/>
        <w:rPr>
          <w:rFonts w:hint="eastAsia"/>
        </w:rPr>
      </w:pPr>
    </w:p>
    <w:p>
      <w:pPr>
        <w:jc w:val="both"/>
        <w:rPr>
          <w:rFonts w:hint="eastAsia"/>
        </w:rPr>
      </w:pPr>
      <w:r>
        <w:rPr>
          <w:rFonts w:hint="eastAsia"/>
          <w:b/>
          <w:bCs/>
        </w:rPr>
        <w:t xml:space="preserve">Keywords: </w:t>
      </w:r>
      <w:r>
        <w:rPr>
          <w:rFonts w:hint="eastAsia"/>
        </w:rPr>
        <w:t>Selenium-rich camellia oill, rat, hypolipidemic, antioxidant, dietary prevention.</w:t>
      </w:r>
    </w:p>
    <w:p>
      <w:pPr>
        <w:jc w:val="both"/>
        <w:rPr>
          <w:rFonts w:hint="eastAsia"/>
        </w:rPr>
      </w:pPr>
    </w:p>
    <w:p>
      <w:pPr>
        <w:jc w:val="both"/>
        <w:rPr>
          <w:rFonts w:hint="eastAsia"/>
        </w:rPr>
      </w:pPr>
      <w:r>
        <w:rPr>
          <w:rFonts w:hint="eastAsia"/>
          <w:lang w:val="en-US" w:eastAsia="zh-CN"/>
        </w:rPr>
        <w:t xml:space="preserve">Corresponding to Rencai Wang: College of Food Horticulture, Hunan Agricultural University, Changsha, </w:t>
      </w:r>
      <w:r>
        <w:rPr>
          <w:rFonts w:hint="eastAsia"/>
        </w:rPr>
        <w:t>People’s Republic of China</w:t>
      </w:r>
      <w:r>
        <w:rPr>
          <w:rFonts w:hint="eastAsia"/>
          <w:lang w:val="en-US" w:eastAsia="zh-CN"/>
        </w:rPr>
        <w:t xml:space="preserve">. E-mail addresses:wangrenc@163.com. Wenhua Zhou: </w:t>
      </w:r>
      <w:r>
        <w:rPr>
          <w:rFonts w:hint="eastAsia"/>
        </w:rPr>
        <w:t>College of food science and engineering, Central South University of Forestry and Technology, Changsha, People’s Republic of China.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E-mail addresse:1479674265@qq.com</w:t>
      </w:r>
    </w:p>
    <w:p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 These authors contributed equally to this work.</w:t>
      </w:r>
    </w:p>
    <w:p>
      <w:pPr>
        <w:jc w:val="both"/>
        <w:rPr>
          <w:rFonts w:hint="eastAsia"/>
        </w:rPr>
      </w:pPr>
    </w:p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cript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9BB3693"/>
    <w:rsid w:val="2BC13771"/>
    <w:rsid w:val="2F7C0C94"/>
    <w:rsid w:val="35C22416"/>
    <w:rsid w:val="38342BA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eastAsia="宋体"/>
      <w:kern w:val="2"/>
      <w:sz w:val="21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样式1"/>
    <w:basedOn w:val="2"/>
    <w:qFormat/>
    <w:uiPriority w:val="0"/>
    <w:pPr>
      <w:spacing w:line="440" w:lineRule="exact"/>
    </w:pPr>
    <w:rPr>
      <w:rFonts w:ascii="Calibri" w:hAnsi="Calibri" w:eastAsiaTheme="minorEastAsia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2021-11-17T12:25:00Z</dcterms:created>
  <dc:creator>Little/y</dc:creator>
  <cp:lastModifiedBy>Little/y</cp:lastModifiedBy>
  <dcterms:modified xsi:type="dcterms:W3CDTF">2021-11-17T12:42:04Z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