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42" w:lineRule="auto" w:before="76"/>
      </w:pPr>
      <w:r>
        <w:rPr/>
        <w:t>In Situ Microbial Viability Assessment of </w:t>
      </w:r>
      <w:r>
        <w:rPr/>
        <w:t>Key Foodborne Contaminants During</w:t>
      </w:r>
    </w:p>
    <w:p>
      <w:pPr>
        <w:pStyle w:val="Title"/>
        <w:ind w:left="2"/>
      </w:pPr>
      <w:r>
        <w:rPr/>
        <w:t>Hydration-Dehydration</w:t>
      </w:r>
      <w:r>
        <w:rPr>
          <w:spacing w:val="27"/>
        </w:rPr>
        <w:t> </w:t>
      </w:r>
      <w:r>
        <w:rPr/>
        <w:t>Cycles</w:t>
      </w:r>
      <w:r>
        <w:rPr>
          <w:spacing w:val="28"/>
        </w:rPr>
        <w:t> </w:t>
      </w:r>
      <w:r>
        <w:rPr/>
        <w:t>in</w:t>
      </w:r>
      <w:r>
        <w:rPr>
          <w:spacing w:val="27"/>
        </w:rPr>
        <w:t> </w:t>
      </w:r>
      <w:r>
        <w:rPr/>
        <w:t>Edible</w:t>
      </w:r>
      <w:r>
        <w:rPr>
          <w:spacing w:val="28"/>
        </w:rPr>
        <w:t> </w:t>
      </w:r>
      <w:r>
        <w:rPr>
          <w:spacing w:val="-2"/>
        </w:rPr>
        <w:t>Drupes</w:t>
      </w:r>
    </w:p>
    <w:p>
      <w:pPr>
        <w:spacing w:before="319"/>
        <w:ind w:left="0" w:right="359" w:firstLine="0"/>
        <w:jc w:val="center"/>
        <w:rPr>
          <w:sz w:val="22"/>
        </w:rPr>
      </w:pPr>
      <w:r>
        <w:rPr>
          <w:sz w:val="22"/>
        </w:rPr>
        <w:t>Hari</w:t>
      </w:r>
      <w:r>
        <w:rPr>
          <w:spacing w:val="17"/>
          <w:sz w:val="22"/>
        </w:rPr>
        <w:t> </w:t>
      </w:r>
      <w:r>
        <w:rPr>
          <w:spacing w:val="-2"/>
          <w:sz w:val="22"/>
        </w:rPr>
        <w:t>Sannamuri</w:t>
      </w:r>
    </w:p>
    <w:p>
      <w:pPr>
        <w:spacing w:before="15"/>
        <w:ind w:left="1" w:right="359" w:firstLine="0"/>
        <w:jc w:val="center"/>
        <w:rPr>
          <w:i/>
          <w:sz w:val="20"/>
        </w:rPr>
      </w:pPr>
      <w:hyperlink r:id="rId5">
        <w:r>
          <w:rPr>
            <w:i/>
            <w:spacing w:val="-2"/>
            <w:sz w:val="20"/>
          </w:rPr>
          <w:t>harisannamuri0@gmail.com</w:t>
        </w:r>
      </w:hyperlink>
    </w:p>
    <w:p>
      <w:pPr>
        <w:pStyle w:val="BodyText"/>
        <w:spacing w:before="72"/>
        <w:ind w:left="0"/>
        <w:jc w:val="left"/>
        <w:rPr>
          <w:i/>
        </w:rPr>
      </w:pPr>
    </w:p>
    <w:p>
      <w:pPr>
        <w:pStyle w:val="BodyText"/>
        <w:spacing w:after="0"/>
        <w:jc w:val="left"/>
        <w:rPr>
          <w:i/>
        </w:rPr>
        <w:sectPr>
          <w:type w:val="continuous"/>
          <w:pgSz w:w="12240" w:h="15840"/>
          <w:pgMar w:top="900" w:bottom="280" w:left="720" w:right="360"/>
        </w:sectPr>
      </w:pPr>
    </w:p>
    <w:p>
      <w:pPr>
        <w:spacing w:line="230" w:lineRule="auto" w:before="123"/>
        <w:ind w:left="259" w:right="0" w:firstLine="199"/>
        <w:jc w:val="both"/>
        <w:rPr>
          <w:b/>
          <w:sz w:val="18"/>
        </w:rPr>
      </w:pPr>
      <w:r>
        <w:rPr>
          <w:b/>
          <w:i/>
          <w:sz w:val="18"/>
        </w:rPr>
        <w:t>Abstract</w:t>
      </w:r>
      <w:r>
        <w:rPr>
          <w:b/>
          <w:sz w:val="18"/>
        </w:rPr>
        <w:t>—Ensuring the microbiological safety of low-</w:t>
      </w:r>
      <w:r>
        <w:rPr>
          <w:b/>
          <w:sz w:val="18"/>
        </w:rPr>
        <w:t>moisture foods,</w:t>
      </w:r>
      <w:r>
        <w:rPr>
          <w:b/>
          <w:spacing w:val="40"/>
          <w:sz w:val="18"/>
        </w:rPr>
        <w:t> </w:t>
      </w:r>
      <w:r>
        <w:rPr>
          <w:b/>
          <w:sz w:val="18"/>
        </w:rPr>
        <w:t>particularly</w:t>
      </w:r>
      <w:r>
        <w:rPr>
          <w:b/>
          <w:spacing w:val="40"/>
          <w:sz w:val="18"/>
        </w:rPr>
        <w:t> </w:t>
      </w:r>
      <w:r>
        <w:rPr>
          <w:b/>
          <w:sz w:val="18"/>
        </w:rPr>
        <w:t>tree</w:t>
      </w:r>
      <w:r>
        <w:rPr>
          <w:b/>
          <w:spacing w:val="40"/>
          <w:sz w:val="18"/>
        </w:rPr>
        <w:t> </w:t>
      </w:r>
      <w:r>
        <w:rPr>
          <w:b/>
          <w:sz w:val="18"/>
        </w:rPr>
        <w:t>nuts,</w:t>
      </w:r>
      <w:r>
        <w:rPr>
          <w:b/>
          <w:spacing w:val="40"/>
          <w:sz w:val="18"/>
        </w:rPr>
        <w:t> </w:t>
      </w:r>
      <w:r>
        <w:rPr>
          <w:b/>
          <w:sz w:val="18"/>
        </w:rPr>
        <w:t>remains</w:t>
      </w:r>
      <w:r>
        <w:rPr>
          <w:b/>
          <w:spacing w:val="40"/>
          <w:sz w:val="18"/>
        </w:rPr>
        <w:t> </w:t>
      </w:r>
      <w:r>
        <w:rPr>
          <w:b/>
          <w:sz w:val="18"/>
        </w:rPr>
        <w:t>a</w:t>
      </w:r>
      <w:r>
        <w:rPr>
          <w:b/>
          <w:spacing w:val="40"/>
          <w:sz w:val="18"/>
        </w:rPr>
        <w:t> </w:t>
      </w:r>
      <w:r>
        <w:rPr>
          <w:b/>
          <w:sz w:val="18"/>
        </w:rPr>
        <w:t>critical</w:t>
      </w:r>
      <w:r>
        <w:rPr>
          <w:b/>
          <w:spacing w:val="40"/>
          <w:sz w:val="18"/>
        </w:rPr>
        <w:t> </w:t>
      </w:r>
      <w:r>
        <w:rPr>
          <w:b/>
          <w:sz w:val="18"/>
        </w:rPr>
        <w:t>challenge</w:t>
      </w:r>
      <w:r>
        <w:rPr>
          <w:b/>
          <w:spacing w:val="40"/>
          <w:sz w:val="18"/>
        </w:rPr>
        <w:t> </w:t>
      </w:r>
      <w:r>
        <w:rPr>
          <w:b/>
          <w:sz w:val="18"/>
        </w:rPr>
        <w:t>in food</w:t>
      </w:r>
      <w:r>
        <w:rPr>
          <w:b/>
          <w:spacing w:val="-6"/>
          <w:sz w:val="18"/>
        </w:rPr>
        <w:t> </w:t>
      </w:r>
      <w:r>
        <w:rPr>
          <w:b/>
          <w:sz w:val="18"/>
        </w:rPr>
        <w:t>processing.</w:t>
      </w:r>
      <w:r>
        <w:rPr>
          <w:b/>
          <w:spacing w:val="-6"/>
          <w:sz w:val="18"/>
        </w:rPr>
        <w:t> </w:t>
      </w:r>
      <w:r>
        <w:rPr>
          <w:b/>
          <w:sz w:val="18"/>
        </w:rPr>
        <w:t>This</w:t>
      </w:r>
      <w:r>
        <w:rPr>
          <w:b/>
          <w:spacing w:val="-6"/>
          <w:sz w:val="18"/>
        </w:rPr>
        <w:t> </w:t>
      </w:r>
      <w:r>
        <w:rPr>
          <w:b/>
          <w:sz w:val="18"/>
        </w:rPr>
        <w:t>study</w:t>
      </w:r>
      <w:r>
        <w:rPr>
          <w:b/>
          <w:spacing w:val="-6"/>
          <w:sz w:val="18"/>
        </w:rPr>
        <w:t> </w:t>
      </w:r>
      <w:r>
        <w:rPr>
          <w:b/>
          <w:sz w:val="18"/>
        </w:rPr>
        <w:t>quantitatively</w:t>
      </w:r>
      <w:r>
        <w:rPr>
          <w:b/>
          <w:spacing w:val="-6"/>
          <w:sz w:val="18"/>
        </w:rPr>
        <w:t> </w:t>
      </w:r>
      <w:r>
        <w:rPr>
          <w:b/>
          <w:sz w:val="18"/>
        </w:rPr>
        <w:t>investigated</w:t>
      </w:r>
      <w:r>
        <w:rPr>
          <w:b/>
          <w:spacing w:val="-6"/>
          <w:sz w:val="18"/>
        </w:rPr>
        <w:t> </w:t>
      </w:r>
      <w:r>
        <w:rPr>
          <w:b/>
          <w:sz w:val="18"/>
        </w:rPr>
        <w:t>the</w:t>
      </w:r>
      <w:r>
        <w:rPr>
          <w:b/>
          <w:spacing w:val="-6"/>
          <w:sz w:val="18"/>
        </w:rPr>
        <w:t> </w:t>
      </w:r>
      <w:r>
        <w:rPr>
          <w:b/>
          <w:sz w:val="18"/>
        </w:rPr>
        <w:t>kinetic behavior and persistence of prominent foodborne pathogens (Salmonella spp., Listeria monocytogenes, and Shiga toxin- producing Escherichia coli) within Prunus dulcis kernels sub- jected to typical industrial hydration (soaking) and subsequent dehydration (drying) regimes. Artificially contaminated samples were processed under controlled environmental conditions, and microbial populations were enumerated at discrete time points</w:t>
      </w:r>
      <w:r>
        <w:rPr>
          <w:b/>
          <w:spacing w:val="80"/>
          <w:sz w:val="18"/>
        </w:rPr>
        <w:t> </w:t>
      </w:r>
      <w:r>
        <w:rPr>
          <w:b/>
          <w:sz w:val="18"/>
        </w:rPr>
        <w:t>to elucidate growth potential and survival dynamics. Results indicated</w:t>
      </w:r>
      <w:r>
        <w:rPr>
          <w:b/>
          <w:spacing w:val="-1"/>
          <w:sz w:val="18"/>
        </w:rPr>
        <w:t> </w:t>
      </w:r>
      <w:r>
        <w:rPr>
          <w:b/>
          <w:sz w:val="18"/>
        </w:rPr>
        <w:t>significant</w:t>
      </w:r>
      <w:r>
        <w:rPr>
          <w:b/>
          <w:spacing w:val="-1"/>
          <w:sz w:val="18"/>
        </w:rPr>
        <w:t> </w:t>
      </w:r>
      <w:r>
        <w:rPr>
          <w:b/>
          <w:sz w:val="18"/>
        </w:rPr>
        <w:t>variability</w:t>
      </w:r>
      <w:r>
        <w:rPr>
          <w:b/>
          <w:spacing w:val="-1"/>
          <w:sz w:val="18"/>
        </w:rPr>
        <w:t> </w:t>
      </w:r>
      <w:r>
        <w:rPr>
          <w:b/>
          <w:sz w:val="18"/>
        </w:rPr>
        <w:t>in</w:t>
      </w:r>
      <w:r>
        <w:rPr>
          <w:b/>
          <w:spacing w:val="-1"/>
          <w:sz w:val="18"/>
        </w:rPr>
        <w:t> </w:t>
      </w:r>
      <w:r>
        <w:rPr>
          <w:b/>
          <w:sz w:val="18"/>
        </w:rPr>
        <w:t>pathogen</w:t>
      </w:r>
      <w:r>
        <w:rPr>
          <w:b/>
          <w:spacing w:val="-1"/>
          <w:sz w:val="18"/>
        </w:rPr>
        <w:t> </w:t>
      </w:r>
      <w:r>
        <w:rPr>
          <w:b/>
          <w:sz w:val="18"/>
        </w:rPr>
        <w:t>response</w:t>
      </w:r>
      <w:r>
        <w:rPr>
          <w:b/>
          <w:spacing w:val="-1"/>
          <w:sz w:val="18"/>
        </w:rPr>
        <w:t> </w:t>
      </w:r>
      <w:r>
        <w:rPr>
          <w:b/>
          <w:sz w:val="18"/>
        </w:rPr>
        <w:t>to</w:t>
      </w:r>
      <w:r>
        <w:rPr>
          <w:b/>
          <w:spacing w:val="-1"/>
          <w:sz w:val="18"/>
        </w:rPr>
        <w:t> </w:t>
      </w:r>
      <w:r>
        <w:rPr>
          <w:b/>
          <w:sz w:val="18"/>
        </w:rPr>
        <w:t>moisture management interventions, with specific critical control points identified where microbial proliferation or enhanced resistance could occur. These findings provide crucial data for enhancing process</w:t>
      </w:r>
      <w:r>
        <w:rPr>
          <w:b/>
          <w:spacing w:val="-12"/>
          <w:sz w:val="18"/>
        </w:rPr>
        <w:t> </w:t>
      </w:r>
      <w:r>
        <w:rPr>
          <w:b/>
          <w:sz w:val="18"/>
        </w:rPr>
        <w:t>validation</w:t>
      </w:r>
      <w:r>
        <w:rPr>
          <w:b/>
          <w:spacing w:val="-11"/>
          <w:sz w:val="18"/>
        </w:rPr>
        <w:t> </w:t>
      </w:r>
      <w:r>
        <w:rPr>
          <w:b/>
          <w:sz w:val="18"/>
        </w:rPr>
        <w:t>protocols</w:t>
      </w:r>
      <w:r>
        <w:rPr>
          <w:b/>
          <w:spacing w:val="-11"/>
          <w:sz w:val="18"/>
        </w:rPr>
        <w:t> </w:t>
      </w:r>
      <w:r>
        <w:rPr>
          <w:b/>
          <w:sz w:val="18"/>
        </w:rPr>
        <w:t>and</w:t>
      </w:r>
      <w:r>
        <w:rPr>
          <w:b/>
          <w:spacing w:val="-11"/>
          <w:sz w:val="18"/>
        </w:rPr>
        <w:t> </w:t>
      </w:r>
      <w:r>
        <w:rPr>
          <w:b/>
          <w:sz w:val="18"/>
        </w:rPr>
        <w:t>refining</w:t>
      </w:r>
      <w:r>
        <w:rPr>
          <w:b/>
          <w:spacing w:val="-12"/>
          <w:sz w:val="18"/>
        </w:rPr>
        <w:t> </w:t>
      </w:r>
      <w:r>
        <w:rPr>
          <w:b/>
          <w:sz w:val="18"/>
        </w:rPr>
        <w:t>risk</w:t>
      </w:r>
      <w:r>
        <w:rPr>
          <w:b/>
          <w:spacing w:val="-11"/>
          <w:sz w:val="18"/>
        </w:rPr>
        <w:t> </w:t>
      </w:r>
      <w:r>
        <w:rPr>
          <w:b/>
          <w:sz w:val="18"/>
        </w:rPr>
        <w:t>mitigation</w:t>
      </w:r>
      <w:r>
        <w:rPr>
          <w:b/>
          <w:spacing w:val="-11"/>
          <w:sz w:val="18"/>
        </w:rPr>
        <w:t> </w:t>
      </w:r>
      <w:r>
        <w:rPr>
          <w:b/>
          <w:sz w:val="18"/>
        </w:rPr>
        <w:t>strategies within the tree nut industry, contributing to improved public health</w:t>
      </w:r>
      <w:r>
        <w:rPr>
          <w:b/>
          <w:spacing w:val="-1"/>
          <w:sz w:val="18"/>
        </w:rPr>
        <w:t> </w:t>
      </w:r>
      <w:r>
        <w:rPr>
          <w:b/>
          <w:sz w:val="18"/>
        </w:rPr>
        <w:t>outcomes</w:t>
      </w:r>
      <w:r>
        <w:rPr>
          <w:b/>
          <w:spacing w:val="-1"/>
          <w:sz w:val="18"/>
        </w:rPr>
        <w:t> </w:t>
      </w:r>
      <w:r>
        <w:rPr>
          <w:b/>
          <w:sz w:val="18"/>
        </w:rPr>
        <w:t>by</w:t>
      </w:r>
      <w:r>
        <w:rPr>
          <w:b/>
          <w:spacing w:val="-1"/>
          <w:sz w:val="18"/>
        </w:rPr>
        <w:t> </w:t>
      </w:r>
      <w:r>
        <w:rPr>
          <w:b/>
          <w:sz w:val="18"/>
        </w:rPr>
        <w:t>characterizing</w:t>
      </w:r>
      <w:r>
        <w:rPr>
          <w:b/>
          <w:spacing w:val="-1"/>
          <w:sz w:val="18"/>
        </w:rPr>
        <w:t> </w:t>
      </w:r>
      <w:r>
        <w:rPr>
          <w:b/>
          <w:sz w:val="18"/>
        </w:rPr>
        <w:t>pathogen</w:t>
      </w:r>
      <w:r>
        <w:rPr>
          <w:b/>
          <w:spacing w:val="-1"/>
          <w:sz w:val="18"/>
        </w:rPr>
        <w:t> </w:t>
      </w:r>
      <w:r>
        <w:rPr>
          <w:b/>
          <w:sz w:val="18"/>
        </w:rPr>
        <w:t>fate</w:t>
      </w:r>
      <w:r>
        <w:rPr>
          <w:b/>
          <w:spacing w:val="-1"/>
          <w:sz w:val="18"/>
        </w:rPr>
        <w:t> </w:t>
      </w:r>
      <w:r>
        <w:rPr>
          <w:b/>
          <w:sz w:val="18"/>
        </w:rPr>
        <w:t>during</w:t>
      </w:r>
      <w:r>
        <w:rPr>
          <w:b/>
          <w:spacing w:val="-1"/>
          <w:sz w:val="18"/>
        </w:rPr>
        <w:t> </w:t>
      </w:r>
      <w:r>
        <w:rPr>
          <w:b/>
          <w:sz w:val="18"/>
        </w:rPr>
        <w:t>posthar- vest processing.</w:t>
      </w:r>
    </w:p>
    <w:p>
      <w:pPr>
        <w:spacing w:line="230" w:lineRule="auto" w:before="16"/>
        <w:ind w:left="259" w:right="0" w:firstLine="199"/>
        <w:jc w:val="both"/>
        <w:rPr>
          <w:b/>
          <w:sz w:val="18"/>
        </w:rPr>
      </w:pPr>
      <w:r>
        <w:rPr>
          <w:b/>
          <w:i/>
          <w:sz w:val="18"/>
        </w:rPr>
        <w:t>Index Terms</w:t>
      </w:r>
      <w:r>
        <w:rPr>
          <w:b/>
          <w:sz w:val="18"/>
        </w:rPr>
        <w:t>—Consumer behavior, </w:t>
      </w:r>
      <w:r>
        <w:rPr>
          <w:b/>
          <w:i/>
          <w:sz w:val="18"/>
        </w:rPr>
        <w:t>Listeria </w:t>
      </w:r>
      <w:r>
        <w:rPr>
          <w:b/>
          <w:i/>
          <w:sz w:val="18"/>
        </w:rPr>
        <w:t>monocytogenes</w:t>
      </w:r>
      <w:r>
        <w:rPr>
          <w:b/>
          <w:sz w:val="18"/>
        </w:rPr>
        <w:t>, </w:t>
      </w:r>
      <w:r>
        <w:rPr>
          <w:b/>
          <w:i/>
          <w:sz w:val="18"/>
        </w:rPr>
        <w:t>Salmonella</w:t>
      </w:r>
      <w:r>
        <w:rPr>
          <w:b/>
          <w:sz w:val="18"/>
        </w:rPr>
        <w:t>,</w:t>
      </w:r>
      <w:r>
        <w:rPr>
          <w:b/>
          <w:spacing w:val="-8"/>
          <w:sz w:val="18"/>
        </w:rPr>
        <w:t> </w:t>
      </w:r>
      <w:r>
        <w:rPr>
          <w:b/>
          <w:sz w:val="18"/>
        </w:rPr>
        <w:t>Shiga</w:t>
      </w:r>
      <w:r>
        <w:rPr>
          <w:b/>
          <w:spacing w:val="-8"/>
          <w:sz w:val="18"/>
        </w:rPr>
        <w:t> </w:t>
      </w:r>
      <w:r>
        <w:rPr>
          <w:b/>
          <w:sz w:val="18"/>
        </w:rPr>
        <w:t>toxin–producing</w:t>
      </w:r>
      <w:r>
        <w:rPr>
          <w:b/>
          <w:spacing w:val="-7"/>
          <w:sz w:val="18"/>
        </w:rPr>
        <w:t> </w:t>
      </w:r>
      <w:r>
        <w:rPr>
          <w:b/>
          <w:i/>
          <w:sz w:val="18"/>
        </w:rPr>
        <w:t>Escherichia</w:t>
      </w:r>
      <w:r>
        <w:rPr>
          <w:b/>
          <w:i/>
          <w:spacing w:val="-8"/>
          <w:sz w:val="18"/>
        </w:rPr>
        <w:t> </w:t>
      </w:r>
      <w:r>
        <w:rPr>
          <w:b/>
          <w:i/>
          <w:sz w:val="18"/>
        </w:rPr>
        <w:t>coli</w:t>
      </w:r>
      <w:r>
        <w:rPr>
          <w:b/>
          <w:sz w:val="18"/>
        </w:rPr>
        <w:t>,</w:t>
      </w:r>
      <w:r>
        <w:rPr>
          <w:b/>
          <w:spacing w:val="-7"/>
          <w:sz w:val="18"/>
        </w:rPr>
        <w:t> </w:t>
      </w:r>
      <w:r>
        <w:rPr>
          <w:b/>
          <w:sz w:val="18"/>
        </w:rPr>
        <w:t>Social</w:t>
      </w:r>
      <w:r>
        <w:rPr>
          <w:b/>
          <w:spacing w:val="-8"/>
          <w:sz w:val="18"/>
        </w:rPr>
        <w:t> </w:t>
      </w:r>
      <w:r>
        <w:rPr>
          <w:b/>
          <w:spacing w:val="-2"/>
          <w:sz w:val="18"/>
        </w:rPr>
        <w:t>media.</w:t>
      </w:r>
    </w:p>
    <w:p>
      <w:pPr>
        <w:pStyle w:val="BodyText"/>
        <w:ind w:left="0"/>
        <w:jc w:val="left"/>
        <w:rPr>
          <w:b/>
          <w:sz w:val="18"/>
        </w:rPr>
      </w:pPr>
    </w:p>
    <w:p>
      <w:pPr>
        <w:pStyle w:val="BodyText"/>
        <w:spacing w:before="43"/>
        <w:ind w:left="0"/>
        <w:jc w:val="left"/>
        <w:rPr>
          <w:b/>
          <w:sz w:val="18"/>
        </w:rPr>
      </w:pPr>
    </w:p>
    <w:p>
      <w:pPr>
        <w:pStyle w:val="ListParagraph"/>
        <w:numPr>
          <w:ilvl w:val="0"/>
          <w:numId w:val="1"/>
        </w:numPr>
        <w:tabs>
          <w:tab w:pos="2206" w:val="left" w:leader="none"/>
        </w:tabs>
        <w:spacing w:line="240" w:lineRule="auto" w:before="0" w:after="0"/>
        <w:ind w:left="2206" w:right="0" w:hanging="214"/>
        <w:jc w:val="left"/>
        <w:rPr>
          <w:sz w:val="20"/>
        </w:rPr>
      </w:pPr>
      <w:bookmarkStart w:name="Introduction" w:id="1"/>
      <w:bookmarkEnd w:id="1"/>
      <w:r>
        <w:rPr/>
      </w:r>
      <w:r>
        <w:rPr>
          <w:smallCaps/>
          <w:spacing w:val="-2"/>
          <w:sz w:val="20"/>
        </w:rPr>
        <w:t>Introduction</w:t>
      </w:r>
    </w:p>
    <w:p>
      <w:pPr>
        <w:pStyle w:val="BodyText"/>
        <w:spacing w:line="249" w:lineRule="auto" w:before="108"/>
        <w:ind w:left="259" w:firstLine="199"/>
      </w:pPr>
      <w:r>
        <w:rPr/>
        <w:t>Nuts and seeds were once considered inherently safe </w:t>
      </w:r>
      <w:r>
        <w:rPr/>
        <w:t>from microbial</w:t>
      </w:r>
      <w:r>
        <w:rPr>
          <w:spacing w:val="-13"/>
        </w:rPr>
        <w:t> </w:t>
      </w:r>
      <w:r>
        <w:rPr/>
        <w:t>contamination.</w:t>
      </w:r>
      <w:r>
        <w:rPr>
          <w:spacing w:val="-12"/>
        </w:rPr>
        <w:t> </w:t>
      </w:r>
      <w:r>
        <w:rPr/>
        <w:t>However,</w:t>
      </w:r>
      <w:r>
        <w:rPr>
          <w:spacing w:val="-13"/>
        </w:rPr>
        <w:t> </w:t>
      </w:r>
      <w:r>
        <w:rPr/>
        <w:t>epidemiological</w:t>
      </w:r>
      <w:r>
        <w:rPr>
          <w:spacing w:val="-12"/>
        </w:rPr>
        <w:t> </w:t>
      </w:r>
      <w:r>
        <w:rPr/>
        <w:t>data</w:t>
      </w:r>
      <w:r>
        <w:rPr>
          <w:spacing w:val="-13"/>
        </w:rPr>
        <w:t> </w:t>
      </w:r>
      <w:r>
        <w:rPr/>
        <w:t>span- ning 2010 to 2019 in the United States and Canada identified 20</w:t>
      </w:r>
      <w:r>
        <w:rPr>
          <w:spacing w:val="33"/>
        </w:rPr>
        <w:t> </w:t>
      </w:r>
      <w:r>
        <w:rPr/>
        <w:t>outbreaks</w:t>
      </w:r>
      <w:r>
        <w:rPr>
          <w:spacing w:val="33"/>
        </w:rPr>
        <w:t> </w:t>
      </w:r>
      <w:r>
        <w:rPr/>
        <w:t>connected</w:t>
      </w:r>
      <w:r>
        <w:rPr>
          <w:spacing w:val="34"/>
        </w:rPr>
        <w:t> </w:t>
      </w:r>
      <w:r>
        <w:rPr/>
        <w:t>to</w:t>
      </w:r>
      <w:r>
        <w:rPr>
          <w:spacing w:val="33"/>
        </w:rPr>
        <w:t> </w:t>
      </w:r>
      <w:r>
        <w:rPr/>
        <w:t>these</w:t>
      </w:r>
      <w:r>
        <w:rPr>
          <w:spacing w:val="34"/>
        </w:rPr>
        <w:t> </w:t>
      </w:r>
      <w:r>
        <w:rPr/>
        <w:t>food</w:t>
      </w:r>
      <w:r>
        <w:rPr>
          <w:spacing w:val="33"/>
        </w:rPr>
        <w:t> </w:t>
      </w:r>
      <w:r>
        <w:rPr/>
        <w:t>categories,</w:t>
      </w:r>
      <w:r>
        <w:rPr>
          <w:spacing w:val="33"/>
        </w:rPr>
        <w:t> </w:t>
      </w:r>
      <w:r>
        <w:rPr/>
        <w:t>leading</w:t>
      </w:r>
      <w:r>
        <w:rPr>
          <w:spacing w:val="34"/>
        </w:rPr>
        <w:t> </w:t>
      </w:r>
      <w:r>
        <w:rPr>
          <w:spacing w:val="-5"/>
        </w:rPr>
        <w:t>to</w:t>
      </w:r>
    </w:p>
    <w:p>
      <w:pPr>
        <w:pStyle w:val="BodyText"/>
        <w:spacing w:line="249" w:lineRule="auto"/>
        <w:ind w:left="259"/>
      </w:pPr>
      <w:r>
        <w:rPr/>
        <w:t>313 confirmed infections with either </w:t>
      </w:r>
      <w:r>
        <w:rPr>
          <w:i/>
        </w:rPr>
        <w:t>Salmonella </w:t>
      </w:r>
      <w:r>
        <w:rPr/>
        <w:t>or </w:t>
      </w:r>
      <w:r>
        <w:rPr/>
        <w:t>STEC</w:t>
      </w:r>
      <w:r>
        <w:rPr>
          <w:spacing w:val="40"/>
        </w:rPr>
        <w:t> </w:t>
      </w:r>
      <w:hyperlink w:history="true" w:anchor="_bookmark6">
        <w:r>
          <w:rPr/>
          <w:t>[11].</w:t>
        </w:r>
      </w:hyperlink>
      <w:r>
        <w:rPr>
          <w:spacing w:val="-13"/>
        </w:rPr>
        <w:t> </w:t>
      </w:r>
      <w:r>
        <w:rPr/>
        <w:t>A</w:t>
      </w:r>
      <w:r>
        <w:rPr>
          <w:spacing w:val="-12"/>
        </w:rPr>
        <w:t> </w:t>
      </w:r>
      <w:r>
        <w:rPr/>
        <w:t>significant</w:t>
      </w:r>
      <w:r>
        <w:rPr>
          <w:spacing w:val="-13"/>
        </w:rPr>
        <w:t> </w:t>
      </w:r>
      <w:r>
        <w:rPr/>
        <w:t>proportion—11</w:t>
      </w:r>
      <w:r>
        <w:rPr>
          <w:spacing w:val="-12"/>
        </w:rPr>
        <w:t> </w:t>
      </w:r>
      <w:r>
        <w:rPr/>
        <w:t>outbreaks—were</w:t>
      </w:r>
      <w:r>
        <w:rPr>
          <w:spacing w:val="-13"/>
        </w:rPr>
        <w:t> </w:t>
      </w:r>
      <w:r>
        <w:rPr/>
        <w:t>associated with</w:t>
      </w:r>
      <w:r>
        <w:rPr>
          <w:spacing w:val="-12"/>
        </w:rPr>
        <w:t> </w:t>
      </w:r>
      <w:r>
        <w:rPr>
          <w:i/>
        </w:rPr>
        <w:t>Salmonella</w:t>
      </w:r>
      <w:r>
        <w:rPr/>
        <w:t>-contaminated</w:t>
      </w:r>
      <w:r>
        <w:rPr>
          <w:spacing w:val="-12"/>
        </w:rPr>
        <w:t> </w:t>
      </w:r>
      <w:r>
        <w:rPr/>
        <w:t>products</w:t>
      </w:r>
      <w:r>
        <w:rPr>
          <w:spacing w:val="-12"/>
        </w:rPr>
        <w:t> </w:t>
      </w:r>
      <w:r>
        <w:rPr/>
        <w:t>such</w:t>
      </w:r>
      <w:r>
        <w:rPr>
          <w:spacing w:val="-12"/>
        </w:rPr>
        <w:t> </w:t>
      </w:r>
      <w:r>
        <w:rPr/>
        <w:t>as</w:t>
      </w:r>
      <w:r>
        <w:rPr>
          <w:spacing w:val="-12"/>
        </w:rPr>
        <w:t> </w:t>
      </w:r>
      <w:r>
        <w:rPr/>
        <w:t>nut</w:t>
      </w:r>
      <w:r>
        <w:rPr>
          <w:spacing w:val="-12"/>
        </w:rPr>
        <w:t> </w:t>
      </w:r>
      <w:r>
        <w:rPr/>
        <w:t>butters</w:t>
      </w:r>
      <w:r>
        <w:rPr>
          <w:spacing w:val="-12"/>
        </w:rPr>
        <w:t> </w:t>
      </w:r>
      <w:r>
        <w:rPr/>
        <w:t>and tahini</w:t>
      </w:r>
      <w:r>
        <w:rPr>
          <w:spacing w:val="-8"/>
        </w:rPr>
        <w:t> </w:t>
      </w:r>
      <w:hyperlink w:history="true" w:anchor="_bookmark7">
        <w:r>
          <w:rPr/>
          <w:t>[12].</w:t>
        </w:r>
      </w:hyperlink>
      <w:r>
        <w:rPr>
          <w:spacing w:val="-8"/>
        </w:rPr>
        <w:t> </w:t>
      </w:r>
      <w:r>
        <w:rPr/>
        <w:t>Between</w:t>
      </w:r>
      <w:r>
        <w:rPr>
          <w:spacing w:val="-8"/>
        </w:rPr>
        <w:t> </w:t>
      </w:r>
      <w:r>
        <w:rPr/>
        <w:t>2016</w:t>
      </w:r>
      <w:r>
        <w:rPr>
          <w:spacing w:val="-8"/>
        </w:rPr>
        <w:t> </w:t>
      </w:r>
      <w:r>
        <w:rPr/>
        <w:t>and</w:t>
      </w:r>
      <w:r>
        <w:rPr>
          <w:spacing w:val="-8"/>
        </w:rPr>
        <w:t> </w:t>
      </w:r>
      <w:r>
        <w:rPr/>
        <w:t>2019,</w:t>
      </w:r>
      <w:r>
        <w:rPr>
          <w:spacing w:val="-8"/>
        </w:rPr>
        <w:t> </w:t>
      </w:r>
      <w:r>
        <w:rPr/>
        <w:t>several</w:t>
      </w:r>
      <w:r>
        <w:rPr>
          <w:spacing w:val="-8"/>
        </w:rPr>
        <w:t> </w:t>
      </w:r>
      <w:r>
        <w:rPr/>
        <w:t>recalls</w:t>
      </w:r>
      <w:r>
        <w:rPr>
          <w:spacing w:val="-8"/>
        </w:rPr>
        <w:t> </w:t>
      </w:r>
      <w:r>
        <w:rPr/>
        <w:t>of</w:t>
      </w:r>
      <w:r>
        <w:rPr>
          <w:spacing w:val="-8"/>
        </w:rPr>
        <w:t> </w:t>
      </w:r>
      <w:r>
        <w:rPr/>
        <w:t>nuts</w:t>
      </w:r>
      <w:r>
        <w:rPr>
          <w:spacing w:val="-8"/>
        </w:rPr>
        <w:t> </w:t>
      </w:r>
      <w:r>
        <w:rPr/>
        <w:t>and seeds were triggered due to detection of </w:t>
      </w:r>
      <w:r>
        <w:rPr>
          <w:i/>
        </w:rPr>
        <w:t>Salmonella</w:t>
      </w:r>
      <w:r>
        <w:rPr/>
        <w:t>, </w:t>
      </w:r>
      <w:r>
        <w:rPr>
          <w:i/>
        </w:rPr>
        <w:t>Listeria monocytogenes</w:t>
      </w:r>
      <w:r>
        <w:rPr/>
        <w:t>, or STEC </w:t>
      </w:r>
      <w:hyperlink w:history="true" w:anchor="_bookmark8">
        <w:r>
          <w:rPr/>
          <w:t>[13].</w:t>
        </w:r>
      </w:hyperlink>
    </w:p>
    <w:p>
      <w:pPr>
        <w:pStyle w:val="BodyText"/>
        <w:spacing w:line="249" w:lineRule="auto" w:before="5"/>
        <w:ind w:left="259" w:firstLine="199"/>
        <w:jc w:val="right"/>
      </w:pPr>
      <w:r>
        <w:rPr/>
        <w:t>A subset of consumers has adopted practices such as </w:t>
      </w:r>
      <w:r>
        <w:rPr/>
        <w:t>soak- ing</w:t>
      </w:r>
      <w:r>
        <w:rPr>
          <w:spacing w:val="-3"/>
        </w:rPr>
        <w:t> </w:t>
      </w:r>
      <w:r>
        <w:rPr/>
        <w:t>or</w:t>
      </w:r>
      <w:r>
        <w:rPr>
          <w:spacing w:val="-3"/>
        </w:rPr>
        <w:t> </w:t>
      </w:r>
      <w:r>
        <w:rPr/>
        <w:t>“activating”</w:t>
      </w:r>
      <w:r>
        <w:rPr>
          <w:spacing w:val="-3"/>
        </w:rPr>
        <w:t> </w:t>
      </w:r>
      <w:r>
        <w:rPr/>
        <w:t>almonds</w:t>
      </w:r>
      <w:r>
        <w:rPr>
          <w:spacing w:val="-3"/>
        </w:rPr>
        <w:t> </w:t>
      </w:r>
      <w:r>
        <w:rPr/>
        <w:t>prior</w:t>
      </w:r>
      <w:r>
        <w:rPr>
          <w:spacing w:val="-3"/>
        </w:rPr>
        <w:t> </w:t>
      </w:r>
      <w:r>
        <w:rPr/>
        <w:t>to</w:t>
      </w:r>
      <w:r>
        <w:rPr>
          <w:spacing w:val="-3"/>
        </w:rPr>
        <w:t> </w:t>
      </w:r>
      <w:r>
        <w:rPr/>
        <w:t>consumption.</w:t>
      </w:r>
      <w:r>
        <w:rPr>
          <w:spacing w:val="-3"/>
        </w:rPr>
        <w:t> </w:t>
      </w:r>
      <w:r>
        <w:rPr/>
        <w:t>These</w:t>
      </w:r>
      <w:r>
        <w:rPr>
          <w:spacing w:val="-3"/>
        </w:rPr>
        <w:t> </w:t>
      </w:r>
      <w:r>
        <w:rPr/>
        <w:t>prod- ucts may be referred to as “sprouted,” “partially sprouted,” or “activated”</w:t>
      </w:r>
      <w:r>
        <w:rPr>
          <w:spacing w:val="-6"/>
        </w:rPr>
        <w:t> </w:t>
      </w:r>
      <w:r>
        <w:rPr/>
        <w:t>depending</w:t>
      </w:r>
      <w:r>
        <w:rPr>
          <w:spacing w:val="-7"/>
        </w:rPr>
        <w:t> </w:t>
      </w:r>
      <w:r>
        <w:rPr/>
        <w:t>on</w:t>
      </w:r>
      <w:r>
        <w:rPr>
          <w:spacing w:val="-6"/>
        </w:rPr>
        <w:t> </w:t>
      </w:r>
      <w:r>
        <w:rPr/>
        <w:t>preparation</w:t>
      </w:r>
      <w:r>
        <w:rPr>
          <w:spacing w:val="-6"/>
        </w:rPr>
        <w:t> </w:t>
      </w:r>
      <w:r>
        <w:rPr/>
        <w:t>methods</w:t>
      </w:r>
      <w:r>
        <w:rPr>
          <w:spacing w:val="-6"/>
        </w:rPr>
        <w:t> </w:t>
      </w:r>
      <w:hyperlink w:history="true" w:anchor="_bookmark9">
        <w:r>
          <w:rPr/>
          <w:t>[14],</w:t>
        </w:r>
      </w:hyperlink>
      <w:r>
        <w:rPr>
          <w:spacing w:val="-7"/>
        </w:rPr>
        <w:t> </w:t>
      </w:r>
      <w:hyperlink w:history="true" w:anchor="_bookmark10">
        <w:r>
          <w:rPr/>
          <w:t>[15],</w:t>
        </w:r>
      </w:hyperlink>
      <w:r>
        <w:rPr>
          <w:spacing w:val="-6"/>
        </w:rPr>
        <w:t> </w:t>
      </w:r>
      <w:hyperlink w:history="true" w:anchor="_bookmark11">
        <w:r>
          <w:rPr/>
          <w:t>[16],</w:t>
        </w:r>
      </w:hyperlink>
      <w:r>
        <w:rPr/>
        <w:t> </w:t>
      </w:r>
      <w:hyperlink w:history="true" w:anchor="_bookmark12">
        <w:r>
          <w:rPr/>
          <w:t>[17].</w:t>
        </w:r>
      </w:hyperlink>
      <w:r>
        <w:rPr>
          <w:spacing w:val="34"/>
        </w:rPr>
        <w:t> </w:t>
      </w:r>
      <w:r>
        <w:rPr/>
        <w:t>Several</w:t>
      </w:r>
      <w:r>
        <w:rPr>
          <w:spacing w:val="34"/>
        </w:rPr>
        <w:t> </w:t>
      </w:r>
      <w:r>
        <w:rPr/>
        <w:t>outbreaks</w:t>
      </w:r>
      <w:r>
        <w:rPr>
          <w:spacing w:val="34"/>
        </w:rPr>
        <w:t> </w:t>
      </w:r>
      <w:r>
        <w:rPr/>
        <w:t>have</w:t>
      </w:r>
      <w:r>
        <w:rPr>
          <w:spacing w:val="34"/>
        </w:rPr>
        <w:t> </w:t>
      </w:r>
      <w:r>
        <w:rPr/>
        <w:t>been</w:t>
      </w:r>
      <w:r>
        <w:rPr>
          <w:spacing w:val="34"/>
        </w:rPr>
        <w:t> </w:t>
      </w:r>
      <w:r>
        <w:rPr/>
        <w:t>traced</w:t>
      </w:r>
      <w:r>
        <w:rPr>
          <w:spacing w:val="34"/>
        </w:rPr>
        <w:t> </w:t>
      </w:r>
      <w:r>
        <w:rPr/>
        <w:t>to</w:t>
      </w:r>
      <w:r>
        <w:rPr>
          <w:spacing w:val="34"/>
        </w:rPr>
        <w:t> </w:t>
      </w:r>
      <w:r>
        <w:rPr/>
        <w:t>these</w:t>
      </w:r>
      <w:r>
        <w:rPr>
          <w:spacing w:val="34"/>
        </w:rPr>
        <w:t> </w:t>
      </w:r>
      <w:r>
        <w:rPr/>
        <w:t>methods: for example, cashew cheese (produced from soaked cashews) was</w:t>
      </w:r>
      <w:r>
        <w:rPr>
          <w:spacing w:val="33"/>
        </w:rPr>
        <w:t> </w:t>
      </w:r>
      <w:r>
        <w:rPr/>
        <w:t>linked</w:t>
      </w:r>
      <w:r>
        <w:rPr>
          <w:spacing w:val="33"/>
        </w:rPr>
        <w:t> </w:t>
      </w:r>
      <w:r>
        <w:rPr/>
        <w:t>to</w:t>
      </w:r>
      <w:r>
        <w:rPr>
          <w:spacing w:val="33"/>
        </w:rPr>
        <w:t> </w:t>
      </w:r>
      <w:r>
        <w:rPr/>
        <w:t>separate</w:t>
      </w:r>
      <w:r>
        <w:rPr>
          <w:spacing w:val="33"/>
        </w:rPr>
        <w:t> </w:t>
      </w:r>
      <w:r>
        <w:rPr/>
        <w:t>outbreaks</w:t>
      </w:r>
      <w:r>
        <w:rPr>
          <w:spacing w:val="33"/>
        </w:rPr>
        <w:t> </w:t>
      </w:r>
      <w:r>
        <w:rPr/>
        <w:t>in</w:t>
      </w:r>
      <w:r>
        <w:rPr>
          <w:spacing w:val="33"/>
        </w:rPr>
        <w:t> </w:t>
      </w:r>
      <w:r>
        <w:rPr/>
        <w:t>Canada</w:t>
      </w:r>
      <w:r>
        <w:rPr>
          <w:spacing w:val="33"/>
        </w:rPr>
        <w:t> </w:t>
      </w:r>
      <w:r>
        <w:rPr/>
        <w:t>and</w:t>
      </w:r>
      <w:r>
        <w:rPr>
          <w:spacing w:val="33"/>
        </w:rPr>
        <w:t> </w:t>
      </w:r>
      <w:r>
        <w:rPr/>
        <w:t>the</w:t>
      </w:r>
      <w:r>
        <w:rPr>
          <w:spacing w:val="33"/>
        </w:rPr>
        <w:t> </w:t>
      </w:r>
      <w:r>
        <w:rPr/>
        <w:t>United States</w:t>
      </w:r>
      <w:r>
        <w:rPr>
          <w:spacing w:val="34"/>
        </w:rPr>
        <w:t> </w:t>
      </w:r>
      <w:hyperlink w:history="true" w:anchor="_bookmark13">
        <w:r>
          <w:rPr/>
          <w:t>[18],</w:t>
        </w:r>
      </w:hyperlink>
      <w:r>
        <w:rPr>
          <w:spacing w:val="34"/>
        </w:rPr>
        <w:t> </w:t>
      </w:r>
      <w:hyperlink w:history="true" w:anchor="_bookmark14">
        <w:r>
          <w:rPr/>
          <w:t>[19],</w:t>
        </w:r>
      </w:hyperlink>
      <w:r>
        <w:rPr>
          <w:spacing w:val="34"/>
        </w:rPr>
        <w:t> </w:t>
      </w:r>
      <w:r>
        <w:rPr/>
        <w:t>and</w:t>
      </w:r>
      <w:r>
        <w:rPr>
          <w:spacing w:val="34"/>
        </w:rPr>
        <w:t> </w:t>
      </w:r>
      <w:r>
        <w:rPr/>
        <w:t>other</w:t>
      </w:r>
      <w:r>
        <w:rPr>
          <w:spacing w:val="34"/>
        </w:rPr>
        <w:t> </w:t>
      </w:r>
      <w:r>
        <w:rPr/>
        <w:t>products</w:t>
      </w:r>
      <w:r>
        <w:rPr>
          <w:spacing w:val="34"/>
        </w:rPr>
        <w:t> </w:t>
      </w:r>
      <w:r>
        <w:rPr/>
        <w:t>like</w:t>
      </w:r>
      <w:r>
        <w:rPr>
          <w:spacing w:val="34"/>
        </w:rPr>
        <w:t> </w:t>
      </w:r>
      <w:r>
        <w:rPr/>
        <w:t>chia</w:t>
      </w:r>
      <w:r>
        <w:rPr>
          <w:spacing w:val="34"/>
        </w:rPr>
        <w:t> </w:t>
      </w:r>
      <w:r>
        <w:rPr/>
        <w:t>seed</w:t>
      </w:r>
      <w:r>
        <w:rPr>
          <w:spacing w:val="34"/>
        </w:rPr>
        <w:t> </w:t>
      </w:r>
      <w:r>
        <w:rPr/>
        <w:t>powder and sprouted nut spreads have also been implicated </w:t>
      </w:r>
      <w:hyperlink w:history="true" w:anchor="_bookmark15">
        <w:r>
          <w:rPr/>
          <w:t>[20],</w:t>
        </w:r>
      </w:hyperlink>
      <w:r>
        <w:rPr/>
        <w:t> </w:t>
      </w:r>
      <w:hyperlink w:history="true" w:anchor="_bookmark9">
        <w:r>
          <w:rPr/>
          <w:t>[14].</w:t>
        </w:r>
      </w:hyperlink>
      <w:r>
        <w:rPr/>
        <w:t> Microbiological studies reveal that </w:t>
      </w:r>
      <w:r>
        <w:rPr>
          <w:i/>
        </w:rPr>
        <w:t>Salmonella </w:t>
      </w:r>
      <w:r>
        <w:rPr/>
        <w:t>populations</w:t>
      </w:r>
      <w:r>
        <w:rPr>
          <w:spacing w:val="40"/>
        </w:rPr>
        <w:t> </w:t>
      </w:r>
      <w:r>
        <w:rPr/>
        <w:t>can increase by at least 3 log CFU during 24 hours of soaking at room temperature (25°C) on various seeds, including chia, pumpkin,</w:t>
      </w:r>
      <w:r>
        <w:rPr>
          <w:spacing w:val="-3"/>
        </w:rPr>
        <w:t> </w:t>
      </w:r>
      <w:r>
        <w:rPr/>
        <w:t>and</w:t>
      </w:r>
      <w:r>
        <w:rPr>
          <w:spacing w:val="-3"/>
        </w:rPr>
        <w:t> </w:t>
      </w:r>
      <w:r>
        <w:rPr/>
        <w:t>sunflower</w:t>
      </w:r>
      <w:r>
        <w:rPr>
          <w:spacing w:val="-2"/>
        </w:rPr>
        <w:t> </w:t>
      </w:r>
      <w:hyperlink w:history="true" w:anchor="_bookmark10">
        <w:r>
          <w:rPr/>
          <w:t>[15],</w:t>
        </w:r>
      </w:hyperlink>
      <w:r>
        <w:rPr>
          <w:spacing w:val="-3"/>
        </w:rPr>
        <w:t> </w:t>
      </w:r>
      <w:hyperlink w:history="true" w:anchor="_bookmark16">
        <w:r>
          <w:rPr/>
          <w:t>[21].</w:t>
        </w:r>
      </w:hyperlink>
      <w:r>
        <w:rPr>
          <w:spacing w:val="-2"/>
        </w:rPr>
        <w:t> </w:t>
      </w:r>
      <w:r>
        <w:rPr/>
        <w:t>Even</w:t>
      </w:r>
      <w:r>
        <w:rPr>
          <w:spacing w:val="-3"/>
        </w:rPr>
        <w:t> </w:t>
      </w:r>
      <w:r>
        <w:rPr/>
        <w:t>after</w:t>
      </w:r>
      <w:r>
        <w:rPr>
          <w:spacing w:val="-2"/>
        </w:rPr>
        <w:t> </w:t>
      </w:r>
      <w:r>
        <w:rPr/>
        <w:t>drying</w:t>
      </w:r>
      <w:r>
        <w:rPr>
          <w:spacing w:val="-3"/>
        </w:rPr>
        <w:t> </w:t>
      </w:r>
      <w:r>
        <w:rPr/>
        <w:t>at</w:t>
      </w:r>
      <w:r>
        <w:rPr>
          <w:spacing w:val="-2"/>
        </w:rPr>
        <w:t> higher</w:t>
      </w:r>
    </w:p>
    <w:p>
      <w:pPr>
        <w:pStyle w:val="BodyText"/>
        <w:spacing w:line="249" w:lineRule="auto" w:before="98"/>
        <w:ind w:right="617"/>
      </w:pPr>
      <w:r>
        <w:rPr/>
        <w:br w:type="column"/>
      </w:r>
      <w:r>
        <w:rPr/>
        <w:t>temperatures (e.g., 60°C), </w:t>
      </w:r>
      <w:r>
        <w:rPr>
          <w:i/>
        </w:rPr>
        <w:t>Salmonella </w:t>
      </w:r>
      <w:r>
        <w:rPr/>
        <w:t>can persist, </w:t>
      </w:r>
      <w:r>
        <w:rPr/>
        <w:t>particularly in chia seeds, where minimal reduction was observed.</w:t>
      </w:r>
    </w:p>
    <w:p>
      <w:pPr>
        <w:pStyle w:val="ListParagraph"/>
        <w:numPr>
          <w:ilvl w:val="0"/>
          <w:numId w:val="1"/>
        </w:numPr>
        <w:tabs>
          <w:tab w:pos="821" w:val="left" w:leader="none"/>
        </w:tabs>
        <w:spacing w:line="240" w:lineRule="auto" w:before="138" w:after="0"/>
        <w:ind w:left="821" w:right="0" w:hanging="289"/>
        <w:jc w:val="both"/>
        <w:rPr>
          <w:sz w:val="20"/>
        </w:rPr>
      </w:pPr>
      <w:bookmarkStart w:name="Social Media and Consumer Engagement" w:id="2"/>
      <w:bookmarkEnd w:id="2"/>
      <w:r>
        <w:rPr/>
      </w:r>
      <w:r>
        <w:rPr>
          <w:smallCaps/>
          <w:sz w:val="20"/>
        </w:rPr>
        <w:t>Social</w:t>
      </w:r>
      <w:r>
        <w:rPr>
          <w:smallCaps/>
          <w:spacing w:val="53"/>
          <w:sz w:val="20"/>
        </w:rPr>
        <w:t> </w:t>
      </w:r>
      <w:r>
        <w:rPr>
          <w:smallCaps/>
          <w:sz w:val="20"/>
        </w:rPr>
        <w:t>Media</w:t>
      </w:r>
      <w:r>
        <w:rPr>
          <w:smallCaps/>
          <w:spacing w:val="53"/>
          <w:sz w:val="20"/>
        </w:rPr>
        <w:t> </w:t>
      </w:r>
      <w:r>
        <w:rPr>
          <w:smallCaps/>
          <w:sz w:val="20"/>
        </w:rPr>
        <w:t>and</w:t>
      </w:r>
      <w:r>
        <w:rPr>
          <w:smallCaps/>
          <w:spacing w:val="54"/>
          <w:sz w:val="20"/>
        </w:rPr>
        <w:t> </w:t>
      </w:r>
      <w:r>
        <w:rPr>
          <w:smallCaps/>
          <w:sz w:val="20"/>
        </w:rPr>
        <w:t>Consumer</w:t>
      </w:r>
      <w:r>
        <w:rPr>
          <w:smallCaps/>
          <w:spacing w:val="53"/>
          <w:sz w:val="20"/>
        </w:rPr>
        <w:t> </w:t>
      </w:r>
      <w:r>
        <w:rPr>
          <w:smallCaps/>
          <w:spacing w:val="-2"/>
          <w:sz w:val="20"/>
        </w:rPr>
        <w:t>Engagement</w:t>
      </w:r>
    </w:p>
    <w:p>
      <w:pPr>
        <w:pStyle w:val="BodyText"/>
        <w:spacing w:line="249" w:lineRule="auto" w:before="74"/>
        <w:ind w:right="617" w:firstLine="199"/>
      </w:pPr>
      <w:r>
        <w:rPr/>
        <w:t>Digital</w:t>
      </w:r>
      <w:r>
        <w:rPr>
          <w:spacing w:val="-11"/>
        </w:rPr>
        <w:t> </w:t>
      </w:r>
      <w:r>
        <w:rPr/>
        <w:t>platforms</w:t>
      </w:r>
      <w:r>
        <w:rPr>
          <w:spacing w:val="-11"/>
        </w:rPr>
        <w:t> </w:t>
      </w:r>
      <w:r>
        <w:rPr/>
        <w:t>like</w:t>
      </w:r>
      <w:r>
        <w:rPr>
          <w:spacing w:val="-11"/>
        </w:rPr>
        <w:t> </w:t>
      </w:r>
      <w:r>
        <w:rPr/>
        <w:t>YouTube</w:t>
      </w:r>
      <w:r>
        <w:rPr>
          <w:spacing w:val="-11"/>
        </w:rPr>
        <w:t> </w:t>
      </w:r>
      <w:r>
        <w:rPr/>
        <w:t>and</w:t>
      </w:r>
      <w:r>
        <w:rPr>
          <w:spacing w:val="-11"/>
        </w:rPr>
        <w:t> </w:t>
      </w:r>
      <w:r>
        <w:rPr/>
        <w:t>food</w:t>
      </w:r>
      <w:r>
        <w:rPr>
          <w:spacing w:val="-11"/>
        </w:rPr>
        <w:t> </w:t>
      </w:r>
      <w:r>
        <w:rPr/>
        <w:t>blogs</w:t>
      </w:r>
      <w:r>
        <w:rPr>
          <w:spacing w:val="-11"/>
        </w:rPr>
        <w:t> </w:t>
      </w:r>
      <w:r>
        <w:rPr/>
        <w:t>have</w:t>
      </w:r>
      <w:r>
        <w:rPr>
          <w:spacing w:val="-11"/>
        </w:rPr>
        <w:t> </w:t>
      </w:r>
      <w:r>
        <w:rPr/>
        <w:t>become integral sources of culinary information. Approximately 66% of individuals aged 25 to 34 use mobile devices for cooking guidance </w:t>
      </w:r>
      <w:hyperlink w:history="true" w:anchor="_bookmark17">
        <w:r>
          <w:rPr/>
          <w:t>[22].</w:t>
        </w:r>
      </w:hyperlink>
      <w:r>
        <w:rPr/>
        <w:t> Recipe-based blogs and cooking videos are highly interactive, with user engagement often analyzed via likes, comments, and view counts </w:t>
      </w:r>
      <w:hyperlink w:history="true" w:anchor="_bookmark18">
        <w:r>
          <w:rPr/>
          <w:t>[23].</w:t>
        </w:r>
      </w:hyperlink>
      <w:r>
        <w:rPr/>
        <w:t> However, several evaluations have shown that such content typically lacks important food safety advisories and demonstrates improper food handling techniques </w:t>
      </w:r>
      <w:hyperlink w:history="true" w:anchor="_bookmark19">
        <w:r>
          <w:rPr/>
          <w:t>[24],</w:t>
        </w:r>
      </w:hyperlink>
      <w:r>
        <w:rPr/>
        <w:t> </w:t>
      </w:r>
      <w:hyperlink w:history="true" w:anchor="_bookmark20">
        <w:r>
          <w:rPr/>
          <w:t>[25],</w:t>
        </w:r>
      </w:hyperlink>
      <w:r>
        <w:rPr/>
        <w:t> </w:t>
      </w:r>
      <w:hyperlink w:history="true" w:anchor="_bookmark21">
        <w:r>
          <w:rPr/>
          <w:t>[26],</w:t>
        </w:r>
      </w:hyperlink>
      <w:r>
        <w:rPr/>
        <w:t> </w:t>
      </w:r>
      <w:hyperlink w:history="true" w:anchor="_bookmark22">
        <w:r>
          <w:rPr/>
          <w:t>[27],</w:t>
        </w:r>
      </w:hyperlink>
      <w:r>
        <w:rPr/>
        <w:t> </w:t>
      </w:r>
      <w:hyperlink w:history="true" w:anchor="_bookmark23">
        <w:r>
          <w:rPr/>
          <w:t>[28].</w:t>
        </w:r>
      </w:hyperlink>
    </w:p>
    <w:p>
      <w:pPr>
        <w:pStyle w:val="BodyText"/>
        <w:spacing w:line="249" w:lineRule="auto"/>
        <w:ind w:right="617" w:firstLine="199"/>
      </w:pPr>
      <w:r>
        <w:rPr/>
        <w:t>Prior consumer surveys, conducted before 2009, </w:t>
      </w:r>
      <w:r>
        <w:rPr/>
        <w:t>identified varied methods of almond consumption, including raw or roasted intake, inclusion in cooking, and use in nut butter and almond milk. Notably, soaking almonds was neither reported by respondents nor addressed in survey instruments </w:t>
      </w:r>
      <w:hyperlink w:history="true" w:anchor="_bookmark24">
        <w:r>
          <w:rPr/>
          <w:t>[29].</w:t>
        </w:r>
      </w:hyperlink>
    </w:p>
    <w:p>
      <w:pPr>
        <w:pStyle w:val="ListParagraph"/>
        <w:numPr>
          <w:ilvl w:val="0"/>
          <w:numId w:val="1"/>
        </w:numPr>
        <w:tabs>
          <w:tab w:pos="2351" w:val="left" w:leader="none"/>
        </w:tabs>
        <w:spacing w:line="240" w:lineRule="auto" w:before="138" w:after="0"/>
        <w:ind w:left="2351" w:right="0" w:hanging="364"/>
        <w:jc w:val="left"/>
        <w:rPr>
          <w:sz w:val="20"/>
        </w:rPr>
      </w:pPr>
      <w:bookmarkStart w:name="Objectives" w:id="3"/>
      <w:bookmarkEnd w:id="3"/>
      <w:r>
        <w:rPr/>
      </w:r>
      <w:r>
        <w:rPr>
          <w:smallCaps/>
          <w:spacing w:val="-2"/>
          <w:sz w:val="20"/>
        </w:rPr>
        <w:t>Objectives</w:t>
      </w:r>
    </w:p>
    <w:p>
      <w:pPr>
        <w:pStyle w:val="BodyText"/>
        <w:spacing w:line="249" w:lineRule="auto" w:before="74"/>
        <w:ind w:right="617" w:firstLine="199"/>
      </w:pPr>
      <w:r>
        <w:rPr/>
        <w:t>Given the paucity of information regarding the </w:t>
      </w:r>
      <w:r>
        <w:rPr/>
        <w:t>microbial risks of almond soaking and the limited inclusion of food safety content in online recipes, the current study aimed to:</w:t>
      </w:r>
    </w:p>
    <w:p>
      <w:pPr>
        <w:pStyle w:val="ListParagraph"/>
        <w:numPr>
          <w:ilvl w:val="0"/>
          <w:numId w:val="2"/>
        </w:numPr>
        <w:tabs>
          <w:tab w:pos="595" w:val="left" w:leader="none"/>
          <w:tab w:pos="597" w:val="left" w:leader="none"/>
        </w:tabs>
        <w:spacing w:line="249" w:lineRule="auto" w:before="41" w:after="0"/>
        <w:ind w:left="597" w:right="617" w:hanging="182"/>
        <w:jc w:val="both"/>
        <w:rPr>
          <w:sz w:val="20"/>
        </w:rPr>
      </w:pPr>
      <w:r>
        <w:rPr>
          <w:sz w:val="20"/>
        </w:rPr>
        <w:t>Characterize a representative sample of online </w:t>
      </w:r>
      <w:r>
        <w:rPr>
          <w:sz w:val="20"/>
        </w:rPr>
        <w:t>content (blogs and videos) on almond soaking practices.</w:t>
      </w:r>
    </w:p>
    <w:p>
      <w:pPr>
        <w:pStyle w:val="ListParagraph"/>
        <w:numPr>
          <w:ilvl w:val="0"/>
          <w:numId w:val="2"/>
        </w:numPr>
        <w:tabs>
          <w:tab w:pos="595" w:val="left" w:leader="none"/>
          <w:tab w:pos="597" w:val="left" w:leader="none"/>
        </w:tabs>
        <w:spacing w:line="249" w:lineRule="auto" w:before="0" w:after="0"/>
        <w:ind w:left="597" w:right="617" w:hanging="182"/>
        <w:jc w:val="both"/>
        <w:rPr>
          <w:sz w:val="20"/>
        </w:rPr>
      </w:pPr>
      <w:r>
        <w:rPr>
          <w:sz w:val="20"/>
        </w:rPr>
        <w:t>Experimentally</w:t>
      </w:r>
      <w:r>
        <w:rPr>
          <w:spacing w:val="-4"/>
          <w:sz w:val="20"/>
        </w:rPr>
        <w:t> </w:t>
      </w:r>
      <w:r>
        <w:rPr>
          <w:sz w:val="20"/>
        </w:rPr>
        <w:t>evaluate</w:t>
      </w:r>
      <w:r>
        <w:rPr>
          <w:spacing w:val="-4"/>
          <w:sz w:val="20"/>
        </w:rPr>
        <w:t> </w:t>
      </w:r>
      <w:r>
        <w:rPr>
          <w:sz w:val="20"/>
        </w:rPr>
        <w:t>microbial</w:t>
      </w:r>
      <w:r>
        <w:rPr>
          <w:spacing w:val="-4"/>
          <w:sz w:val="20"/>
        </w:rPr>
        <w:t> </w:t>
      </w:r>
      <w:r>
        <w:rPr>
          <w:sz w:val="20"/>
        </w:rPr>
        <w:t>growth</w:t>
      </w:r>
      <w:r>
        <w:rPr>
          <w:spacing w:val="-4"/>
          <w:sz w:val="20"/>
        </w:rPr>
        <w:t> </w:t>
      </w:r>
      <w:r>
        <w:rPr>
          <w:sz w:val="20"/>
        </w:rPr>
        <w:t>during</w:t>
      </w:r>
      <w:r>
        <w:rPr>
          <w:spacing w:val="-4"/>
          <w:sz w:val="20"/>
        </w:rPr>
        <w:t> </w:t>
      </w:r>
      <w:r>
        <w:rPr>
          <w:sz w:val="20"/>
        </w:rPr>
        <w:t>almond soaking and subsequent drying.</w:t>
      </w:r>
    </w:p>
    <w:p>
      <w:pPr>
        <w:pStyle w:val="ListParagraph"/>
        <w:numPr>
          <w:ilvl w:val="0"/>
          <w:numId w:val="1"/>
        </w:numPr>
        <w:tabs>
          <w:tab w:pos="2183" w:val="left" w:leader="none"/>
        </w:tabs>
        <w:spacing w:line="240" w:lineRule="auto" w:before="138" w:after="0"/>
        <w:ind w:left="2183" w:right="0" w:hanging="342"/>
        <w:jc w:val="left"/>
        <w:rPr>
          <w:sz w:val="20"/>
        </w:rPr>
      </w:pPr>
      <w:bookmarkStart w:name="Methodology" w:id="4"/>
      <w:bookmarkEnd w:id="4"/>
      <w:r>
        <w:rPr/>
      </w:r>
      <w:r>
        <w:rPr>
          <w:smallCaps/>
          <w:spacing w:val="-2"/>
          <w:sz w:val="20"/>
        </w:rPr>
        <w:t>Methodology</w:t>
      </w:r>
    </w:p>
    <w:p>
      <w:pPr>
        <w:pStyle w:val="ListParagraph"/>
        <w:numPr>
          <w:ilvl w:val="0"/>
          <w:numId w:val="3"/>
        </w:numPr>
        <w:tabs>
          <w:tab w:pos="469" w:val="left" w:leader="none"/>
        </w:tabs>
        <w:spacing w:line="240" w:lineRule="auto" w:before="74" w:after="0"/>
        <w:ind w:left="469" w:right="0" w:hanging="270"/>
        <w:jc w:val="left"/>
        <w:rPr>
          <w:i/>
          <w:sz w:val="20"/>
        </w:rPr>
      </w:pPr>
      <w:bookmarkStart w:name="Content Analysis of Online Recipes" w:id="5"/>
      <w:bookmarkEnd w:id="5"/>
      <w:r>
        <w:rPr/>
      </w:r>
      <w:r>
        <w:rPr>
          <w:i/>
          <w:sz w:val="20"/>
        </w:rPr>
        <w:t>Content</w:t>
      </w:r>
      <w:r>
        <w:rPr>
          <w:i/>
          <w:spacing w:val="13"/>
          <w:sz w:val="20"/>
        </w:rPr>
        <w:t> </w:t>
      </w:r>
      <w:r>
        <w:rPr>
          <w:i/>
          <w:sz w:val="20"/>
        </w:rPr>
        <w:t>Analysis</w:t>
      </w:r>
      <w:r>
        <w:rPr>
          <w:i/>
          <w:spacing w:val="14"/>
          <w:sz w:val="20"/>
        </w:rPr>
        <w:t> </w:t>
      </w:r>
      <w:r>
        <w:rPr>
          <w:i/>
          <w:sz w:val="20"/>
        </w:rPr>
        <w:t>of</w:t>
      </w:r>
      <w:r>
        <w:rPr>
          <w:i/>
          <w:spacing w:val="14"/>
          <w:sz w:val="20"/>
        </w:rPr>
        <w:t> </w:t>
      </w:r>
      <w:r>
        <w:rPr>
          <w:i/>
          <w:sz w:val="20"/>
        </w:rPr>
        <w:t>Online</w:t>
      </w:r>
      <w:r>
        <w:rPr>
          <w:i/>
          <w:spacing w:val="14"/>
          <w:sz w:val="20"/>
        </w:rPr>
        <w:t> </w:t>
      </w:r>
      <w:r>
        <w:rPr>
          <w:i/>
          <w:spacing w:val="-2"/>
          <w:sz w:val="20"/>
        </w:rPr>
        <w:t>Recipes</w:t>
      </w:r>
    </w:p>
    <w:p>
      <w:pPr>
        <w:pStyle w:val="BodyText"/>
        <w:spacing w:line="249" w:lineRule="auto" w:before="74"/>
        <w:ind w:right="617" w:firstLine="199"/>
        <w:jc w:val="right"/>
      </w:pPr>
      <w:r>
        <w:rPr>
          <w:b/>
        </w:rPr>
        <w:t>Blog</w:t>
      </w:r>
      <w:r>
        <w:rPr>
          <w:b/>
          <w:spacing w:val="40"/>
        </w:rPr>
        <w:t> </w:t>
      </w:r>
      <w:r>
        <w:rPr>
          <w:b/>
        </w:rPr>
        <w:t>Selection:</w:t>
      </w:r>
      <w:r>
        <w:rPr>
          <w:b/>
          <w:spacing w:val="40"/>
        </w:rPr>
        <w:t> </w:t>
      </w:r>
      <w:r>
        <w:rPr/>
        <w:t>A</w:t>
      </w:r>
      <w:r>
        <w:rPr>
          <w:spacing w:val="40"/>
        </w:rPr>
        <w:t> </w:t>
      </w:r>
      <w:r>
        <w:rPr/>
        <w:t>Google</w:t>
      </w:r>
      <w:r>
        <w:rPr>
          <w:spacing w:val="40"/>
        </w:rPr>
        <w:t> </w:t>
      </w:r>
      <w:r>
        <w:rPr/>
        <w:t>search</w:t>
      </w:r>
      <w:r>
        <w:rPr>
          <w:spacing w:val="40"/>
        </w:rPr>
        <w:t> </w:t>
      </w:r>
      <w:r>
        <w:rPr/>
        <w:t>was</w:t>
      </w:r>
      <w:r>
        <w:rPr>
          <w:spacing w:val="40"/>
        </w:rPr>
        <w:t> </w:t>
      </w:r>
      <w:r>
        <w:rPr/>
        <w:t>conducted</w:t>
      </w:r>
      <w:r>
        <w:rPr>
          <w:spacing w:val="40"/>
        </w:rPr>
        <w:t> </w:t>
      </w:r>
      <w:r>
        <w:rPr/>
        <w:t>on</w:t>
      </w:r>
      <w:r>
        <w:rPr>
          <w:spacing w:val="40"/>
        </w:rPr>
        <w:t> </w:t>
      </w:r>
      <w:r>
        <w:rPr/>
        <w:t>14 December</w:t>
      </w:r>
      <w:r>
        <w:rPr>
          <w:spacing w:val="40"/>
        </w:rPr>
        <w:t> </w:t>
      </w:r>
      <w:r>
        <w:rPr/>
        <w:t>2018</w:t>
      </w:r>
      <w:r>
        <w:rPr>
          <w:spacing w:val="40"/>
        </w:rPr>
        <w:t> </w:t>
      </w:r>
      <w:r>
        <w:rPr/>
        <w:t>using</w:t>
      </w:r>
      <w:r>
        <w:rPr>
          <w:spacing w:val="40"/>
        </w:rPr>
        <w:t> </w:t>
      </w:r>
      <w:r>
        <w:rPr/>
        <w:t>terms</w:t>
      </w:r>
      <w:r>
        <w:rPr>
          <w:spacing w:val="40"/>
        </w:rPr>
        <w:t> </w:t>
      </w:r>
      <w:r>
        <w:rPr/>
        <w:t>such</w:t>
      </w:r>
      <w:r>
        <w:rPr>
          <w:spacing w:val="40"/>
        </w:rPr>
        <w:t> </w:t>
      </w:r>
      <w:r>
        <w:rPr/>
        <w:t>as</w:t>
      </w:r>
      <w:r>
        <w:rPr>
          <w:spacing w:val="40"/>
        </w:rPr>
        <w:t> </w:t>
      </w:r>
      <w:r>
        <w:rPr/>
        <w:t>“activating</w:t>
      </w:r>
      <w:r>
        <w:rPr>
          <w:spacing w:val="40"/>
        </w:rPr>
        <w:t> </w:t>
      </w:r>
      <w:r>
        <w:rPr/>
        <w:t>almonds,” “soaking almonds,” and “sprouting almonds.” The search was depersonalized,</w:t>
      </w:r>
      <w:r>
        <w:rPr>
          <w:spacing w:val="40"/>
        </w:rPr>
        <w:t> </w:t>
      </w:r>
      <w:r>
        <w:rPr/>
        <w:t>and</w:t>
      </w:r>
      <w:r>
        <w:rPr>
          <w:spacing w:val="40"/>
        </w:rPr>
        <w:t> </w:t>
      </w:r>
      <w:r>
        <w:rPr/>
        <w:t>44</w:t>
      </w:r>
      <w:r>
        <w:rPr>
          <w:spacing w:val="40"/>
        </w:rPr>
        <w:t> </w:t>
      </w:r>
      <w:r>
        <w:rPr/>
        <w:t>blogs</w:t>
      </w:r>
      <w:r>
        <w:rPr>
          <w:spacing w:val="40"/>
        </w:rPr>
        <w:t> </w:t>
      </w:r>
      <w:r>
        <w:rPr/>
        <w:t>were</w:t>
      </w:r>
      <w:r>
        <w:rPr>
          <w:spacing w:val="40"/>
        </w:rPr>
        <w:t> </w:t>
      </w:r>
      <w:r>
        <w:rPr/>
        <w:t>included</w:t>
      </w:r>
      <w:r>
        <w:rPr>
          <w:spacing w:val="40"/>
        </w:rPr>
        <w:t> </w:t>
      </w:r>
      <w:r>
        <w:rPr/>
        <w:t>after</w:t>
      </w:r>
      <w:r>
        <w:rPr>
          <w:spacing w:val="40"/>
        </w:rPr>
        <w:t> </w:t>
      </w:r>
      <w:r>
        <w:rPr/>
        <w:t>exclud- ing</w:t>
      </w:r>
      <w:r>
        <w:rPr>
          <w:spacing w:val="40"/>
        </w:rPr>
        <w:t> </w:t>
      </w:r>
      <w:r>
        <w:rPr/>
        <w:t>non-relevant</w:t>
      </w:r>
      <w:r>
        <w:rPr>
          <w:spacing w:val="40"/>
        </w:rPr>
        <w:t> </w:t>
      </w:r>
      <w:r>
        <w:rPr/>
        <w:t>media</w:t>
      </w:r>
      <w:r>
        <w:rPr>
          <w:spacing w:val="40"/>
        </w:rPr>
        <w:t> </w:t>
      </w:r>
      <w:r>
        <w:rPr/>
        <w:t>types</w:t>
      </w:r>
      <w:r>
        <w:rPr>
          <w:spacing w:val="40"/>
        </w:rPr>
        <w:t> </w:t>
      </w:r>
      <w:r>
        <w:rPr/>
        <w:t>(e.g.,</w:t>
      </w:r>
      <w:r>
        <w:rPr>
          <w:spacing w:val="40"/>
        </w:rPr>
        <w:t> </w:t>
      </w:r>
      <w:r>
        <w:rPr/>
        <w:t>audio/video-only</w:t>
      </w:r>
      <w:r>
        <w:rPr>
          <w:spacing w:val="40"/>
        </w:rPr>
        <w:t> </w:t>
      </w:r>
      <w:r>
        <w:rPr/>
        <w:t>blogs, journals,</w:t>
      </w:r>
      <w:r>
        <w:rPr>
          <w:spacing w:val="39"/>
        </w:rPr>
        <w:t> </w:t>
      </w:r>
      <w:r>
        <w:rPr/>
        <w:t>commercial</w:t>
      </w:r>
      <w:r>
        <w:rPr>
          <w:spacing w:val="39"/>
        </w:rPr>
        <w:t> </w:t>
      </w:r>
      <w:r>
        <w:rPr/>
        <w:t>sites,</w:t>
      </w:r>
      <w:r>
        <w:rPr>
          <w:spacing w:val="38"/>
        </w:rPr>
        <w:t> </w:t>
      </w:r>
      <w:r>
        <w:rPr/>
        <w:t>books).</w:t>
      </w:r>
      <w:r>
        <w:rPr>
          <w:spacing w:val="39"/>
        </w:rPr>
        <w:t> </w:t>
      </w:r>
      <w:r>
        <w:rPr/>
        <w:t>Popularity</w:t>
      </w:r>
      <w:r>
        <w:rPr>
          <w:spacing w:val="39"/>
        </w:rPr>
        <w:t> </w:t>
      </w:r>
      <w:r>
        <w:rPr/>
        <w:t>metrics</w:t>
      </w:r>
      <w:r>
        <w:rPr>
          <w:spacing w:val="38"/>
        </w:rPr>
        <w:t> </w:t>
      </w:r>
      <w:r>
        <w:rPr/>
        <w:t>were sourced</w:t>
      </w:r>
      <w:r>
        <w:rPr>
          <w:spacing w:val="-9"/>
        </w:rPr>
        <w:t> </w:t>
      </w:r>
      <w:r>
        <w:rPr/>
        <w:t>from</w:t>
      </w:r>
      <w:r>
        <w:rPr>
          <w:spacing w:val="-9"/>
        </w:rPr>
        <w:t> </w:t>
      </w:r>
      <w:r>
        <w:rPr/>
        <w:t>Alexa</w:t>
      </w:r>
      <w:r>
        <w:rPr>
          <w:spacing w:val="-9"/>
        </w:rPr>
        <w:t> </w:t>
      </w:r>
      <w:r>
        <w:rPr/>
        <w:t>Internet</w:t>
      </w:r>
      <w:r>
        <w:rPr>
          <w:spacing w:val="-9"/>
        </w:rPr>
        <w:t> </w:t>
      </w:r>
      <w:r>
        <w:rPr/>
        <w:t>(see</w:t>
      </w:r>
      <w:r>
        <w:rPr>
          <w:spacing w:val="-9"/>
        </w:rPr>
        <w:t> </w:t>
      </w:r>
      <w:r>
        <w:rPr/>
        <w:t>Supplemental</w:t>
      </w:r>
      <w:r>
        <w:rPr>
          <w:spacing w:val="-9"/>
        </w:rPr>
        <w:t> </w:t>
      </w:r>
      <w:r>
        <w:rPr/>
        <w:t>Table</w:t>
      </w:r>
      <w:r>
        <w:rPr>
          <w:spacing w:val="-9"/>
        </w:rPr>
        <w:t> </w:t>
      </w:r>
      <w:r>
        <w:rPr/>
        <w:t>S1)</w:t>
      </w:r>
      <w:r>
        <w:rPr>
          <w:spacing w:val="-9"/>
        </w:rPr>
        <w:t> </w:t>
      </w:r>
      <w:hyperlink w:history="true" w:anchor="_bookmark22">
        <w:r>
          <w:rPr/>
          <w:t>[27].</w:t>
        </w:r>
      </w:hyperlink>
      <w:r>
        <w:rPr/>
        <w:t> </w:t>
      </w:r>
      <w:r>
        <w:rPr>
          <w:b/>
        </w:rPr>
        <w:t>Video Selection: </w:t>
      </w:r>
      <w:r>
        <w:rPr/>
        <w:t>A simultaneous search on YouTube using “soaking</w:t>
      </w:r>
      <w:r>
        <w:rPr>
          <w:spacing w:val="-5"/>
        </w:rPr>
        <w:t> </w:t>
      </w:r>
      <w:r>
        <w:rPr/>
        <w:t>almonds”</w:t>
      </w:r>
      <w:r>
        <w:rPr>
          <w:spacing w:val="-5"/>
        </w:rPr>
        <w:t> </w:t>
      </w:r>
      <w:r>
        <w:rPr/>
        <w:t>led</w:t>
      </w:r>
      <w:r>
        <w:rPr>
          <w:spacing w:val="-5"/>
        </w:rPr>
        <w:t> </w:t>
      </w:r>
      <w:r>
        <w:rPr/>
        <w:t>to</w:t>
      </w:r>
      <w:r>
        <w:rPr>
          <w:spacing w:val="-5"/>
        </w:rPr>
        <w:t> </w:t>
      </w:r>
      <w:r>
        <w:rPr/>
        <w:t>the</w:t>
      </w:r>
      <w:r>
        <w:rPr>
          <w:spacing w:val="-4"/>
        </w:rPr>
        <w:t> </w:t>
      </w:r>
      <w:r>
        <w:rPr/>
        <w:t>selection</w:t>
      </w:r>
      <w:r>
        <w:rPr>
          <w:spacing w:val="-5"/>
        </w:rPr>
        <w:t> </w:t>
      </w:r>
      <w:r>
        <w:rPr/>
        <w:t>of</w:t>
      </w:r>
      <w:r>
        <w:rPr>
          <w:spacing w:val="-5"/>
        </w:rPr>
        <w:t> </w:t>
      </w:r>
      <w:r>
        <w:rPr/>
        <w:t>41</w:t>
      </w:r>
      <w:r>
        <w:rPr>
          <w:spacing w:val="-5"/>
        </w:rPr>
        <w:t> </w:t>
      </w:r>
      <w:r>
        <w:rPr/>
        <w:t>videos.</w:t>
      </w:r>
      <w:r>
        <w:rPr>
          <w:spacing w:val="-5"/>
        </w:rPr>
        <w:t> </w:t>
      </w:r>
      <w:r>
        <w:rPr/>
        <w:t>Exclusion criteria</w:t>
      </w:r>
      <w:r>
        <w:rPr>
          <w:spacing w:val="20"/>
        </w:rPr>
        <w:t> </w:t>
      </w:r>
      <w:r>
        <w:rPr/>
        <w:t>included</w:t>
      </w:r>
      <w:r>
        <w:rPr>
          <w:spacing w:val="19"/>
        </w:rPr>
        <w:t> </w:t>
      </w:r>
      <w:r>
        <w:rPr/>
        <w:t>non-English</w:t>
      </w:r>
      <w:r>
        <w:rPr>
          <w:spacing w:val="20"/>
        </w:rPr>
        <w:t> </w:t>
      </w:r>
      <w:r>
        <w:rPr/>
        <w:t>content,</w:t>
      </w:r>
      <w:r>
        <w:rPr>
          <w:spacing w:val="20"/>
        </w:rPr>
        <w:t> </w:t>
      </w:r>
      <w:r>
        <w:rPr/>
        <w:t>videos</w:t>
      </w:r>
      <w:r>
        <w:rPr>
          <w:spacing w:val="20"/>
        </w:rPr>
        <w:t> </w:t>
      </w:r>
      <w:r>
        <w:rPr/>
        <w:t>with</w:t>
      </w:r>
      <w:r>
        <w:rPr>
          <w:spacing w:val="20"/>
        </w:rPr>
        <w:t> </w:t>
      </w:r>
      <w:r>
        <w:rPr/>
        <w:t>under</w:t>
      </w:r>
      <w:r>
        <w:rPr>
          <w:spacing w:val="20"/>
        </w:rPr>
        <w:t> </w:t>
      </w:r>
      <w:r>
        <w:rPr>
          <w:spacing w:val="-5"/>
        </w:rPr>
        <w:t>200</w:t>
      </w:r>
    </w:p>
    <w:p>
      <w:pPr>
        <w:pStyle w:val="BodyText"/>
        <w:spacing w:line="230" w:lineRule="exact"/>
      </w:pPr>
      <w:r>
        <w:rPr/>
        <w:t>views,</w:t>
      </w:r>
      <w:r>
        <w:rPr>
          <w:spacing w:val="12"/>
        </w:rPr>
        <w:t> </w:t>
      </w:r>
      <w:r>
        <w:rPr/>
        <w:t>and</w:t>
      </w:r>
      <w:r>
        <w:rPr>
          <w:spacing w:val="13"/>
        </w:rPr>
        <w:t> </w:t>
      </w:r>
      <w:r>
        <w:rPr/>
        <w:t>those</w:t>
      </w:r>
      <w:r>
        <w:rPr>
          <w:spacing w:val="13"/>
        </w:rPr>
        <w:t> </w:t>
      </w:r>
      <w:r>
        <w:rPr/>
        <w:t>lacking</w:t>
      </w:r>
      <w:r>
        <w:rPr>
          <w:spacing w:val="13"/>
        </w:rPr>
        <w:t> </w:t>
      </w:r>
      <w:r>
        <w:rPr/>
        <w:t>soaking</w:t>
      </w:r>
      <w:r>
        <w:rPr>
          <w:spacing w:val="12"/>
        </w:rPr>
        <w:t> </w:t>
      </w:r>
      <w:r>
        <w:rPr/>
        <w:t>procedure</w:t>
      </w:r>
      <w:r>
        <w:rPr>
          <w:spacing w:val="13"/>
        </w:rPr>
        <w:t> </w:t>
      </w:r>
      <w:r>
        <w:rPr>
          <w:spacing w:val="-2"/>
        </w:rPr>
        <w:t>details.</w:t>
      </w:r>
    </w:p>
    <w:p>
      <w:pPr>
        <w:pStyle w:val="BodyText"/>
        <w:spacing w:line="249" w:lineRule="auto" w:before="9"/>
        <w:ind w:right="617" w:firstLine="199"/>
      </w:pPr>
      <w:r>
        <w:rPr>
          <w:b/>
        </w:rPr>
        <w:t>Coding Criteria: </w:t>
      </w:r>
      <w:r>
        <w:rPr/>
        <w:t>Blogs and videos were evaluated using a coding</w:t>
      </w:r>
      <w:r>
        <w:rPr>
          <w:spacing w:val="-5"/>
        </w:rPr>
        <w:t> </w:t>
      </w:r>
      <w:r>
        <w:rPr/>
        <w:t>scheme</w:t>
      </w:r>
      <w:r>
        <w:rPr>
          <w:spacing w:val="-5"/>
        </w:rPr>
        <w:t> </w:t>
      </w:r>
      <w:r>
        <w:rPr/>
        <w:t>covering</w:t>
      </w:r>
      <w:r>
        <w:rPr>
          <w:spacing w:val="-5"/>
        </w:rPr>
        <w:t> </w:t>
      </w:r>
      <w:r>
        <w:rPr/>
        <w:t>source</w:t>
      </w:r>
      <w:r>
        <w:rPr>
          <w:spacing w:val="-5"/>
        </w:rPr>
        <w:t> </w:t>
      </w:r>
      <w:r>
        <w:rPr/>
        <w:t>classification,</w:t>
      </w:r>
      <w:r>
        <w:rPr>
          <w:spacing w:val="-5"/>
        </w:rPr>
        <w:t> </w:t>
      </w:r>
      <w:r>
        <w:rPr/>
        <w:t>user</w:t>
      </w:r>
      <w:r>
        <w:rPr>
          <w:spacing w:val="-5"/>
        </w:rPr>
        <w:t> </w:t>
      </w:r>
      <w:r>
        <w:rPr/>
        <w:t>interaction, soaking</w:t>
      </w:r>
      <w:r>
        <w:rPr>
          <w:spacing w:val="-5"/>
        </w:rPr>
        <w:t> </w:t>
      </w:r>
      <w:r>
        <w:rPr/>
        <w:t>procedure</w:t>
      </w:r>
      <w:r>
        <w:rPr>
          <w:spacing w:val="-5"/>
        </w:rPr>
        <w:t> </w:t>
      </w:r>
      <w:r>
        <w:rPr/>
        <w:t>details,</w:t>
      </w:r>
      <w:r>
        <w:rPr>
          <w:spacing w:val="-5"/>
        </w:rPr>
        <w:t> </w:t>
      </w:r>
      <w:r>
        <w:rPr/>
        <w:t>and</w:t>
      </w:r>
      <w:r>
        <w:rPr>
          <w:spacing w:val="-5"/>
        </w:rPr>
        <w:t> </w:t>
      </w:r>
      <w:r>
        <w:rPr/>
        <w:t>presence</w:t>
      </w:r>
      <w:r>
        <w:rPr>
          <w:spacing w:val="-5"/>
        </w:rPr>
        <w:t> </w:t>
      </w:r>
      <w:r>
        <w:rPr/>
        <w:t>of</w:t>
      </w:r>
      <w:r>
        <w:rPr>
          <w:spacing w:val="-5"/>
        </w:rPr>
        <w:t> </w:t>
      </w:r>
      <w:r>
        <w:rPr/>
        <w:t>food</w:t>
      </w:r>
      <w:r>
        <w:rPr>
          <w:spacing w:val="-5"/>
        </w:rPr>
        <w:t> </w:t>
      </w:r>
      <w:r>
        <w:rPr/>
        <w:t>safety</w:t>
      </w:r>
      <w:r>
        <w:rPr>
          <w:spacing w:val="-5"/>
        </w:rPr>
        <w:t> </w:t>
      </w:r>
      <w:r>
        <w:rPr>
          <w:spacing w:val="-2"/>
        </w:rPr>
        <w:t>content,</w:t>
      </w:r>
    </w:p>
    <w:p>
      <w:pPr>
        <w:pStyle w:val="BodyText"/>
        <w:spacing w:after="0" w:line="249" w:lineRule="auto"/>
        <w:sectPr>
          <w:type w:val="continuous"/>
          <w:pgSz w:w="12240" w:h="15840"/>
          <w:pgMar w:top="900" w:bottom="280" w:left="720" w:right="360"/>
          <w:cols w:num="2" w:equalWidth="0">
            <w:col w:w="5281" w:space="40"/>
            <w:col w:w="5839"/>
          </w:cols>
        </w:sectPr>
      </w:pPr>
    </w:p>
    <w:p>
      <w:pPr>
        <w:pStyle w:val="BodyText"/>
        <w:spacing w:before="71"/>
        <w:ind w:left="259"/>
      </w:pPr>
      <w:r>
        <w:rPr/>
        <w:t>as</w:t>
      </w:r>
      <w:r>
        <w:rPr>
          <w:spacing w:val="19"/>
        </w:rPr>
        <w:t> </w:t>
      </w:r>
      <w:r>
        <w:rPr/>
        <w:t>previously</w:t>
      </w:r>
      <w:r>
        <w:rPr>
          <w:spacing w:val="19"/>
        </w:rPr>
        <w:t> </w:t>
      </w:r>
      <w:r>
        <w:rPr/>
        <w:t>established</w:t>
      </w:r>
      <w:r>
        <w:rPr>
          <w:spacing w:val="19"/>
        </w:rPr>
        <w:t> </w:t>
      </w:r>
      <w:r>
        <w:rPr/>
        <w:t>in</w:t>
      </w:r>
      <w:r>
        <w:rPr>
          <w:spacing w:val="19"/>
        </w:rPr>
        <w:t> </w:t>
      </w:r>
      <w:r>
        <w:rPr/>
        <w:t>similar</w:t>
      </w:r>
      <w:r>
        <w:rPr>
          <w:spacing w:val="19"/>
        </w:rPr>
        <w:t> </w:t>
      </w:r>
      <w:r>
        <w:rPr/>
        <w:t>analyses</w:t>
      </w:r>
      <w:r>
        <w:rPr>
          <w:spacing w:val="20"/>
        </w:rPr>
        <w:t> </w:t>
      </w:r>
      <w:hyperlink w:history="true" w:anchor="_bookmark26">
        <w:r>
          <w:rPr/>
          <w:t>[30],</w:t>
        </w:r>
      </w:hyperlink>
      <w:r>
        <w:rPr>
          <w:spacing w:val="19"/>
        </w:rPr>
        <w:t> </w:t>
      </w:r>
      <w:hyperlink w:history="true" w:anchor="_bookmark18">
        <w:r>
          <w:rPr/>
          <w:t>[23],</w:t>
        </w:r>
      </w:hyperlink>
      <w:r>
        <w:rPr>
          <w:spacing w:val="19"/>
        </w:rPr>
        <w:t> </w:t>
      </w:r>
      <w:hyperlink w:history="true" w:anchor="_bookmark27">
        <w:r>
          <w:rPr>
            <w:spacing w:val="-2"/>
          </w:rPr>
          <w:t>[31],</w:t>
        </w:r>
      </w:hyperlink>
    </w:p>
    <w:p>
      <w:pPr>
        <w:pStyle w:val="BodyText"/>
        <w:spacing w:before="9"/>
        <w:ind w:left="259"/>
      </w:pPr>
      <w:hyperlink w:history="true" w:anchor="_bookmark21">
        <w:r>
          <w:rPr/>
          <w:t>[26]</w:t>
        </w:r>
      </w:hyperlink>
      <w:r>
        <w:rPr/>
        <w:t>,</w:t>
      </w:r>
      <w:r>
        <w:rPr>
          <w:spacing w:val="15"/>
        </w:rPr>
        <w:t> </w:t>
      </w:r>
      <w:hyperlink w:history="true" w:anchor="_bookmark22">
        <w:r>
          <w:rPr/>
          <w:t>[27],</w:t>
        </w:r>
      </w:hyperlink>
      <w:r>
        <w:rPr>
          <w:spacing w:val="15"/>
        </w:rPr>
        <w:t> </w:t>
      </w:r>
      <w:hyperlink w:history="true" w:anchor="_bookmark23">
        <w:r>
          <w:rPr/>
          <w:t>[28],</w:t>
        </w:r>
      </w:hyperlink>
      <w:r>
        <w:rPr>
          <w:spacing w:val="15"/>
        </w:rPr>
        <w:t> </w:t>
      </w:r>
      <w:hyperlink w:history="true" w:anchor="_bookmark28">
        <w:r>
          <w:rPr>
            <w:spacing w:val="-2"/>
          </w:rPr>
          <w:t>[32].</w:t>
        </w:r>
      </w:hyperlink>
    </w:p>
    <w:p>
      <w:pPr>
        <w:pStyle w:val="ListParagraph"/>
        <w:numPr>
          <w:ilvl w:val="0"/>
          <w:numId w:val="3"/>
        </w:numPr>
        <w:tabs>
          <w:tab w:pos="529" w:val="left" w:leader="none"/>
        </w:tabs>
        <w:spacing w:line="240" w:lineRule="auto" w:before="162" w:after="0"/>
        <w:ind w:left="529" w:right="0" w:hanging="270"/>
        <w:jc w:val="both"/>
        <w:rPr>
          <w:i/>
          <w:sz w:val="20"/>
        </w:rPr>
      </w:pPr>
      <w:bookmarkStart w:name="Microbial Growth Assessment" w:id="6"/>
      <w:bookmarkEnd w:id="6"/>
      <w:r>
        <w:rPr/>
      </w:r>
      <w:r>
        <w:rPr>
          <w:i/>
          <w:sz w:val="20"/>
        </w:rPr>
        <w:t>Microbial</w:t>
      </w:r>
      <w:r>
        <w:rPr>
          <w:i/>
          <w:spacing w:val="2"/>
          <w:sz w:val="20"/>
        </w:rPr>
        <w:t> </w:t>
      </w:r>
      <w:r>
        <w:rPr>
          <w:i/>
          <w:sz w:val="20"/>
        </w:rPr>
        <w:t>Growth</w:t>
      </w:r>
      <w:r>
        <w:rPr>
          <w:i/>
          <w:spacing w:val="3"/>
          <w:sz w:val="20"/>
        </w:rPr>
        <w:t> </w:t>
      </w:r>
      <w:r>
        <w:rPr>
          <w:i/>
          <w:spacing w:val="-2"/>
          <w:sz w:val="20"/>
        </w:rPr>
        <w:t>Assessment</w:t>
      </w:r>
    </w:p>
    <w:p>
      <w:pPr>
        <w:spacing w:line="249" w:lineRule="auto" w:before="79"/>
        <w:ind w:left="259" w:right="0" w:firstLine="199"/>
        <w:jc w:val="both"/>
        <w:rPr>
          <w:sz w:val="20"/>
        </w:rPr>
      </w:pPr>
      <w:r>
        <w:rPr>
          <w:b/>
          <w:sz w:val="20"/>
        </w:rPr>
        <w:t>Almonds and Cultures: </w:t>
      </w:r>
      <w:r>
        <w:rPr>
          <w:sz w:val="20"/>
        </w:rPr>
        <w:t>Nonpareil almonds were used </w:t>
      </w:r>
      <w:r>
        <w:rPr>
          <w:sz w:val="20"/>
        </w:rPr>
        <w:t>and inoculated with rifampin-resistant strains of </w:t>
      </w:r>
      <w:r>
        <w:rPr>
          <w:i/>
          <w:sz w:val="20"/>
        </w:rPr>
        <w:t>E. coli </w:t>
      </w:r>
      <w:r>
        <w:rPr>
          <w:sz w:val="20"/>
        </w:rPr>
        <w:t>O157:H7, </w:t>
      </w:r>
      <w:r>
        <w:rPr>
          <w:i/>
          <w:sz w:val="20"/>
        </w:rPr>
        <w:t>Listeria</w:t>
      </w:r>
      <w:r>
        <w:rPr>
          <w:i/>
          <w:spacing w:val="-11"/>
          <w:sz w:val="20"/>
        </w:rPr>
        <w:t> </w:t>
      </w:r>
      <w:r>
        <w:rPr>
          <w:i/>
          <w:sz w:val="20"/>
        </w:rPr>
        <w:t>monocytogenes</w:t>
      </w:r>
      <w:r>
        <w:rPr>
          <w:sz w:val="20"/>
        </w:rPr>
        <w:t>,</w:t>
      </w:r>
      <w:r>
        <w:rPr>
          <w:spacing w:val="-11"/>
          <w:sz w:val="20"/>
        </w:rPr>
        <w:t> </w:t>
      </w:r>
      <w:r>
        <w:rPr>
          <w:sz w:val="20"/>
        </w:rPr>
        <w:t>and</w:t>
      </w:r>
      <w:r>
        <w:rPr>
          <w:spacing w:val="-11"/>
          <w:sz w:val="20"/>
        </w:rPr>
        <w:t> </w:t>
      </w:r>
      <w:r>
        <w:rPr>
          <w:i/>
          <w:sz w:val="20"/>
        </w:rPr>
        <w:t>Salmonella</w:t>
      </w:r>
      <w:r>
        <w:rPr>
          <w:sz w:val="20"/>
        </w:rPr>
        <w:t>—each</w:t>
      </w:r>
      <w:r>
        <w:rPr>
          <w:spacing w:val="-11"/>
          <w:sz w:val="20"/>
        </w:rPr>
        <w:t> </w:t>
      </w:r>
      <w:r>
        <w:rPr>
          <w:sz w:val="20"/>
        </w:rPr>
        <w:t>represented</w:t>
      </w:r>
      <w:r>
        <w:rPr>
          <w:spacing w:val="-11"/>
          <w:sz w:val="20"/>
        </w:rPr>
        <w:t> </w:t>
      </w:r>
      <w:r>
        <w:rPr>
          <w:sz w:val="20"/>
        </w:rPr>
        <w:t>by five clinical or outbreak-related strains </w:t>
      </w:r>
      <w:hyperlink w:history="true" w:anchor="_bookmark29">
        <w:r>
          <w:rPr>
            <w:sz w:val="20"/>
          </w:rPr>
          <w:t>[33].</w:t>
        </w:r>
      </w:hyperlink>
    </w:p>
    <w:p>
      <w:pPr>
        <w:pStyle w:val="BodyText"/>
        <w:spacing w:line="249" w:lineRule="auto" w:before="2"/>
        <w:ind w:left="259" w:firstLine="199"/>
      </w:pPr>
      <w:r>
        <w:rPr>
          <w:b/>
        </w:rPr>
        <w:t>Inoculation Techniques: </w:t>
      </w:r>
      <w:r>
        <w:rPr/>
        <w:t>Almonds were inoculated </w:t>
      </w:r>
      <w:r>
        <w:rPr/>
        <w:t>either directly or indirectly (via soaking water). Following drying at ambient</w:t>
      </w:r>
      <w:r>
        <w:rPr>
          <w:spacing w:val="-2"/>
        </w:rPr>
        <w:t> </w:t>
      </w:r>
      <w:r>
        <w:rPr/>
        <w:t>conditions,</w:t>
      </w:r>
      <w:r>
        <w:rPr>
          <w:spacing w:val="-2"/>
        </w:rPr>
        <w:t> </w:t>
      </w:r>
      <w:r>
        <w:rPr/>
        <w:t>microbial</w:t>
      </w:r>
      <w:r>
        <w:rPr>
          <w:spacing w:val="-2"/>
        </w:rPr>
        <w:t> </w:t>
      </w:r>
      <w:r>
        <w:rPr/>
        <w:t>populations</w:t>
      </w:r>
      <w:r>
        <w:rPr>
          <w:spacing w:val="-2"/>
        </w:rPr>
        <w:t> </w:t>
      </w:r>
      <w:r>
        <w:rPr/>
        <w:t>were</w:t>
      </w:r>
      <w:r>
        <w:rPr>
          <w:spacing w:val="-2"/>
        </w:rPr>
        <w:t> </w:t>
      </w:r>
      <w:r>
        <w:rPr/>
        <w:t>enumerated</w:t>
      </w:r>
      <w:r>
        <w:rPr>
          <w:spacing w:val="-2"/>
        </w:rPr>
        <w:t> </w:t>
      </w:r>
      <w:r>
        <w:rPr/>
        <w:t>at multiple time intervals over 24 hours of soaking and up to 14 hours of drying.</w:t>
      </w:r>
    </w:p>
    <w:p>
      <w:pPr>
        <w:pStyle w:val="BodyText"/>
        <w:spacing w:line="249" w:lineRule="auto" w:before="1"/>
        <w:ind w:left="259" w:firstLine="199"/>
      </w:pPr>
      <w:r>
        <w:rPr>
          <w:b/>
        </w:rPr>
        <w:t>Drying</w:t>
      </w:r>
      <w:r>
        <w:rPr>
          <w:b/>
          <w:spacing w:val="-11"/>
        </w:rPr>
        <w:t> </w:t>
      </w:r>
      <w:r>
        <w:rPr>
          <w:b/>
        </w:rPr>
        <w:t>Conditions:</w:t>
      </w:r>
      <w:r>
        <w:rPr>
          <w:b/>
          <w:spacing w:val="-11"/>
        </w:rPr>
        <w:t> </w:t>
      </w:r>
      <w:r>
        <w:rPr/>
        <w:t>Post-soaking</w:t>
      </w:r>
      <w:r>
        <w:rPr>
          <w:spacing w:val="-11"/>
        </w:rPr>
        <w:t> </w:t>
      </w:r>
      <w:r>
        <w:rPr/>
        <w:t>almonds</w:t>
      </w:r>
      <w:r>
        <w:rPr>
          <w:spacing w:val="-11"/>
        </w:rPr>
        <w:t> </w:t>
      </w:r>
      <w:r>
        <w:rPr/>
        <w:t>were</w:t>
      </w:r>
      <w:r>
        <w:rPr>
          <w:spacing w:val="-11"/>
        </w:rPr>
        <w:t> </w:t>
      </w:r>
      <w:r>
        <w:rPr/>
        <w:t>dried</w:t>
      </w:r>
      <w:r>
        <w:rPr>
          <w:spacing w:val="-11"/>
        </w:rPr>
        <w:t> </w:t>
      </w:r>
      <w:r>
        <w:rPr/>
        <w:t>using a convection oven set at 66°C until a target moisture content</w:t>
      </w:r>
      <w:r>
        <w:rPr>
          <w:spacing w:val="40"/>
        </w:rPr>
        <w:t> </w:t>
      </w:r>
      <w:r>
        <w:rPr/>
        <w:t>of 6% was achieved, typically requiring 14 hours.</w:t>
      </w:r>
    </w:p>
    <w:p>
      <w:pPr>
        <w:pStyle w:val="ListParagraph"/>
        <w:numPr>
          <w:ilvl w:val="0"/>
          <w:numId w:val="3"/>
        </w:numPr>
        <w:tabs>
          <w:tab w:pos="540" w:val="left" w:leader="none"/>
        </w:tabs>
        <w:spacing w:line="240" w:lineRule="auto" w:before="152" w:after="0"/>
        <w:ind w:left="540" w:right="0" w:hanging="281"/>
        <w:jc w:val="both"/>
        <w:rPr>
          <w:i/>
          <w:sz w:val="20"/>
        </w:rPr>
      </w:pPr>
      <w:bookmarkStart w:name="Enumeration and Analysis" w:id="7"/>
      <w:bookmarkEnd w:id="7"/>
      <w:r>
        <w:rPr/>
      </w:r>
      <w:r>
        <w:rPr>
          <w:i/>
          <w:sz w:val="20"/>
        </w:rPr>
        <w:t>Enumeration</w:t>
      </w:r>
      <w:r>
        <w:rPr>
          <w:i/>
          <w:spacing w:val="10"/>
          <w:sz w:val="20"/>
        </w:rPr>
        <w:t> </w:t>
      </w:r>
      <w:r>
        <w:rPr>
          <w:i/>
          <w:sz w:val="20"/>
        </w:rPr>
        <w:t>and</w:t>
      </w:r>
      <w:r>
        <w:rPr>
          <w:i/>
          <w:spacing w:val="11"/>
          <w:sz w:val="20"/>
        </w:rPr>
        <w:t> </w:t>
      </w:r>
      <w:r>
        <w:rPr>
          <w:i/>
          <w:spacing w:val="-2"/>
          <w:sz w:val="20"/>
        </w:rPr>
        <w:t>Analysis</w:t>
      </w:r>
    </w:p>
    <w:p>
      <w:pPr>
        <w:pStyle w:val="BodyText"/>
        <w:spacing w:line="244" w:lineRule="auto" w:before="79"/>
        <w:ind w:left="259" w:firstLine="199"/>
      </w:pPr>
      <w:r>
        <w:rPr/>
        <w:t>Enumeration of bacterial load was conducted using </w:t>
      </w:r>
      <w:r>
        <w:rPr/>
        <w:t>spiral plating on selective media. Experiments were performed in duplicate</w:t>
      </w:r>
      <w:r>
        <w:rPr>
          <w:spacing w:val="-4"/>
        </w:rPr>
        <w:t> </w:t>
      </w:r>
      <w:r>
        <w:rPr/>
        <w:t>with</w:t>
      </w:r>
      <w:r>
        <w:rPr>
          <w:spacing w:val="-4"/>
        </w:rPr>
        <w:t> </w:t>
      </w:r>
      <w:r>
        <w:rPr/>
        <w:t>three</w:t>
      </w:r>
      <w:r>
        <w:rPr>
          <w:spacing w:val="-4"/>
        </w:rPr>
        <w:t> </w:t>
      </w:r>
      <w:r>
        <w:rPr/>
        <w:t>biological</w:t>
      </w:r>
      <w:r>
        <w:rPr>
          <w:spacing w:val="-4"/>
        </w:rPr>
        <w:t> </w:t>
      </w:r>
      <w:r>
        <w:rPr/>
        <w:t>replicates</w:t>
      </w:r>
      <w:r>
        <w:rPr>
          <w:spacing w:val="-4"/>
        </w:rPr>
        <w:t> </w:t>
      </w:r>
      <w:r>
        <w:rPr/>
        <w:t>each.</w:t>
      </w:r>
      <w:r>
        <w:rPr>
          <w:spacing w:val="-4"/>
        </w:rPr>
        <w:t> </w:t>
      </w:r>
      <w:r>
        <w:rPr/>
        <w:t>Statistical</w:t>
      </w:r>
      <w:r>
        <w:rPr>
          <w:spacing w:val="-4"/>
        </w:rPr>
        <w:t> </w:t>
      </w:r>
      <w:r>
        <w:rPr/>
        <w:t>anal- yses used Tukey-Kramer and matched-pairs tests via JMP 14 Pro, with significance set at </w:t>
      </w:r>
      <w:r>
        <w:rPr>
          <w:rFonts w:ascii="Verdana"/>
          <w:i/>
        </w:rPr>
        <w:t>P &lt;</w:t>
      </w:r>
      <w:r>
        <w:rPr>
          <w:rFonts w:ascii="Verdana"/>
          <w:i/>
          <w:spacing w:val="-2"/>
        </w:rPr>
        <w:t> </w:t>
      </w:r>
      <w:r>
        <w:rPr>
          <w:rFonts w:ascii="Calibri"/>
        </w:rPr>
        <w:t>0</w:t>
      </w:r>
      <w:r>
        <w:rPr>
          <w:rFonts w:ascii="Verdana"/>
          <w:i/>
        </w:rPr>
        <w:t>.</w:t>
      </w:r>
      <w:r>
        <w:rPr>
          <w:rFonts w:ascii="Calibri"/>
        </w:rPr>
        <w:t>05</w:t>
      </w:r>
      <w:r>
        <w:rPr/>
        <w:t>.</w:t>
      </w:r>
    </w:p>
    <w:p>
      <w:pPr>
        <w:pStyle w:val="ListParagraph"/>
        <w:numPr>
          <w:ilvl w:val="0"/>
          <w:numId w:val="1"/>
        </w:numPr>
        <w:tabs>
          <w:tab w:pos="2474" w:val="left" w:leader="none"/>
        </w:tabs>
        <w:spacing w:line="240" w:lineRule="auto" w:before="150" w:after="0"/>
        <w:ind w:left="2474" w:right="0" w:hanging="266"/>
        <w:jc w:val="left"/>
        <w:rPr>
          <w:sz w:val="20"/>
        </w:rPr>
      </w:pPr>
      <w:bookmarkStart w:name="Findings" w:id="8"/>
      <w:bookmarkEnd w:id="8"/>
      <w:r>
        <w:rPr/>
      </w:r>
      <w:r>
        <w:rPr>
          <w:smallCaps/>
          <w:spacing w:val="-2"/>
          <w:sz w:val="20"/>
        </w:rPr>
        <w:t>Findings</w:t>
      </w:r>
    </w:p>
    <w:p>
      <w:pPr>
        <w:pStyle w:val="ListParagraph"/>
        <w:numPr>
          <w:ilvl w:val="0"/>
          <w:numId w:val="4"/>
        </w:numPr>
        <w:tabs>
          <w:tab w:pos="529" w:val="left" w:leader="none"/>
        </w:tabs>
        <w:spacing w:line="240" w:lineRule="auto" w:before="84" w:after="0"/>
        <w:ind w:left="529" w:right="0" w:hanging="270"/>
        <w:jc w:val="both"/>
        <w:rPr>
          <w:i/>
          <w:sz w:val="20"/>
        </w:rPr>
      </w:pPr>
      <w:bookmarkStart w:name="Online Content Evaluation" w:id="9"/>
      <w:bookmarkEnd w:id="9"/>
      <w:r>
        <w:rPr/>
      </w:r>
      <w:r>
        <w:rPr>
          <w:i/>
          <w:sz w:val="20"/>
        </w:rPr>
        <w:t>Online</w:t>
      </w:r>
      <w:r>
        <w:rPr>
          <w:i/>
          <w:spacing w:val="13"/>
          <w:sz w:val="20"/>
        </w:rPr>
        <w:t> </w:t>
      </w:r>
      <w:r>
        <w:rPr>
          <w:i/>
          <w:sz w:val="20"/>
        </w:rPr>
        <w:t>Content</w:t>
      </w:r>
      <w:r>
        <w:rPr>
          <w:i/>
          <w:spacing w:val="13"/>
          <w:sz w:val="20"/>
        </w:rPr>
        <w:t> </w:t>
      </w:r>
      <w:r>
        <w:rPr>
          <w:i/>
          <w:spacing w:val="-2"/>
          <w:sz w:val="20"/>
        </w:rPr>
        <w:t>Evaluation</w:t>
      </w:r>
    </w:p>
    <w:p>
      <w:pPr>
        <w:pStyle w:val="BodyText"/>
        <w:spacing w:line="249" w:lineRule="auto" w:before="79"/>
        <w:ind w:left="259" w:firstLine="199"/>
      </w:pPr>
      <w:r>
        <w:rPr/>
        <w:t>Blogs were, on average, last updated 50 months before </w:t>
      </w:r>
      <w:r>
        <w:rPr/>
        <w:t>data collection; only 12 of the 44 blogs provided any traceable source for their soaking instructions—10 of these cited the same</w:t>
      </w:r>
      <w:r>
        <w:rPr>
          <w:spacing w:val="-1"/>
        </w:rPr>
        <w:t> </w:t>
      </w:r>
      <w:r>
        <w:rPr/>
        <w:t>book,</w:t>
      </w:r>
      <w:r>
        <w:rPr>
          <w:spacing w:val="-1"/>
        </w:rPr>
        <w:t> </w:t>
      </w:r>
      <w:r>
        <w:rPr>
          <w:i/>
        </w:rPr>
        <w:t>Nourishing</w:t>
      </w:r>
      <w:r>
        <w:rPr>
          <w:i/>
          <w:spacing w:val="-1"/>
        </w:rPr>
        <w:t> </w:t>
      </w:r>
      <w:r>
        <w:rPr>
          <w:i/>
        </w:rPr>
        <w:t>Traditions</w:t>
      </w:r>
      <w:r>
        <w:rPr>
          <w:i/>
          <w:spacing w:val="-1"/>
        </w:rPr>
        <w:t> </w:t>
      </w:r>
      <w:r>
        <w:rPr/>
        <w:t>by</w:t>
      </w:r>
      <w:r>
        <w:rPr>
          <w:spacing w:val="-1"/>
        </w:rPr>
        <w:t> </w:t>
      </w:r>
      <w:r>
        <w:rPr/>
        <w:t>Sally</w:t>
      </w:r>
      <w:r>
        <w:rPr>
          <w:spacing w:val="-1"/>
        </w:rPr>
        <w:t> </w:t>
      </w:r>
      <w:r>
        <w:rPr/>
        <w:t>Fallon</w:t>
      </w:r>
      <w:r>
        <w:rPr>
          <w:spacing w:val="-1"/>
        </w:rPr>
        <w:t> </w:t>
      </w:r>
      <w:hyperlink w:history="true" w:anchor="_bookmark25">
        <w:r>
          <w:rPr/>
          <w:t>[39].</w:t>
        </w:r>
      </w:hyperlink>
      <w:r>
        <w:rPr>
          <w:spacing w:val="-1"/>
        </w:rPr>
        <w:t> </w:t>
      </w:r>
      <w:r>
        <w:rPr/>
        <w:t>Video engagement varied widely, with an average of 13,782 views. However,</w:t>
      </w:r>
      <w:r>
        <w:rPr>
          <w:spacing w:val="17"/>
        </w:rPr>
        <w:t> </w:t>
      </w:r>
      <w:r>
        <w:rPr/>
        <w:t>food</w:t>
      </w:r>
      <w:r>
        <w:rPr>
          <w:spacing w:val="18"/>
        </w:rPr>
        <w:t> </w:t>
      </w:r>
      <w:r>
        <w:rPr/>
        <w:t>safety</w:t>
      </w:r>
      <w:r>
        <w:rPr>
          <w:spacing w:val="18"/>
        </w:rPr>
        <w:t> </w:t>
      </w:r>
      <w:r>
        <w:rPr/>
        <w:t>information</w:t>
      </w:r>
      <w:r>
        <w:rPr>
          <w:spacing w:val="17"/>
        </w:rPr>
        <w:t> </w:t>
      </w:r>
      <w:r>
        <w:rPr/>
        <w:t>was</w:t>
      </w:r>
      <w:r>
        <w:rPr>
          <w:spacing w:val="18"/>
        </w:rPr>
        <w:t> </w:t>
      </w:r>
      <w:r>
        <w:rPr/>
        <w:t>notably</w:t>
      </w:r>
      <w:r>
        <w:rPr>
          <w:spacing w:val="17"/>
        </w:rPr>
        <w:t> </w:t>
      </w:r>
      <w:r>
        <w:rPr/>
        <w:t>lacking.</w:t>
      </w:r>
      <w:r>
        <w:rPr>
          <w:spacing w:val="18"/>
        </w:rPr>
        <w:t> </w:t>
      </w:r>
      <w:r>
        <w:rPr>
          <w:spacing w:val="-4"/>
        </w:rPr>
        <w:t>Only</w:t>
      </w:r>
    </w:p>
    <w:p>
      <w:pPr>
        <w:pStyle w:val="BodyText"/>
        <w:spacing w:line="249" w:lineRule="auto"/>
        <w:ind w:left="259"/>
      </w:pPr>
      <w:r>
        <w:rPr/>
        <w:t>18 of the 85 recipes (21.2%) mentioned any food </w:t>
      </w:r>
      <w:r>
        <w:rPr/>
        <w:t>safety aspects, and most addressed mold prevention. Virtually none included</w:t>
      </w:r>
      <w:r>
        <w:rPr>
          <w:spacing w:val="-2"/>
        </w:rPr>
        <w:t> </w:t>
      </w:r>
      <w:r>
        <w:rPr/>
        <w:t>critical</w:t>
      </w:r>
      <w:r>
        <w:rPr>
          <w:spacing w:val="-3"/>
        </w:rPr>
        <w:t> </w:t>
      </w:r>
      <w:r>
        <w:rPr/>
        <w:t>hygiene</w:t>
      </w:r>
      <w:r>
        <w:rPr>
          <w:spacing w:val="-2"/>
        </w:rPr>
        <w:t> </w:t>
      </w:r>
      <w:r>
        <w:rPr/>
        <w:t>practices</w:t>
      </w:r>
      <w:r>
        <w:rPr>
          <w:spacing w:val="-2"/>
        </w:rPr>
        <w:t> </w:t>
      </w:r>
      <w:r>
        <w:rPr/>
        <w:t>like</w:t>
      </w:r>
      <w:r>
        <w:rPr>
          <w:spacing w:val="-2"/>
        </w:rPr>
        <w:t> </w:t>
      </w:r>
      <w:r>
        <w:rPr/>
        <w:t>handwashing</w:t>
      </w:r>
      <w:r>
        <w:rPr>
          <w:spacing w:val="-3"/>
        </w:rPr>
        <w:t> </w:t>
      </w:r>
      <w:r>
        <w:rPr/>
        <w:t>or</w:t>
      </w:r>
      <w:r>
        <w:rPr>
          <w:spacing w:val="-2"/>
        </w:rPr>
        <w:t> </w:t>
      </w:r>
      <w:r>
        <w:rPr/>
        <w:t>utensil </w:t>
      </w:r>
      <w:r>
        <w:rPr>
          <w:spacing w:val="-2"/>
        </w:rPr>
        <w:t>sanitation.</w:t>
      </w:r>
    </w:p>
    <w:p>
      <w:pPr>
        <w:pStyle w:val="ListParagraph"/>
        <w:numPr>
          <w:ilvl w:val="0"/>
          <w:numId w:val="4"/>
        </w:numPr>
        <w:tabs>
          <w:tab w:pos="529" w:val="left" w:leader="none"/>
        </w:tabs>
        <w:spacing w:line="240" w:lineRule="auto" w:before="152" w:after="0"/>
        <w:ind w:left="529" w:right="0" w:hanging="270"/>
        <w:jc w:val="both"/>
        <w:rPr>
          <w:i/>
          <w:sz w:val="20"/>
        </w:rPr>
      </w:pPr>
      <w:bookmarkStart w:name="Perceived Benefits and Misinformation" w:id="10"/>
      <w:bookmarkEnd w:id="10"/>
      <w:r>
        <w:rPr/>
      </w:r>
      <w:r>
        <w:rPr>
          <w:i/>
          <w:sz w:val="20"/>
        </w:rPr>
        <w:t>Perceived Benefits</w:t>
      </w:r>
      <w:r>
        <w:rPr>
          <w:i/>
          <w:spacing w:val="1"/>
          <w:sz w:val="20"/>
        </w:rPr>
        <w:t> </w:t>
      </w:r>
      <w:r>
        <w:rPr>
          <w:i/>
          <w:sz w:val="20"/>
        </w:rPr>
        <w:t>and</w:t>
      </w:r>
      <w:r>
        <w:rPr>
          <w:i/>
          <w:spacing w:val="1"/>
          <w:sz w:val="20"/>
        </w:rPr>
        <w:t> </w:t>
      </w:r>
      <w:r>
        <w:rPr>
          <w:i/>
          <w:spacing w:val="-2"/>
          <w:sz w:val="20"/>
        </w:rPr>
        <w:t>Misinformation</w:t>
      </w:r>
    </w:p>
    <w:p>
      <w:pPr>
        <w:pStyle w:val="BodyText"/>
        <w:spacing w:line="249" w:lineRule="auto" w:before="79"/>
        <w:ind w:left="259" w:firstLine="199"/>
      </w:pPr>
      <w:r>
        <w:rPr/>
        <w:t>Claims regarding the benefits of almond soaking </w:t>
      </w:r>
      <w:r>
        <w:rPr/>
        <w:t>were prevalent but lacked scientific validation. Alleged benefits ranged from improved taste and texture to health claims such as enhanced nutrient absorption and disease prevention. A small subset (8.2%) referenced “safety improvements” like detoxification or allergen reduction, though no supporting evidence was cited.</w:t>
      </w:r>
    </w:p>
    <w:p>
      <w:pPr>
        <w:pStyle w:val="ListParagraph"/>
        <w:numPr>
          <w:ilvl w:val="0"/>
          <w:numId w:val="1"/>
        </w:numPr>
        <w:tabs>
          <w:tab w:pos="700" w:val="left" w:leader="none"/>
          <w:tab w:pos="1821" w:val="left" w:leader="none"/>
        </w:tabs>
        <w:spacing w:line="249" w:lineRule="auto" w:before="152" w:after="0"/>
        <w:ind w:left="1821" w:right="73" w:hanging="1488"/>
        <w:jc w:val="left"/>
        <w:rPr>
          <w:sz w:val="20"/>
        </w:rPr>
      </w:pPr>
      <w:bookmarkStart w:name="Survival and Persistence of Salmonella D" w:id="11"/>
      <w:bookmarkEnd w:id="11"/>
      <w:r>
        <w:rPr/>
      </w:r>
      <w:r>
        <w:rPr>
          <w:smallCaps/>
          <w:sz w:val="20"/>
        </w:rPr>
        <w:t>Survival and Persistence of </w:t>
      </w:r>
      <w:r>
        <w:rPr>
          <w:i/>
          <w:smallCaps w:val="0"/>
          <w:sz w:val="20"/>
        </w:rPr>
        <w:t>Salmonella </w:t>
      </w:r>
      <w:r>
        <w:rPr>
          <w:smallCaps/>
          <w:sz w:val="20"/>
        </w:rPr>
        <w:t>During</w:t>
      </w:r>
      <w:r>
        <w:rPr>
          <w:smallCaps/>
          <w:spacing w:val="80"/>
          <w:sz w:val="20"/>
        </w:rPr>
        <w:t> </w:t>
      </w:r>
      <w:r>
        <w:rPr>
          <w:smallCaps/>
          <w:sz w:val="20"/>
        </w:rPr>
        <w:t>Drying of Almonds</w:t>
      </w:r>
    </w:p>
    <w:p>
      <w:pPr>
        <w:pStyle w:val="BodyText"/>
        <w:spacing w:line="247" w:lineRule="auto" w:before="75"/>
        <w:ind w:left="259" w:firstLine="199"/>
      </w:pPr>
      <w:r>
        <w:rPr/>
        <w:t>To evaluate the persistence of </w:t>
      </w:r>
      <w:r>
        <w:rPr>
          <w:i/>
        </w:rPr>
        <w:t>Salmonella </w:t>
      </w:r>
      <w:r>
        <w:rPr/>
        <w:t>during </w:t>
      </w:r>
      <w:r>
        <w:rPr/>
        <w:t>almond drying, uninoculated almond</w:t>
      </w:r>
      <w:r>
        <w:rPr>
          <w:spacing w:val="-1"/>
        </w:rPr>
        <w:t> </w:t>
      </w:r>
      <w:r>
        <w:rPr/>
        <w:t>kernels were initially</w:t>
      </w:r>
      <w:r>
        <w:rPr>
          <w:spacing w:val="-1"/>
        </w:rPr>
        <w:t> </w:t>
      </w:r>
      <w:r>
        <w:rPr/>
        <w:t>soaked at a 1:3</w:t>
      </w:r>
      <w:r>
        <w:rPr>
          <w:spacing w:val="-9"/>
        </w:rPr>
        <w:t> </w:t>
      </w:r>
      <w:r>
        <w:rPr/>
        <w:t>(w/v)</w:t>
      </w:r>
      <w:r>
        <w:rPr>
          <w:spacing w:val="-9"/>
        </w:rPr>
        <w:t> </w:t>
      </w:r>
      <w:r>
        <w:rPr/>
        <w:t>ratio</w:t>
      </w:r>
      <w:r>
        <w:rPr>
          <w:spacing w:val="-9"/>
        </w:rPr>
        <w:t> </w:t>
      </w:r>
      <w:r>
        <w:rPr/>
        <w:t>for</w:t>
      </w:r>
      <w:r>
        <w:rPr>
          <w:spacing w:val="-9"/>
        </w:rPr>
        <w:t> </w:t>
      </w:r>
      <w:r>
        <w:rPr/>
        <w:t>24</w:t>
      </w:r>
      <w:r>
        <w:rPr>
          <w:spacing w:val="-9"/>
        </w:rPr>
        <w:t> </w:t>
      </w:r>
      <w:r>
        <w:rPr/>
        <w:t>hours.</w:t>
      </w:r>
      <w:r>
        <w:rPr>
          <w:spacing w:val="-9"/>
        </w:rPr>
        <w:t> </w:t>
      </w:r>
      <w:r>
        <w:rPr/>
        <w:t>The</w:t>
      </w:r>
      <w:r>
        <w:rPr>
          <w:spacing w:val="-9"/>
        </w:rPr>
        <w:t> </w:t>
      </w:r>
      <w:r>
        <w:rPr/>
        <w:t>resulting</w:t>
      </w:r>
      <w:r>
        <w:rPr>
          <w:spacing w:val="-9"/>
        </w:rPr>
        <w:t> </w:t>
      </w:r>
      <w:r>
        <w:rPr/>
        <w:t>moisture</w:t>
      </w:r>
      <w:r>
        <w:rPr>
          <w:spacing w:val="-9"/>
        </w:rPr>
        <w:t> </w:t>
      </w:r>
      <w:r>
        <w:rPr/>
        <w:t>content</w:t>
      </w:r>
      <w:r>
        <w:rPr>
          <w:spacing w:val="-9"/>
        </w:rPr>
        <w:t> </w:t>
      </w:r>
      <w:r>
        <w:rPr/>
        <w:t>and water activity (</w:t>
      </w:r>
      <w:r>
        <w:rPr>
          <w:i/>
        </w:rPr>
        <w:t>a</w:t>
      </w:r>
      <w:r>
        <w:rPr>
          <w:i/>
          <w:vertAlign w:val="subscript"/>
        </w:rPr>
        <w:t>w</w:t>
      </w:r>
      <w:r>
        <w:rPr>
          <w:vertAlign w:val="baseline"/>
        </w:rPr>
        <w:t>) averaged 38.70% </w:t>
      </w:r>
      <w:r>
        <w:rPr>
          <w:rFonts w:ascii="Verdana" w:hAnsi="Verdana"/>
          <w:i/>
          <w:vertAlign w:val="baseline"/>
        </w:rPr>
        <w:t>±</w:t>
      </w:r>
      <w:r>
        <w:rPr>
          <w:rFonts w:ascii="Verdana" w:hAnsi="Verdana"/>
          <w:i/>
          <w:spacing w:val="-5"/>
          <w:vertAlign w:val="baseline"/>
        </w:rPr>
        <w:t> </w:t>
      </w:r>
      <w:r>
        <w:rPr>
          <w:vertAlign w:val="baseline"/>
        </w:rPr>
        <w:t>0.32% and 0.9891 </w:t>
      </w:r>
      <w:r>
        <w:rPr>
          <w:rFonts w:ascii="Verdana" w:hAnsi="Verdana"/>
          <w:i/>
          <w:vertAlign w:val="baseline"/>
        </w:rPr>
        <w:t>± </w:t>
      </w:r>
      <w:r>
        <w:rPr>
          <w:vertAlign w:val="baseline"/>
        </w:rPr>
        <w:t>0.001,</w:t>
      </w:r>
      <w:r>
        <w:rPr>
          <w:spacing w:val="-5"/>
          <w:vertAlign w:val="baseline"/>
        </w:rPr>
        <w:t> </w:t>
      </w:r>
      <w:r>
        <w:rPr>
          <w:vertAlign w:val="baseline"/>
        </w:rPr>
        <w:t>respectively,</w:t>
      </w:r>
      <w:r>
        <w:rPr>
          <w:spacing w:val="-5"/>
          <w:vertAlign w:val="baseline"/>
        </w:rPr>
        <w:t> </w:t>
      </w:r>
      <w:r>
        <w:rPr>
          <w:vertAlign w:val="baseline"/>
        </w:rPr>
        <w:t>as</w:t>
      </w:r>
      <w:r>
        <w:rPr>
          <w:spacing w:val="-5"/>
          <w:vertAlign w:val="baseline"/>
        </w:rPr>
        <w:t> </w:t>
      </w:r>
      <w:r>
        <w:rPr>
          <w:vertAlign w:val="baseline"/>
        </w:rPr>
        <w:t>reported</w:t>
      </w:r>
      <w:r>
        <w:rPr>
          <w:spacing w:val="-5"/>
          <w:vertAlign w:val="baseline"/>
        </w:rPr>
        <w:t> </w:t>
      </w:r>
      <w:r>
        <w:rPr>
          <w:vertAlign w:val="baseline"/>
        </w:rPr>
        <w:t>in</w:t>
      </w:r>
      <w:r>
        <w:rPr>
          <w:spacing w:val="-5"/>
          <w:vertAlign w:val="baseline"/>
        </w:rPr>
        <w:t> </w:t>
      </w:r>
      <w:r>
        <w:rPr>
          <w:vertAlign w:val="baseline"/>
        </w:rPr>
        <w:t>Table</w:t>
      </w:r>
      <w:r>
        <w:rPr>
          <w:spacing w:val="-5"/>
          <w:vertAlign w:val="baseline"/>
        </w:rPr>
        <w:t> </w:t>
      </w:r>
      <w:hyperlink w:history="true" w:anchor="_bookmark0">
        <w:r>
          <w:rPr>
            <w:vertAlign w:val="baseline"/>
          </w:rPr>
          <w:t>II.</w:t>
        </w:r>
      </w:hyperlink>
      <w:r>
        <w:rPr>
          <w:spacing w:val="-5"/>
          <w:vertAlign w:val="baseline"/>
        </w:rPr>
        <w:t> </w:t>
      </w:r>
      <w:r>
        <w:rPr>
          <w:vertAlign w:val="baseline"/>
        </w:rPr>
        <w:t>The</w:t>
      </w:r>
      <w:r>
        <w:rPr>
          <w:spacing w:val="-5"/>
          <w:vertAlign w:val="baseline"/>
        </w:rPr>
        <w:t> </w:t>
      </w:r>
      <w:r>
        <w:rPr>
          <w:vertAlign w:val="baseline"/>
        </w:rPr>
        <w:t>drying</w:t>
      </w:r>
      <w:r>
        <w:rPr>
          <w:spacing w:val="-5"/>
          <w:vertAlign w:val="baseline"/>
        </w:rPr>
        <w:t> </w:t>
      </w:r>
      <w:r>
        <w:rPr>
          <w:vertAlign w:val="baseline"/>
        </w:rPr>
        <w:t>process was</w:t>
      </w:r>
      <w:r>
        <w:rPr>
          <w:spacing w:val="8"/>
          <w:vertAlign w:val="baseline"/>
        </w:rPr>
        <w:t> </w:t>
      </w:r>
      <w:r>
        <w:rPr>
          <w:vertAlign w:val="baseline"/>
        </w:rPr>
        <w:t>conducted</w:t>
      </w:r>
      <w:r>
        <w:rPr>
          <w:spacing w:val="8"/>
          <w:vertAlign w:val="baseline"/>
        </w:rPr>
        <w:t> </w:t>
      </w:r>
      <w:r>
        <w:rPr>
          <w:vertAlign w:val="baseline"/>
        </w:rPr>
        <w:t>at</w:t>
      </w:r>
      <w:r>
        <w:rPr>
          <w:spacing w:val="8"/>
          <w:vertAlign w:val="baseline"/>
        </w:rPr>
        <w:t> </w:t>
      </w:r>
      <w:r>
        <w:rPr>
          <w:vertAlign w:val="baseline"/>
        </w:rPr>
        <w:t>an</w:t>
      </w:r>
      <w:r>
        <w:rPr>
          <w:spacing w:val="8"/>
          <w:vertAlign w:val="baseline"/>
        </w:rPr>
        <w:t> </w:t>
      </w:r>
      <w:r>
        <w:rPr>
          <w:vertAlign w:val="baseline"/>
        </w:rPr>
        <w:t>average</w:t>
      </w:r>
      <w:r>
        <w:rPr>
          <w:spacing w:val="8"/>
          <w:vertAlign w:val="baseline"/>
        </w:rPr>
        <w:t> </w:t>
      </w:r>
      <w:r>
        <w:rPr>
          <w:vertAlign w:val="baseline"/>
        </w:rPr>
        <w:t>oven</w:t>
      </w:r>
      <w:r>
        <w:rPr>
          <w:spacing w:val="8"/>
          <w:vertAlign w:val="baseline"/>
        </w:rPr>
        <w:t> </w:t>
      </w:r>
      <w:r>
        <w:rPr>
          <w:vertAlign w:val="baseline"/>
        </w:rPr>
        <w:t>air</w:t>
      </w:r>
      <w:r>
        <w:rPr>
          <w:spacing w:val="8"/>
          <w:vertAlign w:val="baseline"/>
        </w:rPr>
        <w:t> </w:t>
      </w:r>
      <w:r>
        <w:rPr>
          <w:vertAlign w:val="baseline"/>
        </w:rPr>
        <w:t>temperature</w:t>
      </w:r>
      <w:r>
        <w:rPr>
          <w:spacing w:val="8"/>
          <w:vertAlign w:val="baseline"/>
        </w:rPr>
        <w:t> </w:t>
      </w:r>
      <w:r>
        <w:rPr>
          <w:vertAlign w:val="baseline"/>
        </w:rPr>
        <w:t>of</w:t>
      </w:r>
      <w:r>
        <w:rPr>
          <w:spacing w:val="8"/>
          <w:vertAlign w:val="baseline"/>
        </w:rPr>
        <w:t> </w:t>
      </w:r>
      <w:r>
        <w:rPr>
          <w:spacing w:val="-2"/>
          <w:vertAlign w:val="baseline"/>
        </w:rPr>
        <w:t>65.85°C</w:t>
      </w:r>
    </w:p>
    <w:p>
      <w:pPr>
        <w:pStyle w:val="BodyText"/>
        <w:spacing w:line="235" w:lineRule="auto"/>
        <w:ind w:left="259"/>
      </w:pPr>
      <w:r>
        <w:rPr>
          <w:rFonts w:ascii="Verdana" w:hAnsi="Verdana"/>
          <w:i/>
        </w:rPr>
        <w:t>±</w:t>
      </w:r>
      <w:r>
        <w:rPr>
          <w:rFonts w:ascii="Verdana" w:hAnsi="Verdana"/>
          <w:i/>
          <w:spacing w:val="-18"/>
        </w:rPr>
        <w:t> </w:t>
      </w:r>
      <w:r>
        <w:rPr/>
        <w:t>1.42°C.</w:t>
      </w:r>
      <w:r>
        <w:rPr>
          <w:spacing w:val="-5"/>
        </w:rPr>
        <w:t> </w:t>
      </w:r>
      <w:r>
        <w:rPr/>
        <w:t>Following</w:t>
      </w:r>
      <w:r>
        <w:rPr>
          <w:spacing w:val="-2"/>
        </w:rPr>
        <w:t> </w:t>
      </w:r>
      <w:r>
        <w:rPr/>
        <w:t>a</w:t>
      </w:r>
      <w:r>
        <w:rPr>
          <w:spacing w:val="-2"/>
        </w:rPr>
        <w:t> </w:t>
      </w:r>
      <w:r>
        <w:rPr/>
        <w:t>6-hour</w:t>
      </w:r>
      <w:r>
        <w:rPr>
          <w:spacing w:val="-2"/>
        </w:rPr>
        <w:t> </w:t>
      </w:r>
      <w:r>
        <w:rPr/>
        <w:t>drying</w:t>
      </w:r>
      <w:r>
        <w:rPr>
          <w:spacing w:val="-2"/>
        </w:rPr>
        <w:t> </w:t>
      </w:r>
      <w:r>
        <w:rPr/>
        <w:t>period,</w:t>
      </w:r>
      <w:r>
        <w:rPr>
          <w:spacing w:val="-2"/>
        </w:rPr>
        <w:t> </w:t>
      </w:r>
      <w:r>
        <w:rPr/>
        <w:t>these</w:t>
      </w:r>
      <w:r>
        <w:rPr>
          <w:spacing w:val="-2"/>
        </w:rPr>
        <w:t> </w:t>
      </w:r>
      <w:r>
        <w:rPr/>
        <w:t>parameters reduced</w:t>
      </w:r>
      <w:r>
        <w:rPr>
          <w:spacing w:val="-10"/>
        </w:rPr>
        <w:t> </w:t>
      </w:r>
      <w:r>
        <w:rPr/>
        <w:t>significantly</w:t>
      </w:r>
      <w:r>
        <w:rPr>
          <w:spacing w:val="-3"/>
        </w:rPr>
        <w:t> </w:t>
      </w:r>
      <w:r>
        <w:rPr/>
        <w:t>to</w:t>
      </w:r>
      <w:r>
        <w:rPr>
          <w:spacing w:val="-3"/>
        </w:rPr>
        <w:t> </w:t>
      </w:r>
      <w:r>
        <w:rPr/>
        <w:t>21.68%</w:t>
      </w:r>
      <w:r>
        <w:rPr>
          <w:spacing w:val="-4"/>
        </w:rPr>
        <w:t> </w:t>
      </w:r>
      <w:r>
        <w:rPr>
          <w:rFonts w:ascii="Verdana" w:hAnsi="Verdana"/>
          <w:i/>
        </w:rPr>
        <w:t>±</w:t>
      </w:r>
      <w:r>
        <w:rPr>
          <w:rFonts w:ascii="Verdana" w:hAnsi="Verdana"/>
          <w:i/>
          <w:spacing w:val="-17"/>
        </w:rPr>
        <w:t> </w:t>
      </w:r>
      <w:r>
        <w:rPr/>
        <w:t>0.01%</w:t>
      </w:r>
      <w:r>
        <w:rPr>
          <w:spacing w:val="-4"/>
        </w:rPr>
        <w:t> </w:t>
      </w:r>
      <w:r>
        <w:rPr/>
        <w:t>moisture</w:t>
      </w:r>
      <w:r>
        <w:rPr>
          <w:spacing w:val="-3"/>
        </w:rPr>
        <w:t> </w:t>
      </w:r>
      <w:r>
        <w:rPr/>
        <w:t>and</w:t>
      </w:r>
      <w:r>
        <w:rPr>
          <w:spacing w:val="-3"/>
        </w:rPr>
        <w:t> </w:t>
      </w:r>
      <w:r>
        <w:rPr>
          <w:spacing w:val="-2"/>
        </w:rPr>
        <w:t>0.9575</w:t>
      </w:r>
    </w:p>
    <w:p>
      <w:pPr>
        <w:pStyle w:val="BodyText"/>
        <w:spacing w:line="235" w:lineRule="auto" w:before="61"/>
        <w:ind w:right="617"/>
      </w:pPr>
      <w:r>
        <w:rPr/>
        <w:br w:type="column"/>
      </w:r>
      <w:r>
        <w:rPr>
          <w:rFonts w:ascii="Verdana" w:hAnsi="Verdana"/>
          <w:i/>
        </w:rPr>
        <w:t>±</w:t>
      </w:r>
      <w:r>
        <w:rPr>
          <w:rFonts w:ascii="Verdana" w:hAnsi="Verdana"/>
          <w:i/>
          <w:spacing w:val="-5"/>
        </w:rPr>
        <w:t> </w:t>
      </w:r>
      <w:r>
        <w:rPr/>
        <w:t>0.001 </w:t>
      </w:r>
      <w:r>
        <w:rPr>
          <w:i/>
        </w:rPr>
        <w:t>a</w:t>
      </w:r>
      <w:r>
        <w:rPr>
          <w:i/>
          <w:vertAlign w:val="subscript"/>
        </w:rPr>
        <w:t>w</w:t>
      </w:r>
      <w:r>
        <w:rPr>
          <w:vertAlign w:val="baseline"/>
        </w:rPr>
        <w:t>, respectively. After 14 hours, the values </w:t>
      </w:r>
      <w:r>
        <w:rPr>
          <w:vertAlign w:val="baseline"/>
        </w:rPr>
        <w:t>dropped further to 5.68% </w:t>
      </w:r>
      <w:r>
        <w:rPr>
          <w:rFonts w:ascii="Verdana" w:hAnsi="Verdana"/>
          <w:i/>
          <w:vertAlign w:val="baseline"/>
        </w:rPr>
        <w:t>± </w:t>
      </w:r>
      <w:r>
        <w:rPr>
          <w:vertAlign w:val="baseline"/>
        </w:rPr>
        <w:t>0.002% and 0.6337 </w:t>
      </w:r>
      <w:r>
        <w:rPr>
          <w:rFonts w:ascii="Verdana" w:hAnsi="Verdana"/>
          <w:i/>
          <w:vertAlign w:val="baseline"/>
        </w:rPr>
        <w:t>± </w:t>
      </w:r>
      <w:r>
        <w:rPr>
          <w:vertAlign w:val="baseline"/>
        </w:rPr>
        <w:t>0.021 </w:t>
      </w:r>
      <w:r>
        <w:rPr>
          <w:i/>
          <w:vertAlign w:val="baseline"/>
        </w:rPr>
        <w:t>a</w:t>
      </w:r>
      <w:r>
        <w:rPr>
          <w:i/>
          <w:vertAlign w:val="subscript"/>
        </w:rPr>
        <w:t>w</w:t>
      </w:r>
      <w:r>
        <w:rPr>
          <w:vertAlign w:val="baseline"/>
        </w:rPr>
        <w:t>.</w:t>
      </w:r>
    </w:p>
    <w:p>
      <w:pPr>
        <w:pStyle w:val="BodyText"/>
        <w:spacing w:line="242" w:lineRule="auto" w:before="12"/>
        <w:ind w:right="617" w:firstLine="199"/>
      </w:pPr>
      <w:r>
        <w:rPr/>
        <w:t>Mesophilic microbial populations, measured at 0, 6, and </w:t>
      </w:r>
      <w:r>
        <w:rPr/>
        <w:t>14 hours of drying at 66°C, showed no statistically significant fluctuations</w:t>
      </w:r>
      <w:r>
        <w:rPr>
          <w:spacing w:val="5"/>
        </w:rPr>
        <w:t> </w:t>
      </w:r>
      <w:r>
        <w:rPr/>
        <w:t>(P</w:t>
      </w:r>
      <w:r>
        <w:rPr>
          <w:spacing w:val="6"/>
        </w:rPr>
        <w:t> </w:t>
      </w:r>
      <w:r>
        <w:rPr>
          <w:rFonts w:ascii="Verdana" w:hAnsi="Verdana"/>
          <w:i/>
        </w:rPr>
        <w:t>&gt;</w:t>
      </w:r>
      <w:r>
        <w:rPr>
          <w:rFonts w:ascii="Verdana" w:hAnsi="Verdana"/>
          <w:i/>
          <w:spacing w:val="-15"/>
        </w:rPr>
        <w:t> </w:t>
      </w:r>
      <w:r>
        <w:rPr/>
        <w:t>0.05),</w:t>
      </w:r>
      <w:r>
        <w:rPr>
          <w:spacing w:val="6"/>
        </w:rPr>
        <w:t> </w:t>
      </w:r>
      <w:r>
        <w:rPr/>
        <w:t>maintaining</w:t>
      </w:r>
      <w:r>
        <w:rPr>
          <w:spacing w:val="5"/>
        </w:rPr>
        <w:t> </w:t>
      </w:r>
      <w:r>
        <w:rPr/>
        <w:t>population</w:t>
      </w:r>
      <w:r>
        <w:rPr>
          <w:spacing w:val="6"/>
        </w:rPr>
        <w:t> </w:t>
      </w:r>
      <w:r>
        <w:rPr/>
        <w:t>levels</w:t>
      </w:r>
      <w:r>
        <w:rPr>
          <w:spacing w:val="5"/>
        </w:rPr>
        <w:t> </w:t>
      </w:r>
      <w:r>
        <w:rPr/>
        <w:t>of</w:t>
      </w:r>
      <w:r>
        <w:rPr>
          <w:spacing w:val="6"/>
        </w:rPr>
        <w:t> </w:t>
      </w:r>
      <w:r>
        <w:rPr>
          <w:spacing w:val="-4"/>
        </w:rPr>
        <w:t>7.02</w:t>
      </w:r>
    </w:p>
    <w:p>
      <w:pPr>
        <w:pStyle w:val="BodyText"/>
        <w:spacing w:line="236" w:lineRule="exact"/>
      </w:pPr>
      <w:r>
        <w:rPr>
          <w:rFonts w:ascii="Verdana" w:hAnsi="Verdana"/>
          <w:i/>
        </w:rPr>
        <w:t>±</w:t>
      </w:r>
      <w:r>
        <w:rPr>
          <w:rFonts w:ascii="Verdana" w:hAnsi="Verdana"/>
          <w:i/>
          <w:spacing w:val="9"/>
        </w:rPr>
        <w:t> </w:t>
      </w:r>
      <w:r>
        <w:rPr/>
        <w:t>0.03,</w:t>
      </w:r>
      <w:r>
        <w:rPr>
          <w:spacing w:val="30"/>
        </w:rPr>
        <w:t> </w:t>
      </w:r>
      <w:r>
        <w:rPr/>
        <w:t>6.83</w:t>
      </w:r>
      <w:r>
        <w:rPr>
          <w:spacing w:val="30"/>
        </w:rPr>
        <w:t> </w:t>
      </w:r>
      <w:r>
        <w:rPr>
          <w:rFonts w:ascii="Verdana" w:hAnsi="Verdana"/>
          <w:i/>
        </w:rPr>
        <w:t>±</w:t>
      </w:r>
      <w:r>
        <w:rPr>
          <w:rFonts w:ascii="Verdana" w:hAnsi="Verdana"/>
          <w:i/>
          <w:spacing w:val="10"/>
        </w:rPr>
        <w:t> </w:t>
      </w:r>
      <w:r>
        <w:rPr/>
        <w:t>0.55,</w:t>
      </w:r>
      <w:r>
        <w:rPr>
          <w:spacing w:val="30"/>
        </w:rPr>
        <w:t> </w:t>
      </w:r>
      <w:r>
        <w:rPr/>
        <w:t>and</w:t>
      </w:r>
      <w:r>
        <w:rPr>
          <w:spacing w:val="30"/>
        </w:rPr>
        <w:t> </w:t>
      </w:r>
      <w:r>
        <w:rPr/>
        <w:t>6.72</w:t>
      </w:r>
      <w:r>
        <w:rPr>
          <w:spacing w:val="30"/>
        </w:rPr>
        <w:t> </w:t>
      </w:r>
      <w:r>
        <w:rPr>
          <w:rFonts w:ascii="Verdana" w:hAnsi="Verdana"/>
          <w:i/>
        </w:rPr>
        <w:t>±</w:t>
      </w:r>
      <w:r>
        <w:rPr>
          <w:rFonts w:ascii="Verdana" w:hAnsi="Verdana"/>
          <w:i/>
          <w:spacing w:val="10"/>
        </w:rPr>
        <w:t> </w:t>
      </w:r>
      <w:r>
        <w:rPr/>
        <w:t>0.29</w:t>
      </w:r>
      <w:r>
        <w:rPr>
          <w:spacing w:val="30"/>
        </w:rPr>
        <w:t> </w:t>
      </w:r>
      <w:r>
        <w:rPr/>
        <w:t>log</w:t>
      </w:r>
      <w:r>
        <w:rPr>
          <w:spacing w:val="30"/>
        </w:rPr>
        <w:t> </w:t>
      </w:r>
      <w:r>
        <w:rPr/>
        <w:t>CFU/10-</w:t>
      </w:r>
      <w:r>
        <w:rPr>
          <w:spacing w:val="-2"/>
        </w:rPr>
        <w:t>almond</w:t>
      </w:r>
    </w:p>
    <w:p>
      <w:pPr>
        <w:pStyle w:val="BodyText"/>
        <w:spacing w:before="9"/>
      </w:pPr>
      <w:r>
        <w:rPr/>
        <w:t>sample,</w:t>
      </w:r>
      <w:r>
        <w:rPr>
          <w:spacing w:val="9"/>
        </w:rPr>
        <w:t> </w:t>
      </w:r>
      <w:r>
        <w:rPr/>
        <w:t>respectively</w:t>
      </w:r>
      <w:r>
        <w:rPr>
          <w:spacing w:val="10"/>
        </w:rPr>
        <w:t> </w:t>
      </w:r>
      <w:r>
        <w:rPr/>
        <w:t>(Fig.</w:t>
      </w:r>
      <w:r>
        <w:rPr>
          <w:spacing w:val="10"/>
        </w:rPr>
        <w:t> </w:t>
      </w:r>
      <w:r>
        <w:rPr>
          <w:spacing w:val="-5"/>
        </w:rPr>
        <w:t>3).</w:t>
      </w:r>
    </w:p>
    <w:p>
      <w:pPr>
        <w:pStyle w:val="BodyText"/>
        <w:spacing w:before="12"/>
        <w:ind w:right="617" w:firstLine="199"/>
      </w:pPr>
      <w:r>
        <w:rPr/>
        <w:t>Populations of </w:t>
      </w:r>
      <w:r>
        <w:rPr>
          <w:i/>
        </w:rPr>
        <w:t>Salmonella </w:t>
      </w:r>
      <w:r>
        <w:rPr/>
        <w:t>on soaked kernels before </w:t>
      </w:r>
      <w:r>
        <w:rPr/>
        <w:t>drying were recorded at 6.18 </w:t>
      </w:r>
      <w:r>
        <w:rPr>
          <w:rFonts w:ascii="Verdana" w:hAnsi="Verdana"/>
          <w:i/>
        </w:rPr>
        <w:t>± </w:t>
      </w:r>
      <w:r>
        <w:rPr/>
        <w:t>0.28 log CFU/10-almond sample. During drying, microbial loads remained stable with no sta- tistically</w:t>
      </w:r>
      <w:r>
        <w:rPr>
          <w:spacing w:val="50"/>
        </w:rPr>
        <w:t> </w:t>
      </w:r>
      <w:r>
        <w:rPr/>
        <w:t>significant</w:t>
      </w:r>
      <w:r>
        <w:rPr>
          <w:spacing w:val="51"/>
        </w:rPr>
        <w:t> </w:t>
      </w:r>
      <w:r>
        <w:rPr/>
        <w:t>reductions</w:t>
      </w:r>
      <w:r>
        <w:rPr>
          <w:spacing w:val="51"/>
        </w:rPr>
        <w:t> </w:t>
      </w:r>
      <w:r>
        <w:rPr/>
        <w:t>(P</w:t>
      </w:r>
      <w:r>
        <w:rPr>
          <w:spacing w:val="51"/>
        </w:rPr>
        <w:t> </w:t>
      </w:r>
      <w:r>
        <w:rPr>
          <w:rFonts w:ascii="Verdana" w:hAnsi="Verdana"/>
          <w:i/>
        </w:rPr>
        <w:t>&gt;</w:t>
      </w:r>
      <w:r>
        <w:rPr>
          <w:rFonts w:ascii="Verdana" w:hAnsi="Verdana"/>
          <w:i/>
          <w:spacing w:val="31"/>
        </w:rPr>
        <w:t> </w:t>
      </w:r>
      <w:r>
        <w:rPr/>
        <w:t>0.05),</w:t>
      </w:r>
      <w:r>
        <w:rPr>
          <w:spacing w:val="50"/>
        </w:rPr>
        <w:t> </w:t>
      </w:r>
      <w:r>
        <w:rPr/>
        <w:t>recording</w:t>
      </w:r>
      <w:r>
        <w:rPr>
          <w:spacing w:val="51"/>
        </w:rPr>
        <w:t> </w:t>
      </w:r>
      <w:r>
        <w:rPr>
          <w:spacing w:val="-4"/>
        </w:rPr>
        <w:t>6.01</w:t>
      </w:r>
    </w:p>
    <w:p>
      <w:pPr>
        <w:pStyle w:val="BodyText"/>
        <w:spacing w:line="249" w:lineRule="auto"/>
        <w:ind w:right="617"/>
      </w:pPr>
      <w:r>
        <w:rPr>
          <w:rFonts w:ascii="Verdana" w:hAnsi="Verdana"/>
          <w:i/>
        </w:rPr>
        <w:t>± </w:t>
      </w:r>
      <w:r>
        <w:rPr/>
        <w:t>0.67</w:t>
      </w:r>
      <w:r>
        <w:rPr>
          <w:spacing w:val="40"/>
        </w:rPr>
        <w:t> </w:t>
      </w:r>
      <w:r>
        <w:rPr/>
        <w:t>and</w:t>
      </w:r>
      <w:r>
        <w:rPr>
          <w:spacing w:val="40"/>
        </w:rPr>
        <w:t> </w:t>
      </w:r>
      <w:r>
        <w:rPr/>
        <w:t>6.46</w:t>
      </w:r>
      <w:r>
        <w:rPr>
          <w:spacing w:val="40"/>
        </w:rPr>
        <w:t> </w:t>
      </w:r>
      <w:r>
        <w:rPr>
          <w:rFonts w:ascii="Verdana" w:hAnsi="Verdana"/>
          <w:i/>
        </w:rPr>
        <w:t>± </w:t>
      </w:r>
      <w:r>
        <w:rPr/>
        <w:t>0.28</w:t>
      </w:r>
      <w:r>
        <w:rPr>
          <w:spacing w:val="40"/>
        </w:rPr>
        <w:t> </w:t>
      </w:r>
      <w:r>
        <w:rPr/>
        <w:t>log</w:t>
      </w:r>
      <w:r>
        <w:rPr>
          <w:spacing w:val="40"/>
        </w:rPr>
        <w:t> </w:t>
      </w:r>
      <w:r>
        <w:rPr/>
        <w:t>CFU/10-almond</w:t>
      </w:r>
      <w:r>
        <w:rPr>
          <w:spacing w:val="40"/>
        </w:rPr>
        <w:t> </w:t>
      </w:r>
      <w:r>
        <w:rPr/>
        <w:t>sample</w:t>
      </w:r>
      <w:r>
        <w:rPr>
          <w:spacing w:val="40"/>
        </w:rPr>
        <w:t> </w:t>
      </w:r>
      <w:r>
        <w:rPr/>
        <w:t>at</w:t>
      </w:r>
      <w:r>
        <w:rPr>
          <w:spacing w:val="40"/>
        </w:rPr>
        <w:t> </w:t>
      </w:r>
      <w:r>
        <w:rPr/>
        <w:t>6 and 14 hours, respectively. Comparatively, other seeds like chia, pumpkin, and sunflower have shown over 5 log CFU/g reductions</w:t>
      </w:r>
      <w:r>
        <w:rPr>
          <w:spacing w:val="-9"/>
        </w:rPr>
        <w:t> </w:t>
      </w:r>
      <w:r>
        <w:rPr/>
        <w:t>in</w:t>
      </w:r>
      <w:r>
        <w:rPr>
          <w:spacing w:val="-7"/>
        </w:rPr>
        <w:t> </w:t>
      </w:r>
      <w:r>
        <w:rPr>
          <w:i/>
        </w:rPr>
        <w:t>Salmonella</w:t>
      </w:r>
      <w:r>
        <w:rPr>
          <w:i/>
          <w:spacing w:val="-7"/>
        </w:rPr>
        <w:t> </w:t>
      </w:r>
      <w:r>
        <w:rPr/>
        <w:t>after</w:t>
      </w:r>
      <w:r>
        <w:rPr>
          <w:spacing w:val="-7"/>
        </w:rPr>
        <w:t> </w:t>
      </w:r>
      <w:r>
        <w:rPr/>
        <w:t>6</w:t>
      </w:r>
      <w:r>
        <w:rPr>
          <w:spacing w:val="-7"/>
        </w:rPr>
        <w:t> </w:t>
      </w:r>
      <w:r>
        <w:rPr/>
        <w:t>hours</w:t>
      </w:r>
      <w:r>
        <w:rPr>
          <w:spacing w:val="-7"/>
        </w:rPr>
        <w:t> </w:t>
      </w:r>
      <w:r>
        <w:rPr/>
        <w:t>at</w:t>
      </w:r>
      <w:r>
        <w:rPr>
          <w:spacing w:val="-7"/>
        </w:rPr>
        <w:t> </w:t>
      </w:r>
      <w:r>
        <w:rPr/>
        <w:t>60°C</w:t>
      </w:r>
      <w:r>
        <w:rPr>
          <w:spacing w:val="-7"/>
        </w:rPr>
        <w:t> </w:t>
      </w:r>
      <w:hyperlink w:history="true" w:anchor="_bookmark3">
        <w:r>
          <w:rPr/>
          <w:t>[34],</w:t>
        </w:r>
      </w:hyperlink>
      <w:r>
        <w:rPr>
          <w:spacing w:val="-7"/>
        </w:rPr>
        <w:t> </w:t>
      </w:r>
      <w:r>
        <w:rPr/>
        <w:t>suggesting substrate-specific</w:t>
      </w:r>
      <w:r>
        <w:rPr>
          <w:spacing w:val="-4"/>
        </w:rPr>
        <w:t> </w:t>
      </w:r>
      <w:r>
        <w:rPr/>
        <w:t>thermal</w:t>
      </w:r>
      <w:r>
        <w:rPr>
          <w:spacing w:val="-4"/>
        </w:rPr>
        <w:t> </w:t>
      </w:r>
      <w:r>
        <w:rPr/>
        <w:t>resistance,</w:t>
      </w:r>
      <w:r>
        <w:rPr>
          <w:spacing w:val="-4"/>
        </w:rPr>
        <w:t> </w:t>
      </w:r>
      <w:r>
        <w:rPr/>
        <w:t>potentially</w:t>
      </w:r>
      <w:r>
        <w:rPr>
          <w:spacing w:val="-4"/>
        </w:rPr>
        <w:t> </w:t>
      </w:r>
      <w:r>
        <w:rPr/>
        <w:t>influenced</w:t>
      </w:r>
      <w:r>
        <w:rPr>
          <w:spacing w:val="-4"/>
        </w:rPr>
        <w:t> </w:t>
      </w:r>
      <w:r>
        <w:rPr/>
        <w:t>by food matrix or drying mechanisms.</w:t>
      </w:r>
    </w:p>
    <w:p>
      <w:pPr>
        <w:pStyle w:val="BodyText"/>
        <w:spacing w:line="249" w:lineRule="auto"/>
        <w:ind w:right="617" w:firstLine="199"/>
      </w:pPr>
      <w:r>
        <w:rPr>
          <w:i/>
        </w:rPr>
        <w:t>Salmonella</w:t>
      </w:r>
      <w:r>
        <w:rPr/>
        <w:t>’s</w:t>
      </w:r>
      <w:r>
        <w:rPr>
          <w:spacing w:val="-8"/>
        </w:rPr>
        <w:t> </w:t>
      </w:r>
      <w:r>
        <w:rPr/>
        <w:t>thermal</w:t>
      </w:r>
      <w:r>
        <w:rPr>
          <w:spacing w:val="-8"/>
        </w:rPr>
        <w:t> </w:t>
      </w:r>
      <w:r>
        <w:rPr/>
        <w:t>inactivation</w:t>
      </w:r>
      <w:r>
        <w:rPr>
          <w:spacing w:val="-8"/>
        </w:rPr>
        <w:t> </w:t>
      </w:r>
      <w:r>
        <w:rPr/>
        <w:t>tends</w:t>
      </w:r>
      <w:r>
        <w:rPr>
          <w:spacing w:val="-8"/>
        </w:rPr>
        <w:t> </w:t>
      </w:r>
      <w:r>
        <w:rPr/>
        <w:t>to</w:t>
      </w:r>
      <w:r>
        <w:rPr>
          <w:spacing w:val="-8"/>
        </w:rPr>
        <w:t> </w:t>
      </w:r>
      <w:r>
        <w:rPr/>
        <w:t>decrease</w:t>
      </w:r>
      <w:r>
        <w:rPr>
          <w:spacing w:val="-8"/>
        </w:rPr>
        <w:t> </w:t>
      </w:r>
      <w:r>
        <w:rPr/>
        <w:t>as</w:t>
      </w:r>
      <w:r>
        <w:rPr>
          <w:spacing w:val="-8"/>
        </w:rPr>
        <w:t> </w:t>
      </w:r>
      <w:r>
        <w:rPr/>
        <w:t>mois- ture content increases </w:t>
      </w:r>
      <w:hyperlink w:history="true" w:anchor="_bookmark4">
        <w:r>
          <w:rPr/>
          <w:t>[35].</w:t>
        </w:r>
      </w:hyperlink>
      <w:r>
        <w:rPr/>
        <w:t> However, comprehensive thermal reduction data for high-moisture almonds remain scarce. In related studies, a reduction of 2.8 log CFU was observed within 1.76 hours on dry almonds at 121°C under low- humidity conditions </w:t>
      </w:r>
      <w:hyperlink w:history="true" w:anchor="_bookmark30">
        <w:r>
          <w:rPr/>
          <w:t>[36].</w:t>
        </w:r>
      </w:hyperlink>
    </w:p>
    <w:p>
      <w:pPr>
        <w:pStyle w:val="ListParagraph"/>
        <w:numPr>
          <w:ilvl w:val="0"/>
          <w:numId w:val="5"/>
        </w:numPr>
        <w:tabs>
          <w:tab w:pos="469" w:val="left" w:leader="none"/>
        </w:tabs>
        <w:spacing w:line="240" w:lineRule="auto" w:before="153" w:after="0"/>
        <w:ind w:left="469" w:right="0" w:hanging="270"/>
        <w:jc w:val="both"/>
        <w:rPr>
          <w:i/>
          <w:sz w:val="20"/>
        </w:rPr>
      </w:pPr>
      <w:bookmarkStart w:name="Recipe Analysis: Soaking and Drying Prac" w:id="12"/>
      <w:bookmarkEnd w:id="12"/>
      <w:r>
        <w:rPr/>
      </w:r>
      <w:r>
        <w:rPr>
          <w:i/>
          <w:sz w:val="20"/>
        </w:rPr>
        <w:t>Recipe</w:t>
      </w:r>
      <w:r>
        <w:rPr>
          <w:i/>
          <w:spacing w:val="13"/>
          <w:sz w:val="20"/>
        </w:rPr>
        <w:t> </w:t>
      </w:r>
      <w:r>
        <w:rPr>
          <w:i/>
          <w:sz w:val="20"/>
        </w:rPr>
        <w:t>Analysis:</w:t>
      </w:r>
      <w:r>
        <w:rPr>
          <w:i/>
          <w:spacing w:val="13"/>
          <w:sz w:val="20"/>
        </w:rPr>
        <w:t> </w:t>
      </w:r>
      <w:r>
        <w:rPr>
          <w:i/>
          <w:sz w:val="20"/>
        </w:rPr>
        <w:t>Soaking</w:t>
      </w:r>
      <w:r>
        <w:rPr>
          <w:i/>
          <w:spacing w:val="14"/>
          <w:sz w:val="20"/>
        </w:rPr>
        <w:t> </w:t>
      </w:r>
      <w:r>
        <w:rPr>
          <w:i/>
          <w:sz w:val="20"/>
        </w:rPr>
        <w:t>and</w:t>
      </w:r>
      <w:r>
        <w:rPr>
          <w:i/>
          <w:spacing w:val="13"/>
          <w:sz w:val="20"/>
        </w:rPr>
        <w:t> </w:t>
      </w:r>
      <w:r>
        <w:rPr>
          <w:i/>
          <w:sz w:val="20"/>
        </w:rPr>
        <w:t>Drying</w:t>
      </w:r>
      <w:r>
        <w:rPr>
          <w:i/>
          <w:spacing w:val="14"/>
          <w:sz w:val="20"/>
        </w:rPr>
        <w:t> </w:t>
      </w:r>
      <w:r>
        <w:rPr>
          <w:i/>
          <w:spacing w:val="-2"/>
          <w:sz w:val="20"/>
        </w:rPr>
        <w:t>Practices</w:t>
      </w:r>
    </w:p>
    <w:p>
      <w:pPr>
        <w:pStyle w:val="BodyText"/>
        <w:spacing w:line="249" w:lineRule="auto" w:before="82"/>
        <w:ind w:right="617" w:firstLine="199"/>
      </w:pPr>
      <w:r>
        <w:rPr/>
        <w:t>Analysis</w:t>
      </w:r>
      <w:r>
        <w:rPr>
          <w:spacing w:val="-4"/>
        </w:rPr>
        <w:t> </w:t>
      </w:r>
      <w:r>
        <w:rPr/>
        <w:t>of</w:t>
      </w:r>
      <w:r>
        <w:rPr>
          <w:spacing w:val="-3"/>
        </w:rPr>
        <w:t> </w:t>
      </w:r>
      <w:r>
        <w:rPr/>
        <w:t>85</w:t>
      </w:r>
      <w:r>
        <w:rPr>
          <w:spacing w:val="-4"/>
        </w:rPr>
        <w:t> </w:t>
      </w:r>
      <w:r>
        <w:rPr/>
        <w:t>almond</w:t>
      </w:r>
      <w:r>
        <w:rPr>
          <w:spacing w:val="-3"/>
        </w:rPr>
        <w:t> </w:t>
      </w:r>
      <w:r>
        <w:rPr/>
        <w:t>soaking</w:t>
      </w:r>
      <w:r>
        <w:rPr>
          <w:spacing w:val="-4"/>
        </w:rPr>
        <w:t> </w:t>
      </w:r>
      <w:r>
        <w:rPr/>
        <w:t>recipes</w:t>
      </w:r>
      <w:r>
        <w:rPr>
          <w:spacing w:val="-4"/>
        </w:rPr>
        <w:t> </w:t>
      </w:r>
      <w:r>
        <w:rPr/>
        <w:t>extracted</w:t>
      </w:r>
      <w:r>
        <w:rPr>
          <w:spacing w:val="-3"/>
        </w:rPr>
        <w:t> </w:t>
      </w:r>
      <w:r>
        <w:rPr/>
        <w:t>from</w:t>
      </w:r>
      <w:r>
        <w:rPr>
          <w:spacing w:val="-4"/>
        </w:rPr>
        <w:t> </w:t>
      </w:r>
      <w:r>
        <w:rPr/>
        <w:t>blogs and videos reveals wide variability in practices, particularly</w:t>
      </w:r>
      <w:r>
        <w:rPr>
          <w:spacing w:val="80"/>
          <w:w w:val="150"/>
        </w:rPr>
        <w:t> </w:t>
      </w:r>
      <w:r>
        <w:rPr/>
        <w:t>in almond-to-water ratios, soaking durations, and drying pro- tocols (Table </w:t>
      </w:r>
      <w:r>
        <w:rPr>
          <w:b/>
        </w:rPr>
        <w:t>??</w:t>
      </w:r>
      <w:r>
        <w:rPr/>
        <w:t>). Approximately 86% of recipes failed to mention the source of the almonds. Most encouraged health- related soaking benefits (94%), though only 8% cited food </w:t>
      </w:r>
      <w:r>
        <w:rPr>
          <w:spacing w:val="-2"/>
        </w:rPr>
        <w:t>safety.</w:t>
      </w:r>
    </w:p>
    <w:p>
      <w:pPr>
        <w:pStyle w:val="BodyText"/>
        <w:spacing w:line="249" w:lineRule="auto" w:before="2"/>
        <w:ind w:right="617" w:firstLine="199"/>
      </w:pPr>
      <w:r>
        <w:rPr/>
        <w:t>Over</w:t>
      </w:r>
      <w:r>
        <w:rPr>
          <w:spacing w:val="-9"/>
        </w:rPr>
        <w:t> </w:t>
      </w:r>
      <w:r>
        <w:rPr/>
        <w:t>half</w:t>
      </w:r>
      <w:r>
        <w:rPr>
          <w:spacing w:val="-9"/>
        </w:rPr>
        <w:t> </w:t>
      </w:r>
      <w:r>
        <w:rPr/>
        <w:t>the</w:t>
      </w:r>
      <w:r>
        <w:rPr>
          <w:spacing w:val="-9"/>
        </w:rPr>
        <w:t> </w:t>
      </w:r>
      <w:r>
        <w:rPr/>
        <w:t>recipes</w:t>
      </w:r>
      <w:r>
        <w:rPr>
          <w:spacing w:val="-9"/>
        </w:rPr>
        <w:t> </w:t>
      </w:r>
      <w:r>
        <w:rPr/>
        <w:t>(52.9%)</w:t>
      </w:r>
      <w:r>
        <w:rPr>
          <w:spacing w:val="-9"/>
        </w:rPr>
        <w:t> </w:t>
      </w:r>
      <w:r>
        <w:rPr/>
        <w:t>lacked</w:t>
      </w:r>
      <w:r>
        <w:rPr>
          <w:spacing w:val="-9"/>
        </w:rPr>
        <w:t> </w:t>
      </w:r>
      <w:r>
        <w:rPr/>
        <w:t>specific</w:t>
      </w:r>
      <w:r>
        <w:rPr>
          <w:spacing w:val="-9"/>
        </w:rPr>
        <w:t> </w:t>
      </w:r>
      <w:r>
        <w:rPr/>
        <w:t>drying</w:t>
      </w:r>
      <w:r>
        <w:rPr>
          <w:spacing w:val="-9"/>
        </w:rPr>
        <w:t> </w:t>
      </w:r>
      <w:r>
        <w:rPr/>
        <w:t>instruc- tions. Among those that did, the majority recommended oven or dehydrator methods, with only 27.1% specifying multiple drying</w:t>
      </w:r>
      <w:r>
        <w:rPr>
          <w:spacing w:val="-7"/>
        </w:rPr>
        <w:t> </w:t>
      </w:r>
      <w:r>
        <w:rPr/>
        <w:t>approaches.</w:t>
      </w:r>
      <w:r>
        <w:rPr>
          <w:spacing w:val="-7"/>
        </w:rPr>
        <w:t> </w:t>
      </w:r>
      <w:r>
        <w:rPr/>
        <w:t>Drying</w:t>
      </w:r>
      <w:r>
        <w:rPr>
          <w:spacing w:val="-7"/>
        </w:rPr>
        <w:t> </w:t>
      </w:r>
      <w:r>
        <w:rPr/>
        <w:t>durations</w:t>
      </w:r>
      <w:r>
        <w:rPr>
          <w:spacing w:val="-7"/>
        </w:rPr>
        <w:t> </w:t>
      </w:r>
      <w:r>
        <w:rPr/>
        <w:t>varied</w:t>
      </w:r>
      <w:r>
        <w:rPr>
          <w:spacing w:val="-7"/>
        </w:rPr>
        <w:t> </w:t>
      </w:r>
      <w:r>
        <w:rPr/>
        <w:t>significantly,</w:t>
      </w:r>
      <w:r>
        <w:rPr>
          <w:spacing w:val="-7"/>
        </w:rPr>
        <w:t> </w:t>
      </w:r>
      <w:r>
        <w:rPr/>
        <w:t>from under 12 hours to over 24 hours, with 68.2% omitting drying temperature entirely.</w:t>
      </w:r>
    </w:p>
    <w:p>
      <w:pPr>
        <w:pStyle w:val="BodyText"/>
        <w:spacing w:line="249" w:lineRule="auto" w:before="2"/>
        <w:ind w:right="617" w:firstLine="199"/>
      </w:pPr>
      <w:r>
        <w:rPr/>
        <w:t>While soaking was often performed at room </w:t>
      </w:r>
      <w:r>
        <w:rPr/>
        <w:t>temperature, only 9.4% of recipes recommended refrigeration. Importantly, more than half the recipes suggested soaking durations con- ducive to pathogen proliferation, exceeding 12 hours at ambi- ent conditions—ideal for growth of </w:t>
      </w:r>
      <w:r>
        <w:rPr>
          <w:i/>
        </w:rPr>
        <w:t>E. coli O157:H7</w:t>
      </w:r>
      <w:r>
        <w:rPr/>
        <w:t>, </w:t>
      </w:r>
      <w:r>
        <w:rPr>
          <w:i/>
        </w:rPr>
        <w:t>Listeria monocytogenes</w:t>
      </w:r>
      <w:r>
        <w:rPr/>
        <w:t>, and </w:t>
      </w:r>
      <w:r>
        <w:rPr>
          <w:i/>
        </w:rPr>
        <w:t>Salmonella </w:t>
      </w:r>
      <w:hyperlink w:history="true" w:anchor="_bookmark31">
        <w:r>
          <w:rPr/>
          <w:t>[37],</w:t>
        </w:r>
      </w:hyperlink>
      <w:r>
        <w:rPr/>
        <w:t> </w:t>
      </w:r>
      <w:hyperlink w:history="true" w:anchor="_bookmark5">
        <w:r>
          <w:rPr/>
          <w:t>[38].</w:t>
        </w:r>
      </w:hyperlink>
    </w:p>
    <w:p>
      <w:pPr>
        <w:pStyle w:val="ListParagraph"/>
        <w:numPr>
          <w:ilvl w:val="0"/>
          <w:numId w:val="5"/>
        </w:numPr>
        <w:tabs>
          <w:tab w:pos="469" w:val="left" w:leader="none"/>
        </w:tabs>
        <w:spacing w:line="240" w:lineRule="auto" w:before="158" w:after="0"/>
        <w:ind w:left="469" w:right="0" w:hanging="270"/>
        <w:jc w:val="both"/>
        <w:rPr>
          <w:i/>
          <w:sz w:val="20"/>
        </w:rPr>
      </w:pPr>
      <w:bookmarkStart w:name="Implications for Public Health and Recom" w:id="13"/>
      <w:bookmarkEnd w:id="13"/>
      <w:r>
        <w:rPr/>
      </w:r>
      <w:r>
        <w:rPr>
          <w:i/>
          <w:sz w:val="20"/>
        </w:rPr>
        <w:t>Implications</w:t>
      </w:r>
      <w:r>
        <w:rPr>
          <w:i/>
          <w:spacing w:val="13"/>
          <w:sz w:val="20"/>
        </w:rPr>
        <w:t> </w:t>
      </w:r>
      <w:r>
        <w:rPr>
          <w:i/>
          <w:sz w:val="20"/>
        </w:rPr>
        <w:t>for</w:t>
      </w:r>
      <w:r>
        <w:rPr>
          <w:i/>
          <w:spacing w:val="14"/>
          <w:sz w:val="20"/>
        </w:rPr>
        <w:t> </w:t>
      </w:r>
      <w:r>
        <w:rPr>
          <w:i/>
          <w:sz w:val="20"/>
        </w:rPr>
        <w:t>Public</w:t>
      </w:r>
      <w:r>
        <w:rPr>
          <w:i/>
          <w:spacing w:val="14"/>
          <w:sz w:val="20"/>
        </w:rPr>
        <w:t> </w:t>
      </w:r>
      <w:r>
        <w:rPr>
          <w:i/>
          <w:sz w:val="20"/>
        </w:rPr>
        <w:t>Health</w:t>
      </w:r>
      <w:r>
        <w:rPr>
          <w:i/>
          <w:spacing w:val="14"/>
          <w:sz w:val="20"/>
        </w:rPr>
        <w:t> </w:t>
      </w:r>
      <w:r>
        <w:rPr>
          <w:i/>
          <w:sz w:val="20"/>
        </w:rPr>
        <w:t>and</w:t>
      </w:r>
      <w:r>
        <w:rPr>
          <w:i/>
          <w:spacing w:val="14"/>
          <w:sz w:val="20"/>
        </w:rPr>
        <w:t> </w:t>
      </w:r>
      <w:r>
        <w:rPr>
          <w:i/>
          <w:spacing w:val="-2"/>
          <w:sz w:val="20"/>
        </w:rPr>
        <w:t>Recommendations</w:t>
      </w:r>
    </w:p>
    <w:p>
      <w:pPr>
        <w:pStyle w:val="BodyText"/>
        <w:spacing w:line="249" w:lineRule="auto" w:before="82"/>
        <w:ind w:right="617" w:firstLine="199"/>
      </w:pPr>
      <w:r>
        <w:rPr/>
        <w:t>The study highlights the absence of food safety </w:t>
      </w:r>
      <w:r>
        <w:rPr/>
        <w:t>messaging in the majority of social media content concerning almond soaking. Recipes frequently lack critical parameters such as water quality, cleanliness of utensils, and safe storage. While consumers</w:t>
      </w:r>
      <w:r>
        <w:rPr>
          <w:spacing w:val="-7"/>
        </w:rPr>
        <w:t> </w:t>
      </w:r>
      <w:r>
        <w:rPr/>
        <w:t>pursue</w:t>
      </w:r>
      <w:r>
        <w:rPr>
          <w:spacing w:val="-7"/>
        </w:rPr>
        <w:t> </w:t>
      </w:r>
      <w:r>
        <w:rPr/>
        <w:t>soaked</w:t>
      </w:r>
      <w:r>
        <w:rPr>
          <w:spacing w:val="-7"/>
        </w:rPr>
        <w:t> </w:t>
      </w:r>
      <w:r>
        <w:rPr/>
        <w:t>almonds</w:t>
      </w:r>
      <w:r>
        <w:rPr>
          <w:spacing w:val="-7"/>
        </w:rPr>
        <w:t> </w:t>
      </w:r>
      <w:r>
        <w:rPr/>
        <w:t>for</w:t>
      </w:r>
      <w:r>
        <w:rPr>
          <w:spacing w:val="-7"/>
        </w:rPr>
        <w:t> </w:t>
      </w:r>
      <w:r>
        <w:rPr/>
        <w:t>digestive,</w:t>
      </w:r>
      <w:r>
        <w:rPr>
          <w:spacing w:val="-7"/>
        </w:rPr>
        <w:t> </w:t>
      </w:r>
      <w:r>
        <w:rPr/>
        <w:t>nutritional,</w:t>
      </w:r>
      <w:r>
        <w:rPr>
          <w:spacing w:val="-7"/>
        </w:rPr>
        <w:t> </w:t>
      </w:r>
      <w:r>
        <w:rPr/>
        <w:t>or culinary</w:t>
      </w:r>
      <w:r>
        <w:rPr>
          <w:spacing w:val="-7"/>
        </w:rPr>
        <w:t> </w:t>
      </w:r>
      <w:r>
        <w:rPr/>
        <w:t>advantages,</w:t>
      </w:r>
      <w:r>
        <w:rPr>
          <w:spacing w:val="-7"/>
        </w:rPr>
        <w:t> </w:t>
      </w:r>
      <w:r>
        <w:rPr/>
        <w:t>there</w:t>
      </w:r>
      <w:r>
        <w:rPr>
          <w:spacing w:val="-7"/>
        </w:rPr>
        <w:t> </w:t>
      </w:r>
      <w:r>
        <w:rPr/>
        <w:t>is</w:t>
      </w:r>
      <w:r>
        <w:rPr>
          <w:spacing w:val="-7"/>
        </w:rPr>
        <w:t> </w:t>
      </w:r>
      <w:r>
        <w:rPr/>
        <w:t>insufficient</w:t>
      </w:r>
      <w:r>
        <w:rPr>
          <w:spacing w:val="-7"/>
        </w:rPr>
        <w:t> </w:t>
      </w:r>
      <w:r>
        <w:rPr/>
        <w:t>awareness</w:t>
      </w:r>
      <w:r>
        <w:rPr>
          <w:spacing w:val="-7"/>
        </w:rPr>
        <w:t> </w:t>
      </w:r>
      <w:r>
        <w:rPr/>
        <w:t>that</w:t>
      </w:r>
      <w:r>
        <w:rPr>
          <w:spacing w:val="-7"/>
        </w:rPr>
        <w:t> </w:t>
      </w:r>
      <w:r>
        <w:rPr/>
        <w:t>drying alone does not mitigate bacterial risk.</w:t>
      </w:r>
    </w:p>
    <w:p>
      <w:pPr>
        <w:pStyle w:val="BodyText"/>
        <w:spacing w:line="249" w:lineRule="auto" w:before="2"/>
        <w:ind w:right="617" w:firstLine="199"/>
      </w:pPr>
      <w:r>
        <w:rPr/>
        <w:t>Hence, consumer education is crucial. </w:t>
      </w:r>
      <w:r>
        <w:rPr/>
        <w:t>Recommendations include using almonds validated to have undergone pathogen reduction</w:t>
      </w:r>
      <w:r>
        <w:rPr>
          <w:spacing w:val="44"/>
        </w:rPr>
        <w:t> </w:t>
      </w:r>
      <w:r>
        <w:rPr/>
        <w:t>(e.g.,</w:t>
      </w:r>
      <w:r>
        <w:rPr>
          <w:spacing w:val="44"/>
        </w:rPr>
        <w:t> </w:t>
      </w:r>
      <w:r>
        <w:rPr/>
        <w:t>pasteurization),</w:t>
      </w:r>
      <w:r>
        <w:rPr>
          <w:spacing w:val="44"/>
        </w:rPr>
        <w:t> </w:t>
      </w:r>
      <w:r>
        <w:rPr/>
        <w:t>washing</w:t>
      </w:r>
      <w:r>
        <w:rPr>
          <w:spacing w:val="45"/>
        </w:rPr>
        <w:t> </w:t>
      </w:r>
      <w:r>
        <w:rPr/>
        <w:t>hands</w:t>
      </w:r>
      <w:r>
        <w:rPr>
          <w:spacing w:val="44"/>
        </w:rPr>
        <w:t> </w:t>
      </w:r>
      <w:r>
        <w:rPr/>
        <w:t>and</w:t>
      </w:r>
      <w:r>
        <w:rPr>
          <w:spacing w:val="44"/>
        </w:rPr>
        <w:t> </w:t>
      </w:r>
      <w:r>
        <w:rPr>
          <w:spacing w:val="-2"/>
        </w:rPr>
        <w:t>utensils</w:t>
      </w:r>
    </w:p>
    <w:p>
      <w:pPr>
        <w:pStyle w:val="BodyText"/>
        <w:spacing w:after="0" w:line="249" w:lineRule="auto"/>
        <w:sectPr>
          <w:pgSz w:w="12240" w:h="15840"/>
          <w:pgMar w:top="920" w:bottom="280" w:left="720" w:right="360"/>
          <w:cols w:num="2" w:equalWidth="0">
            <w:col w:w="5281" w:space="40"/>
            <w:col w:w="5839"/>
          </w:cols>
        </w:sectPr>
      </w:pPr>
    </w:p>
    <w:p>
      <w:pPr>
        <w:pStyle w:val="BodyText"/>
        <w:spacing w:line="249" w:lineRule="auto" w:before="71"/>
        <w:ind w:left="259"/>
      </w:pPr>
      <w:r>
        <w:rPr/>
        <w:t>thoroughly, soaking for no more than 8 hours at 18°C, </w:t>
      </w:r>
      <w:r>
        <w:rPr/>
        <w:t>and recognizing that drying at home temperatures does not ensure safety. Additionally, the misleading use of “raw” labeling in retail must be clarified in educational materials.</w:t>
      </w:r>
    </w:p>
    <w:p>
      <w:pPr>
        <w:pStyle w:val="BodyText"/>
        <w:spacing w:before="14"/>
        <w:ind w:left="0"/>
        <w:jc w:val="left"/>
      </w:pPr>
    </w:p>
    <w:p>
      <w:pPr>
        <w:spacing w:line="182" w:lineRule="exact" w:before="0"/>
        <w:ind w:left="259" w:right="0" w:firstLine="0"/>
        <w:jc w:val="center"/>
        <w:rPr>
          <w:sz w:val="16"/>
        </w:rPr>
      </w:pPr>
      <w:r>
        <w:rPr>
          <w:spacing w:val="-2"/>
          <w:sz w:val="16"/>
        </w:rPr>
        <w:t>TABLE</w:t>
      </w:r>
      <w:r>
        <w:rPr>
          <w:spacing w:val="4"/>
          <w:sz w:val="16"/>
        </w:rPr>
        <w:t> </w:t>
      </w:r>
      <w:r>
        <w:rPr>
          <w:spacing w:val="-10"/>
          <w:sz w:val="16"/>
        </w:rPr>
        <w:t>I</w:t>
      </w:r>
    </w:p>
    <w:p>
      <w:pPr>
        <w:spacing w:line="179" w:lineRule="exact" w:before="0"/>
        <w:ind w:left="259" w:right="0" w:firstLine="0"/>
        <w:jc w:val="center"/>
        <w:rPr>
          <w:sz w:val="16"/>
        </w:rPr>
      </w:pPr>
      <w:r>
        <w:rPr>
          <w:smallCaps/>
          <w:sz w:val="16"/>
        </w:rPr>
        <w:t>Modeling</w:t>
      </w:r>
      <w:r>
        <w:rPr>
          <w:smallCaps/>
          <w:spacing w:val="31"/>
          <w:sz w:val="16"/>
        </w:rPr>
        <w:t> </w:t>
      </w:r>
      <w:r>
        <w:rPr>
          <w:smallCaps/>
          <w:sz w:val="16"/>
        </w:rPr>
        <w:t>Parameters</w:t>
      </w:r>
      <w:r>
        <w:rPr>
          <w:smallCaps/>
          <w:spacing w:val="31"/>
          <w:sz w:val="16"/>
        </w:rPr>
        <w:t> </w:t>
      </w:r>
      <w:r>
        <w:rPr>
          <w:smallCaps/>
          <w:sz w:val="16"/>
        </w:rPr>
        <w:t>for</w:t>
      </w:r>
      <w:r>
        <w:rPr>
          <w:smallCaps/>
          <w:spacing w:val="31"/>
          <w:sz w:val="16"/>
        </w:rPr>
        <w:t> </w:t>
      </w:r>
      <w:r>
        <w:rPr>
          <w:smallCaps/>
          <w:sz w:val="16"/>
        </w:rPr>
        <w:t>Pathogen</w:t>
      </w:r>
      <w:r>
        <w:rPr>
          <w:smallCaps/>
          <w:spacing w:val="31"/>
          <w:sz w:val="16"/>
        </w:rPr>
        <w:t> </w:t>
      </w:r>
      <w:r>
        <w:rPr>
          <w:smallCaps/>
          <w:sz w:val="16"/>
        </w:rPr>
        <w:t>Growth</w:t>
      </w:r>
      <w:r>
        <w:rPr>
          <w:smallCaps/>
          <w:spacing w:val="31"/>
          <w:sz w:val="16"/>
        </w:rPr>
        <w:t> </w:t>
      </w:r>
      <w:r>
        <w:rPr>
          <w:smallCaps/>
          <w:sz w:val="16"/>
        </w:rPr>
        <w:t>in</w:t>
      </w:r>
      <w:r>
        <w:rPr>
          <w:smallCaps/>
          <w:spacing w:val="31"/>
          <w:sz w:val="16"/>
        </w:rPr>
        <w:t> </w:t>
      </w:r>
      <w:r>
        <w:rPr>
          <w:smallCaps/>
          <w:spacing w:val="-2"/>
          <w:sz w:val="16"/>
        </w:rPr>
        <w:t>Almonds</w:t>
      </w:r>
    </w:p>
    <w:p>
      <w:pPr>
        <w:spacing w:line="182" w:lineRule="exact" w:before="0"/>
        <w:ind w:left="259" w:right="0" w:firstLine="0"/>
        <w:jc w:val="center"/>
        <w:rPr>
          <w:sz w:val="16"/>
        </w:rPr>
      </w:pPr>
      <w:r>
        <w:rPr>
          <w:smallCaps/>
          <w:sz w:val="16"/>
        </w:rPr>
        <w:t>Soaked</w:t>
      </w:r>
      <w:r>
        <w:rPr>
          <w:smallCaps/>
          <w:spacing w:val="19"/>
          <w:sz w:val="16"/>
        </w:rPr>
        <w:t> </w:t>
      </w:r>
      <w:r>
        <w:rPr>
          <w:smallCaps/>
          <w:sz w:val="16"/>
        </w:rPr>
        <w:t>at</w:t>
      </w:r>
      <w:r>
        <w:rPr>
          <w:smallCaps/>
          <w:spacing w:val="20"/>
          <w:sz w:val="16"/>
        </w:rPr>
        <w:t> </w:t>
      </w:r>
      <w:r>
        <w:rPr>
          <w:smallCaps/>
          <w:sz w:val="16"/>
        </w:rPr>
        <w:t>1:1</w:t>
      </w:r>
      <w:r>
        <w:rPr>
          <w:smallCaps/>
          <w:spacing w:val="12"/>
          <w:sz w:val="16"/>
        </w:rPr>
        <w:t> </w:t>
      </w:r>
      <w:r>
        <w:rPr>
          <w:smallCaps/>
          <w:sz w:val="16"/>
        </w:rPr>
        <w:t>(w/v)</w:t>
      </w:r>
      <w:r>
        <w:rPr>
          <w:smallCaps/>
          <w:spacing w:val="12"/>
          <w:sz w:val="16"/>
        </w:rPr>
        <w:t> </w:t>
      </w:r>
      <w:r>
        <w:rPr>
          <w:smallCaps/>
          <w:sz w:val="16"/>
        </w:rPr>
        <w:t>Ratio</w:t>
      </w:r>
      <w:r>
        <w:rPr>
          <w:smallCaps/>
          <w:spacing w:val="20"/>
          <w:sz w:val="16"/>
        </w:rPr>
        <w:t> </w:t>
      </w:r>
      <w:r>
        <w:rPr>
          <w:smallCaps/>
          <w:sz w:val="16"/>
        </w:rPr>
        <w:t>for</w:t>
      </w:r>
      <w:r>
        <w:rPr>
          <w:smallCaps/>
          <w:spacing w:val="20"/>
          <w:sz w:val="16"/>
        </w:rPr>
        <w:t> </w:t>
      </w:r>
      <w:r>
        <w:rPr>
          <w:smallCaps/>
          <w:sz w:val="16"/>
        </w:rPr>
        <w:t>24</w:t>
      </w:r>
      <w:r>
        <w:rPr>
          <w:smallCaps/>
          <w:spacing w:val="12"/>
          <w:sz w:val="16"/>
        </w:rPr>
        <w:t> </w:t>
      </w:r>
      <w:r>
        <w:rPr>
          <w:smallCaps/>
          <w:sz w:val="16"/>
        </w:rPr>
        <w:t>h</w:t>
      </w:r>
      <w:r>
        <w:rPr>
          <w:smallCaps/>
          <w:spacing w:val="20"/>
          <w:sz w:val="16"/>
        </w:rPr>
        <w:t> </w:t>
      </w:r>
      <w:r>
        <w:rPr>
          <w:smallCaps/>
          <w:sz w:val="16"/>
        </w:rPr>
        <w:t>at</w:t>
      </w:r>
      <w:r>
        <w:rPr>
          <w:smallCaps/>
          <w:spacing w:val="19"/>
          <w:sz w:val="16"/>
        </w:rPr>
        <w:t> </w:t>
      </w:r>
      <w:r>
        <w:rPr>
          <w:smallCaps/>
          <w:spacing w:val="-4"/>
          <w:sz w:val="16"/>
        </w:rPr>
        <w:t>23°C</w:t>
      </w:r>
    </w:p>
    <w:p>
      <w:pPr>
        <w:pStyle w:val="BodyText"/>
        <w:spacing w:before="7"/>
        <w:ind w:left="0"/>
        <w:jc w:val="left"/>
        <w:rPr>
          <w:sz w:val="17"/>
        </w:rPr>
      </w:pPr>
    </w:p>
    <w:tbl>
      <w:tblPr>
        <w:tblW w:w="0" w:type="auto"/>
        <w:jc w:val="left"/>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54"/>
        <w:gridCol w:w="1208"/>
        <w:gridCol w:w="1477"/>
        <w:gridCol w:w="879"/>
        <w:gridCol w:w="391"/>
      </w:tblGrid>
      <w:tr>
        <w:trPr>
          <w:trHeight w:val="135" w:hRule="atLeast"/>
        </w:trPr>
        <w:tc>
          <w:tcPr>
            <w:tcW w:w="1054" w:type="dxa"/>
          </w:tcPr>
          <w:p>
            <w:pPr>
              <w:pStyle w:val="TableParagraph"/>
              <w:spacing w:line="116" w:lineRule="exact"/>
              <w:ind w:left="90"/>
              <w:jc w:val="left"/>
              <w:rPr>
                <w:b/>
                <w:sz w:val="12"/>
              </w:rPr>
            </w:pPr>
            <w:r>
              <w:rPr>
                <w:b/>
                <w:spacing w:val="-2"/>
                <w:sz w:val="12"/>
              </w:rPr>
              <w:t>Organism</w:t>
            </w:r>
          </w:p>
        </w:tc>
        <w:tc>
          <w:tcPr>
            <w:tcW w:w="1208" w:type="dxa"/>
          </w:tcPr>
          <w:p>
            <w:pPr>
              <w:pStyle w:val="TableParagraph"/>
              <w:spacing w:line="116" w:lineRule="exact"/>
              <w:ind w:left="90"/>
              <w:jc w:val="left"/>
              <w:rPr>
                <w:b/>
                <w:sz w:val="12"/>
              </w:rPr>
            </w:pPr>
            <w:r>
              <w:rPr>
                <w:b/>
                <w:sz w:val="12"/>
              </w:rPr>
              <w:t>Inoculation</w:t>
            </w:r>
            <w:r>
              <w:rPr>
                <w:b/>
                <w:spacing w:val="8"/>
                <w:sz w:val="12"/>
              </w:rPr>
              <w:t> </w:t>
            </w:r>
            <w:r>
              <w:rPr>
                <w:b/>
                <w:spacing w:val="-2"/>
                <w:sz w:val="12"/>
              </w:rPr>
              <w:t>Method</w:t>
            </w:r>
          </w:p>
        </w:tc>
        <w:tc>
          <w:tcPr>
            <w:tcW w:w="1477" w:type="dxa"/>
          </w:tcPr>
          <w:p>
            <w:pPr>
              <w:pStyle w:val="TableParagraph"/>
              <w:spacing w:line="116" w:lineRule="exact"/>
              <w:ind w:left="9"/>
              <w:rPr>
                <w:b/>
                <w:sz w:val="12"/>
              </w:rPr>
            </w:pPr>
            <w:r>
              <w:rPr>
                <w:b/>
                <w:sz w:val="12"/>
              </w:rPr>
              <w:t>Rate</w:t>
            </w:r>
            <w:r>
              <w:rPr>
                <w:b/>
                <w:spacing w:val="11"/>
                <w:sz w:val="12"/>
              </w:rPr>
              <w:t> </w:t>
            </w:r>
            <w:r>
              <w:rPr>
                <w:b/>
                <w:sz w:val="12"/>
              </w:rPr>
              <w:t>(log</w:t>
            </w:r>
            <w:r>
              <w:rPr>
                <w:b/>
                <w:spacing w:val="12"/>
                <w:sz w:val="12"/>
              </w:rPr>
              <w:t> </w:t>
            </w:r>
            <w:r>
              <w:rPr>
                <w:b/>
                <w:spacing w:val="-2"/>
                <w:sz w:val="12"/>
              </w:rPr>
              <w:t>CFU/sample/h)</w:t>
            </w:r>
          </w:p>
        </w:tc>
        <w:tc>
          <w:tcPr>
            <w:tcW w:w="879" w:type="dxa"/>
          </w:tcPr>
          <w:p>
            <w:pPr>
              <w:pStyle w:val="TableParagraph"/>
              <w:spacing w:line="116" w:lineRule="exact"/>
              <w:ind w:left="12"/>
              <w:rPr>
                <w:b/>
                <w:sz w:val="12"/>
              </w:rPr>
            </w:pPr>
            <w:r>
              <w:rPr>
                <w:b/>
                <w:sz w:val="12"/>
              </w:rPr>
              <w:t>Lag</w:t>
            </w:r>
            <w:r>
              <w:rPr>
                <w:b/>
                <w:spacing w:val="10"/>
                <w:sz w:val="12"/>
              </w:rPr>
              <w:t> </w:t>
            </w:r>
            <w:r>
              <w:rPr>
                <w:b/>
                <w:sz w:val="12"/>
              </w:rPr>
              <w:t>Time</w:t>
            </w:r>
            <w:r>
              <w:rPr>
                <w:b/>
                <w:spacing w:val="10"/>
                <w:sz w:val="12"/>
              </w:rPr>
              <w:t> </w:t>
            </w:r>
            <w:r>
              <w:rPr>
                <w:b/>
                <w:spacing w:val="-5"/>
                <w:sz w:val="12"/>
              </w:rPr>
              <w:t>(h)</w:t>
            </w:r>
          </w:p>
        </w:tc>
        <w:tc>
          <w:tcPr>
            <w:tcW w:w="391" w:type="dxa"/>
          </w:tcPr>
          <w:p>
            <w:pPr>
              <w:pStyle w:val="TableParagraph"/>
              <w:spacing w:line="117" w:lineRule="auto" w:before="6"/>
              <w:ind w:left="16" w:right="8"/>
              <w:rPr>
                <w:rFonts w:ascii="Bookman Old Style"/>
                <w:sz w:val="9"/>
              </w:rPr>
            </w:pPr>
            <w:r>
              <w:rPr>
                <w:b/>
                <w:spacing w:val="-5"/>
                <w:position w:val="-3"/>
                <w:sz w:val="12"/>
              </w:rPr>
              <w:t>R</w:t>
            </w:r>
            <w:r>
              <w:rPr>
                <w:rFonts w:ascii="Bookman Old Style"/>
                <w:spacing w:val="-5"/>
                <w:sz w:val="9"/>
              </w:rPr>
              <w:t>2</w:t>
            </w:r>
          </w:p>
        </w:tc>
      </w:tr>
      <w:tr>
        <w:trPr>
          <w:trHeight w:val="120" w:hRule="atLeast"/>
        </w:trPr>
        <w:tc>
          <w:tcPr>
            <w:tcW w:w="1054" w:type="dxa"/>
            <w:tcBorders>
              <w:bottom w:val="nil"/>
            </w:tcBorders>
          </w:tcPr>
          <w:p>
            <w:pPr>
              <w:pStyle w:val="TableParagraph"/>
              <w:spacing w:line="100" w:lineRule="exact"/>
              <w:ind w:left="90"/>
              <w:jc w:val="left"/>
              <w:rPr>
                <w:i/>
                <w:sz w:val="12"/>
              </w:rPr>
            </w:pPr>
            <w:r>
              <w:rPr>
                <w:i/>
                <w:spacing w:val="-2"/>
                <w:sz w:val="12"/>
              </w:rPr>
              <w:t>Salmonella</w:t>
            </w:r>
          </w:p>
        </w:tc>
        <w:tc>
          <w:tcPr>
            <w:tcW w:w="1208" w:type="dxa"/>
            <w:tcBorders>
              <w:bottom w:val="nil"/>
            </w:tcBorders>
          </w:tcPr>
          <w:p>
            <w:pPr>
              <w:pStyle w:val="TableParagraph"/>
              <w:spacing w:line="100" w:lineRule="exact"/>
              <w:ind w:left="90"/>
              <w:jc w:val="left"/>
              <w:rPr>
                <w:sz w:val="12"/>
              </w:rPr>
            </w:pPr>
            <w:r>
              <w:rPr>
                <w:sz w:val="12"/>
              </w:rPr>
              <w:t>Indirect</w:t>
            </w:r>
            <w:r>
              <w:rPr>
                <w:spacing w:val="8"/>
                <w:sz w:val="12"/>
              </w:rPr>
              <w:t> </w:t>
            </w:r>
            <w:r>
              <w:rPr>
                <w:sz w:val="12"/>
              </w:rPr>
              <w:t>(via</w:t>
            </w:r>
            <w:r>
              <w:rPr>
                <w:spacing w:val="8"/>
                <w:sz w:val="12"/>
              </w:rPr>
              <w:t> </w:t>
            </w:r>
            <w:r>
              <w:rPr>
                <w:spacing w:val="-2"/>
                <w:sz w:val="12"/>
              </w:rPr>
              <w:t>water)</w:t>
            </w:r>
          </w:p>
        </w:tc>
        <w:tc>
          <w:tcPr>
            <w:tcW w:w="1477" w:type="dxa"/>
            <w:tcBorders>
              <w:bottom w:val="nil"/>
            </w:tcBorders>
          </w:tcPr>
          <w:p>
            <w:pPr>
              <w:pStyle w:val="TableParagraph"/>
              <w:spacing w:line="100" w:lineRule="exact"/>
              <w:ind w:left="9"/>
              <w:rPr>
                <w:sz w:val="12"/>
              </w:rPr>
            </w:pPr>
            <w:r>
              <w:rPr>
                <w:spacing w:val="-4"/>
                <w:sz w:val="12"/>
              </w:rPr>
              <w:t>0.27</w:t>
            </w:r>
          </w:p>
        </w:tc>
        <w:tc>
          <w:tcPr>
            <w:tcW w:w="879" w:type="dxa"/>
            <w:tcBorders>
              <w:bottom w:val="nil"/>
            </w:tcBorders>
          </w:tcPr>
          <w:p>
            <w:pPr>
              <w:pStyle w:val="TableParagraph"/>
              <w:spacing w:line="100" w:lineRule="exact"/>
              <w:ind w:left="12"/>
              <w:rPr>
                <w:sz w:val="12"/>
              </w:rPr>
            </w:pPr>
            <w:r>
              <w:rPr>
                <w:spacing w:val="-4"/>
                <w:sz w:val="12"/>
              </w:rPr>
              <w:t>6.63</w:t>
            </w:r>
          </w:p>
        </w:tc>
        <w:tc>
          <w:tcPr>
            <w:tcW w:w="391" w:type="dxa"/>
            <w:tcBorders>
              <w:bottom w:val="nil"/>
            </w:tcBorders>
          </w:tcPr>
          <w:p>
            <w:pPr>
              <w:pStyle w:val="TableParagraph"/>
              <w:spacing w:line="100" w:lineRule="exact"/>
              <w:ind w:left="16"/>
              <w:rPr>
                <w:sz w:val="12"/>
              </w:rPr>
            </w:pPr>
            <w:r>
              <w:rPr>
                <w:spacing w:val="-4"/>
                <w:sz w:val="12"/>
              </w:rPr>
              <w:t>0.98</w:t>
            </w:r>
          </w:p>
        </w:tc>
      </w:tr>
      <w:tr>
        <w:trPr>
          <w:trHeight w:val="134" w:hRule="atLeast"/>
        </w:trPr>
        <w:tc>
          <w:tcPr>
            <w:tcW w:w="1054" w:type="dxa"/>
            <w:tcBorders>
              <w:top w:val="nil"/>
              <w:bottom w:val="nil"/>
            </w:tcBorders>
          </w:tcPr>
          <w:p>
            <w:pPr>
              <w:pStyle w:val="TableParagraph"/>
              <w:spacing w:line="114" w:lineRule="exact"/>
              <w:ind w:left="90"/>
              <w:jc w:val="left"/>
              <w:rPr>
                <w:i/>
                <w:sz w:val="12"/>
              </w:rPr>
            </w:pPr>
            <w:r>
              <w:rPr>
                <w:i/>
                <w:spacing w:val="-2"/>
                <w:sz w:val="12"/>
              </w:rPr>
              <w:t>Salmonella</w:t>
            </w:r>
          </w:p>
        </w:tc>
        <w:tc>
          <w:tcPr>
            <w:tcW w:w="1208" w:type="dxa"/>
            <w:tcBorders>
              <w:top w:val="nil"/>
              <w:bottom w:val="nil"/>
            </w:tcBorders>
          </w:tcPr>
          <w:p>
            <w:pPr>
              <w:pStyle w:val="TableParagraph"/>
              <w:spacing w:line="114" w:lineRule="exact"/>
              <w:ind w:left="90"/>
              <w:jc w:val="left"/>
              <w:rPr>
                <w:sz w:val="12"/>
              </w:rPr>
            </w:pPr>
            <w:r>
              <w:rPr>
                <w:sz w:val="12"/>
              </w:rPr>
              <w:t>Direct</w:t>
            </w:r>
            <w:r>
              <w:rPr>
                <w:spacing w:val="8"/>
                <w:sz w:val="12"/>
              </w:rPr>
              <w:t> </w:t>
            </w:r>
            <w:r>
              <w:rPr>
                <w:sz w:val="12"/>
              </w:rPr>
              <w:t>(on</w:t>
            </w:r>
            <w:r>
              <w:rPr>
                <w:spacing w:val="9"/>
                <w:sz w:val="12"/>
              </w:rPr>
              <w:t> </w:t>
            </w:r>
            <w:r>
              <w:rPr>
                <w:spacing w:val="-2"/>
                <w:sz w:val="12"/>
              </w:rPr>
              <w:t>almonds)</w:t>
            </w:r>
          </w:p>
        </w:tc>
        <w:tc>
          <w:tcPr>
            <w:tcW w:w="1477" w:type="dxa"/>
            <w:tcBorders>
              <w:top w:val="nil"/>
              <w:bottom w:val="nil"/>
            </w:tcBorders>
          </w:tcPr>
          <w:p>
            <w:pPr>
              <w:pStyle w:val="TableParagraph"/>
              <w:spacing w:line="114" w:lineRule="exact"/>
              <w:ind w:left="9"/>
              <w:rPr>
                <w:sz w:val="12"/>
              </w:rPr>
            </w:pPr>
            <w:r>
              <w:rPr>
                <w:spacing w:val="-4"/>
                <w:sz w:val="12"/>
              </w:rPr>
              <w:t>0.29</w:t>
            </w:r>
          </w:p>
        </w:tc>
        <w:tc>
          <w:tcPr>
            <w:tcW w:w="879" w:type="dxa"/>
            <w:tcBorders>
              <w:top w:val="nil"/>
              <w:bottom w:val="nil"/>
            </w:tcBorders>
          </w:tcPr>
          <w:p>
            <w:pPr>
              <w:pStyle w:val="TableParagraph"/>
              <w:spacing w:line="114" w:lineRule="exact"/>
              <w:ind w:left="12"/>
              <w:rPr>
                <w:sz w:val="12"/>
              </w:rPr>
            </w:pPr>
            <w:r>
              <w:rPr>
                <w:spacing w:val="-4"/>
                <w:sz w:val="12"/>
              </w:rPr>
              <w:t>6.40</w:t>
            </w:r>
          </w:p>
        </w:tc>
        <w:tc>
          <w:tcPr>
            <w:tcW w:w="391" w:type="dxa"/>
            <w:tcBorders>
              <w:top w:val="nil"/>
              <w:bottom w:val="nil"/>
            </w:tcBorders>
          </w:tcPr>
          <w:p>
            <w:pPr>
              <w:pStyle w:val="TableParagraph"/>
              <w:spacing w:line="114" w:lineRule="exact"/>
              <w:ind w:left="16"/>
              <w:rPr>
                <w:sz w:val="12"/>
              </w:rPr>
            </w:pPr>
            <w:r>
              <w:rPr>
                <w:spacing w:val="-4"/>
                <w:sz w:val="12"/>
              </w:rPr>
              <w:t>0.96</w:t>
            </w:r>
          </w:p>
        </w:tc>
      </w:tr>
      <w:tr>
        <w:trPr>
          <w:trHeight w:val="134" w:hRule="atLeast"/>
        </w:trPr>
        <w:tc>
          <w:tcPr>
            <w:tcW w:w="1054" w:type="dxa"/>
            <w:tcBorders>
              <w:top w:val="nil"/>
              <w:bottom w:val="nil"/>
            </w:tcBorders>
          </w:tcPr>
          <w:p>
            <w:pPr>
              <w:pStyle w:val="TableParagraph"/>
              <w:spacing w:line="114" w:lineRule="exact"/>
              <w:ind w:left="90"/>
              <w:jc w:val="left"/>
              <w:rPr>
                <w:i/>
                <w:sz w:val="12"/>
              </w:rPr>
            </w:pPr>
            <w:r>
              <w:rPr>
                <w:i/>
                <w:sz w:val="12"/>
              </w:rPr>
              <w:t>E.</w:t>
            </w:r>
            <w:r>
              <w:rPr>
                <w:i/>
                <w:spacing w:val="9"/>
                <w:sz w:val="12"/>
              </w:rPr>
              <w:t> </w:t>
            </w:r>
            <w:r>
              <w:rPr>
                <w:i/>
                <w:sz w:val="12"/>
              </w:rPr>
              <w:t>coli</w:t>
            </w:r>
            <w:r>
              <w:rPr>
                <w:i/>
                <w:spacing w:val="10"/>
                <w:sz w:val="12"/>
              </w:rPr>
              <w:t> </w:t>
            </w:r>
            <w:r>
              <w:rPr>
                <w:i/>
                <w:spacing w:val="-2"/>
                <w:sz w:val="12"/>
              </w:rPr>
              <w:t>O157:H7</w:t>
            </w:r>
          </w:p>
        </w:tc>
        <w:tc>
          <w:tcPr>
            <w:tcW w:w="1208" w:type="dxa"/>
            <w:tcBorders>
              <w:top w:val="nil"/>
              <w:bottom w:val="nil"/>
            </w:tcBorders>
          </w:tcPr>
          <w:p>
            <w:pPr>
              <w:pStyle w:val="TableParagraph"/>
              <w:spacing w:line="114" w:lineRule="exact"/>
              <w:ind w:left="90"/>
              <w:jc w:val="left"/>
              <w:rPr>
                <w:sz w:val="12"/>
              </w:rPr>
            </w:pPr>
            <w:r>
              <w:rPr>
                <w:spacing w:val="-2"/>
                <w:sz w:val="12"/>
              </w:rPr>
              <w:t>Direct</w:t>
            </w:r>
          </w:p>
        </w:tc>
        <w:tc>
          <w:tcPr>
            <w:tcW w:w="1477" w:type="dxa"/>
            <w:tcBorders>
              <w:top w:val="nil"/>
              <w:bottom w:val="nil"/>
            </w:tcBorders>
          </w:tcPr>
          <w:p>
            <w:pPr>
              <w:pStyle w:val="TableParagraph"/>
              <w:spacing w:line="114" w:lineRule="exact"/>
              <w:ind w:left="9"/>
              <w:rPr>
                <w:sz w:val="12"/>
              </w:rPr>
            </w:pPr>
            <w:r>
              <w:rPr>
                <w:spacing w:val="-4"/>
                <w:sz w:val="12"/>
              </w:rPr>
              <w:t>0.26</w:t>
            </w:r>
          </w:p>
        </w:tc>
        <w:tc>
          <w:tcPr>
            <w:tcW w:w="879" w:type="dxa"/>
            <w:tcBorders>
              <w:top w:val="nil"/>
              <w:bottom w:val="nil"/>
            </w:tcBorders>
          </w:tcPr>
          <w:p>
            <w:pPr>
              <w:pStyle w:val="TableParagraph"/>
              <w:spacing w:line="114" w:lineRule="exact"/>
              <w:ind w:left="12"/>
              <w:rPr>
                <w:sz w:val="12"/>
              </w:rPr>
            </w:pPr>
            <w:r>
              <w:rPr>
                <w:spacing w:val="-4"/>
                <w:sz w:val="12"/>
              </w:rPr>
              <w:t>9.40</w:t>
            </w:r>
          </w:p>
        </w:tc>
        <w:tc>
          <w:tcPr>
            <w:tcW w:w="391" w:type="dxa"/>
            <w:tcBorders>
              <w:top w:val="nil"/>
              <w:bottom w:val="nil"/>
            </w:tcBorders>
          </w:tcPr>
          <w:p>
            <w:pPr>
              <w:pStyle w:val="TableParagraph"/>
              <w:spacing w:line="114" w:lineRule="exact"/>
              <w:ind w:left="16"/>
              <w:rPr>
                <w:sz w:val="12"/>
              </w:rPr>
            </w:pPr>
            <w:r>
              <w:rPr>
                <w:spacing w:val="-4"/>
                <w:sz w:val="12"/>
              </w:rPr>
              <w:t>0.91</w:t>
            </w:r>
          </w:p>
        </w:tc>
      </w:tr>
      <w:tr>
        <w:trPr>
          <w:trHeight w:val="143" w:hRule="atLeast"/>
        </w:trPr>
        <w:tc>
          <w:tcPr>
            <w:tcW w:w="1054" w:type="dxa"/>
            <w:tcBorders>
              <w:top w:val="nil"/>
            </w:tcBorders>
          </w:tcPr>
          <w:p>
            <w:pPr>
              <w:pStyle w:val="TableParagraph"/>
              <w:spacing w:line="124" w:lineRule="exact"/>
              <w:ind w:left="90"/>
              <w:jc w:val="left"/>
              <w:rPr>
                <w:i/>
                <w:sz w:val="12"/>
              </w:rPr>
            </w:pPr>
            <w:r>
              <w:rPr>
                <w:i/>
                <w:sz w:val="12"/>
              </w:rPr>
              <w:t>L.</w:t>
            </w:r>
            <w:r>
              <w:rPr>
                <w:i/>
                <w:spacing w:val="10"/>
                <w:sz w:val="12"/>
              </w:rPr>
              <w:t> </w:t>
            </w:r>
            <w:r>
              <w:rPr>
                <w:i/>
                <w:spacing w:val="-2"/>
                <w:sz w:val="12"/>
              </w:rPr>
              <w:t>monocytogenes</w:t>
            </w:r>
          </w:p>
        </w:tc>
        <w:tc>
          <w:tcPr>
            <w:tcW w:w="1208" w:type="dxa"/>
            <w:tcBorders>
              <w:top w:val="nil"/>
            </w:tcBorders>
          </w:tcPr>
          <w:p>
            <w:pPr>
              <w:pStyle w:val="TableParagraph"/>
              <w:spacing w:line="124" w:lineRule="exact"/>
              <w:ind w:left="90"/>
              <w:jc w:val="left"/>
              <w:rPr>
                <w:sz w:val="12"/>
              </w:rPr>
            </w:pPr>
            <w:r>
              <w:rPr>
                <w:spacing w:val="-2"/>
                <w:sz w:val="12"/>
              </w:rPr>
              <w:t>Direct</w:t>
            </w:r>
          </w:p>
        </w:tc>
        <w:tc>
          <w:tcPr>
            <w:tcW w:w="1477" w:type="dxa"/>
            <w:tcBorders>
              <w:top w:val="nil"/>
            </w:tcBorders>
          </w:tcPr>
          <w:p>
            <w:pPr>
              <w:pStyle w:val="TableParagraph"/>
              <w:spacing w:line="124" w:lineRule="exact"/>
              <w:ind w:left="9"/>
              <w:rPr>
                <w:sz w:val="12"/>
              </w:rPr>
            </w:pPr>
            <w:r>
              <w:rPr>
                <w:spacing w:val="-4"/>
                <w:sz w:val="12"/>
              </w:rPr>
              <w:t>0.22</w:t>
            </w:r>
          </w:p>
        </w:tc>
        <w:tc>
          <w:tcPr>
            <w:tcW w:w="879" w:type="dxa"/>
            <w:tcBorders>
              <w:top w:val="nil"/>
            </w:tcBorders>
          </w:tcPr>
          <w:p>
            <w:pPr>
              <w:pStyle w:val="TableParagraph"/>
              <w:spacing w:line="124" w:lineRule="exact"/>
              <w:ind w:left="12"/>
              <w:rPr>
                <w:sz w:val="12"/>
              </w:rPr>
            </w:pPr>
            <w:r>
              <w:rPr>
                <w:spacing w:val="-4"/>
                <w:sz w:val="12"/>
              </w:rPr>
              <w:t>8.43</w:t>
            </w:r>
          </w:p>
        </w:tc>
        <w:tc>
          <w:tcPr>
            <w:tcW w:w="391" w:type="dxa"/>
            <w:tcBorders>
              <w:top w:val="nil"/>
            </w:tcBorders>
          </w:tcPr>
          <w:p>
            <w:pPr>
              <w:pStyle w:val="TableParagraph"/>
              <w:spacing w:line="124" w:lineRule="exact"/>
              <w:ind w:left="16"/>
              <w:rPr>
                <w:sz w:val="12"/>
              </w:rPr>
            </w:pPr>
            <w:r>
              <w:rPr>
                <w:spacing w:val="-4"/>
                <w:sz w:val="12"/>
              </w:rPr>
              <w:t>0.93</w:t>
            </w:r>
          </w:p>
        </w:tc>
      </w:tr>
    </w:tbl>
    <w:p>
      <w:pPr>
        <w:pStyle w:val="BodyText"/>
        <w:ind w:left="0"/>
        <w:jc w:val="left"/>
        <w:rPr>
          <w:sz w:val="12"/>
        </w:rPr>
      </w:pPr>
    </w:p>
    <w:p>
      <w:pPr>
        <w:pStyle w:val="BodyText"/>
        <w:ind w:left="0"/>
        <w:jc w:val="left"/>
        <w:rPr>
          <w:sz w:val="12"/>
        </w:rPr>
      </w:pPr>
    </w:p>
    <w:p>
      <w:pPr>
        <w:pStyle w:val="BodyText"/>
        <w:spacing w:before="81"/>
        <w:ind w:left="0"/>
        <w:jc w:val="left"/>
        <w:rPr>
          <w:sz w:val="12"/>
        </w:rPr>
      </w:pPr>
    </w:p>
    <w:p>
      <w:pPr>
        <w:spacing w:line="182" w:lineRule="exact" w:before="1"/>
        <w:ind w:left="259" w:right="0" w:firstLine="0"/>
        <w:jc w:val="center"/>
        <w:rPr>
          <w:sz w:val="16"/>
        </w:rPr>
      </w:pPr>
      <w:bookmarkStart w:name="_bookmark0" w:id="14"/>
      <w:bookmarkEnd w:id="14"/>
      <w:r>
        <w:rPr/>
      </w:r>
      <w:r>
        <w:rPr>
          <w:spacing w:val="-2"/>
          <w:sz w:val="16"/>
        </w:rPr>
        <w:t>TABLE</w:t>
      </w:r>
      <w:r>
        <w:rPr>
          <w:spacing w:val="4"/>
          <w:sz w:val="16"/>
        </w:rPr>
        <w:t> </w:t>
      </w:r>
      <w:r>
        <w:rPr>
          <w:spacing w:val="-5"/>
          <w:sz w:val="16"/>
        </w:rPr>
        <w:t>II</w:t>
      </w:r>
    </w:p>
    <w:p>
      <w:pPr>
        <w:spacing w:line="179" w:lineRule="exact" w:before="0"/>
        <w:ind w:left="259" w:right="0" w:firstLine="0"/>
        <w:jc w:val="center"/>
        <w:rPr>
          <w:sz w:val="16"/>
        </w:rPr>
      </w:pPr>
      <w:r>
        <w:rPr>
          <w:smallCaps/>
          <w:sz w:val="16"/>
        </w:rPr>
        <w:t>Moisture</w:t>
      </w:r>
      <w:r>
        <w:rPr>
          <w:smallCaps/>
          <w:spacing w:val="30"/>
          <w:sz w:val="16"/>
        </w:rPr>
        <w:t> </w:t>
      </w:r>
      <w:r>
        <w:rPr>
          <w:smallCaps/>
          <w:sz w:val="16"/>
        </w:rPr>
        <w:t>Content</w:t>
      </w:r>
      <w:r>
        <w:rPr>
          <w:smallCaps/>
          <w:spacing w:val="32"/>
          <w:sz w:val="16"/>
        </w:rPr>
        <w:t> </w:t>
      </w:r>
      <w:r>
        <w:rPr>
          <w:smallCaps/>
          <w:sz w:val="16"/>
        </w:rPr>
        <w:t>and</w:t>
      </w:r>
      <w:r>
        <w:rPr>
          <w:smallCaps/>
          <w:spacing w:val="32"/>
          <w:sz w:val="16"/>
        </w:rPr>
        <w:t> </w:t>
      </w:r>
      <w:r>
        <w:rPr>
          <w:smallCaps/>
          <w:sz w:val="16"/>
        </w:rPr>
        <w:t>Water</w:t>
      </w:r>
      <w:r>
        <w:rPr>
          <w:smallCaps/>
          <w:spacing w:val="32"/>
          <w:sz w:val="16"/>
        </w:rPr>
        <w:t> </w:t>
      </w:r>
      <w:r>
        <w:rPr>
          <w:smallCaps/>
          <w:sz w:val="16"/>
        </w:rPr>
        <w:t>Activity</w:t>
      </w:r>
      <w:r>
        <w:rPr>
          <w:smallCaps/>
          <w:spacing w:val="32"/>
          <w:sz w:val="16"/>
        </w:rPr>
        <w:t> </w:t>
      </w:r>
      <w:r>
        <w:rPr>
          <w:smallCaps/>
          <w:sz w:val="16"/>
        </w:rPr>
        <w:t>of</w:t>
      </w:r>
      <w:r>
        <w:rPr>
          <w:smallCaps/>
          <w:spacing w:val="32"/>
          <w:sz w:val="16"/>
        </w:rPr>
        <w:t> </w:t>
      </w:r>
      <w:r>
        <w:rPr>
          <w:smallCaps/>
          <w:sz w:val="16"/>
        </w:rPr>
        <w:t>Almonds</w:t>
      </w:r>
      <w:r>
        <w:rPr>
          <w:smallCaps/>
          <w:spacing w:val="33"/>
          <w:sz w:val="16"/>
        </w:rPr>
        <w:t> </w:t>
      </w:r>
      <w:r>
        <w:rPr>
          <w:smallCaps/>
          <w:spacing w:val="-5"/>
          <w:sz w:val="16"/>
        </w:rPr>
        <w:t>at</w:t>
      </w:r>
    </w:p>
    <w:p>
      <w:pPr>
        <w:spacing w:line="182" w:lineRule="exact" w:before="0"/>
        <w:ind w:left="259" w:right="0" w:firstLine="0"/>
        <w:jc w:val="center"/>
        <w:rPr>
          <w:sz w:val="16"/>
        </w:rPr>
      </w:pPr>
      <w:r>
        <w:rPr>
          <w:smallCaps/>
          <w:sz w:val="16"/>
        </w:rPr>
        <w:t>Different</w:t>
      </w:r>
      <w:r>
        <w:rPr>
          <w:smallCaps/>
          <w:spacing w:val="44"/>
          <w:sz w:val="16"/>
        </w:rPr>
        <w:t> </w:t>
      </w:r>
      <w:r>
        <w:rPr>
          <w:smallCaps/>
          <w:sz w:val="16"/>
        </w:rPr>
        <w:t>Soaking</w:t>
      </w:r>
      <w:r>
        <w:rPr>
          <w:smallCaps/>
          <w:spacing w:val="45"/>
          <w:sz w:val="16"/>
        </w:rPr>
        <w:t> </w:t>
      </w:r>
      <w:r>
        <w:rPr>
          <w:smallCaps/>
          <w:spacing w:val="-2"/>
          <w:sz w:val="16"/>
        </w:rPr>
        <w:t>Conditions</w:t>
      </w:r>
    </w:p>
    <w:p>
      <w:pPr>
        <w:pStyle w:val="BodyText"/>
        <w:spacing w:before="3" w:after="1"/>
        <w:ind w:left="0"/>
        <w:jc w:val="left"/>
        <w:rPr>
          <w:sz w:val="15"/>
        </w:rPr>
      </w:pPr>
    </w:p>
    <w:tbl>
      <w:tblPr>
        <w:tblW w:w="0" w:type="auto"/>
        <w:jc w:val="left"/>
        <w:tblInd w:w="6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3"/>
        <w:gridCol w:w="976"/>
        <w:gridCol w:w="1190"/>
        <w:gridCol w:w="1208"/>
      </w:tblGrid>
      <w:tr>
        <w:trPr>
          <w:trHeight w:val="177" w:hRule="atLeast"/>
        </w:trPr>
        <w:tc>
          <w:tcPr>
            <w:tcW w:w="853" w:type="dxa"/>
          </w:tcPr>
          <w:p>
            <w:pPr>
              <w:pStyle w:val="TableParagraph"/>
              <w:spacing w:line="157" w:lineRule="exact"/>
              <w:rPr>
                <w:b/>
                <w:sz w:val="16"/>
              </w:rPr>
            </w:pPr>
            <w:r>
              <w:rPr>
                <w:b/>
                <w:sz w:val="16"/>
              </w:rPr>
              <w:t>Time</w:t>
            </w:r>
            <w:r>
              <w:rPr>
                <w:b/>
                <w:spacing w:val="12"/>
                <w:sz w:val="16"/>
              </w:rPr>
              <w:t> </w:t>
            </w:r>
            <w:r>
              <w:rPr>
                <w:b/>
                <w:spacing w:val="-5"/>
                <w:sz w:val="16"/>
              </w:rPr>
              <w:t>(h)</w:t>
            </w:r>
          </w:p>
        </w:tc>
        <w:tc>
          <w:tcPr>
            <w:tcW w:w="976" w:type="dxa"/>
          </w:tcPr>
          <w:p>
            <w:pPr>
              <w:pStyle w:val="TableParagraph"/>
              <w:spacing w:line="157" w:lineRule="exact"/>
              <w:rPr>
                <w:b/>
                <w:sz w:val="16"/>
              </w:rPr>
            </w:pPr>
            <w:r>
              <w:rPr>
                <w:b/>
                <w:sz w:val="16"/>
              </w:rPr>
              <w:t>Temp </w:t>
            </w:r>
            <w:r>
              <w:rPr>
                <w:b/>
                <w:spacing w:val="-4"/>
                <w:sz w:val="16"/>
              </w:rPr>
              <w:t>(°C)</w:t>
            </w:r>
          </w:p>
        </w:tc>
        <w:tc>
          <w:tcPr>
            <w:tcW w:w="1190" w:type="dxa"/>
          </w:tcPr>
          <w:p>
            <w:pPr>
              <w:pStyle w:val="TableParagraph"/>
              <w:spacing w:line="157" w:lineRule="exact"/>
              <w:ind w:left="6"/>
              <w:rPr>
                <w:b/>
                <w:sz w:val="16"/>
              </w:rPr>
            </w:pPr>
            <w:r>
              <w:rPr>
                <w:b/>
                <w:sz w:val="16"/>
              </w:rPr>
              <w:t>Moisture</w:t>
            </w:r>
            <w:r>
              <w:rPr>
                <w:b/>
                <w:spacing w:val="9"/>
                <w:sz w:val="16"/>
              </w:rPr>
              <w:t> </w:t>
            </w:r>
            <w:r>
              <w:rPr>
                <w:b/>
                <w:spacing w:val="-5"/>
                <w:sz w:val="16"/>
              </w:rPr>
              <w:t>(%)</w:t>
            </w:r>
          </w:p>
        </w:tc>
        <w:tc>
          <w:tcPr>
            <w:tcW w:w="1208" w:type="dxa"/>
          </w:tcPr>
          <w:p>
            <w:pPr>
              <w:pStyle w:val="TableParagraph"/>
              <w:spacing w:line="157" w:lineRule="exact"/>
              <w:ind w:left="5" w:right="10"/>
              <w:rPr>
                <w:rFonts w:ascii="Century Gothic"/>
                <w:i/>
                <w:sz w:val="12"/>
              </w:rPr>
            </w:pPr>
            <w:r>
              <w:rPr>
                <w:rFonts w:ascii="Bookman Old Style"/>
                <w:i/>
                <w:spacing w:val="-5"/>
                <w:position w:val="2"/>
                <w:sz w:val="16"/>
              </w:rPr>
              <w:t>a</w:t>
            </w:r>
            <w:r>
              <w:rPr>
                <w:rFonts w:ascii="Century Gothic"/>
                <w:i/>
                <w:spacing w:val="-5"/>
                <w:sz w:val="12"/>
              </w:rPr>
              <w:t>w</w:t>
            </w:r>
          </w:p>
        </w:tc>
      </w:tr>
      <w:tr>
        <w:trPr>
          <w:trHeight w:val="162" w:hRule="atLeast"/>
        </w:trPr>
        <w:tc>
          <w:tcPr>
            <w:tcW w:w="853" w:type="dxa"/>
            <w:tcBorders>
              <w:bottom w:val="nil"/>
            </w:tcBorders>
          </w:tcPr>
          <w:p>
            <w:pPr>
              <w:pStyle w:val="TableParagraph"/>
              <w:spacing w:line="143" w:lineRule="exact"/>
              <w:rPr>
                <w:sz w:val="16"/>
              </w:rPr>
            </w:pPr>
            <w:r>
              <w:rPr>
                <w:spacing w:val="-10"/>
                <w:sz w:val="16"/>
              </w:rPr>
              <w:t>0</w:t>
            </w:r>
          </w:p>
        </w:tc>
        <w:tc>
          <w:tcPr>
            <w:tcW w:w="976" w:type="dxa"/>
            <w:tcBorders>
              <w:bottom w:val="nil"/>
            </w:tcBorders>
          </w:tcPr>
          <w:p>
            <w:pPr>
              <w:pStyle w:val="TableParagraph"/>
              <w:spacing w:line="143" w:lineRule="exact"/>
              <w:rPr>
                <w:sz w:val="16"/>
              </w:rPr>
            </w:pPr>
            <w:r>
              <w:rPr>
                <w:spacing w:val="-5"/>
                <w:sz w:val="16"/>
              </w:rPr>
              <w:t>All</w:t>
            </w:r>
          </w:p>
        </w:tc>
        <w:tc>
          <w:tcPr>
            <w:tcW w:w="1190" w:type="dxa"/>
            <w:tcBorders>
              <w:bottom w:val="nil"/>
            </w:tcBorders>
          </w:tcPr>
          <w:p>
            <w:pPr>
              <w:pStyle w:val="TableParagraph"/>
              <w:spacing w:line="143" w:lineRule="exact"/>
              <w:ind w:left="192"/>
              <w:jc w:val="left"/>
              <w:rPr>
                <w:sz w:val="16"/>
              </w:rPr>
            </w:pPr>
            <w:r>
              <w:rPr>
                <w:sz w:val="16"/>
              </w:rPr>
              <w:t>5.27</w:t>
            </w:r>
            <w:r>
              <w:rPr>
                <w:spacing w:val="13"/>
                <w:sz w:val="16"/>
              </w:rPr>
              <w:t> </w:t>
            </w:r>
            <w:r>
              <w:rPr>
                <w:rFonts w:ascii="Verdana" w:hAnsi="Verdana"/>
                <w:i/>
                <w:sz w:val="16"/>
              </w:rPr>
              <w:t>±</w:t>
            </w:r>
            <w:r>
              <w:rPr>
                <w:rFonts w:ascii="Verdana" w:hAnsi="Verdana"/>
                <w:i/>
                <w:spacing w:val="-2"/>
                <w:sz w:val="16"/>
              </w:rPr>
              <w:t> </w:t>
            </w:r>
            <w:r>
              <w:rPr>
                <w:spacing w:val="-4"/>
                <w:sz w:val="16"/>
              </w:rPr>
              <w:t>0.11</w:t>
            </w:r>
          </w:p>
        </w:tc>
        <w:tc>
          <w:tcPr>
            <w:tcW w:w="1208" w:type="dxa"/>
            <w:tcBorders>
              <w:bottom w:val="nil"/>
            </w:tcBorders>
          </w:tcPr>
          <w:p>
            <w:pPr>
              <w:pStyle w:val="TableParagraph"/>
              <w:spacing w:line="143" w:lineRule="exact"/>
              <w:ind w:left="121"/>
              <w:jc w:val="left"/>
              <w:rPr>
                <w:sz w:val="16"/>
              </w:rPr>
            </w:pPr>
            <w:r>
              <w:rPr>
                <w:sz w:val="16"/>
              </w:rPr>
              <w:t>0.564</w:t>
            </w:r>
            <w:r>
              <w:rPr>
                <w:spacing w:val="13"/>
                <w:sz w:val="16"/>
              </w:rPr>
              <w:t> </w:t>
            </w:r>
            <w:r>
              <w:rPr>
                <w:rFonts w:ascii="Verdana" w:hAnsi="Verdana"/>
                <w:i/>
                <w:sz w:val="16"/>
              </w:rPr>
              <w:t>±</w:t>
            </w:r>
            <w:r>
              <w:rPr>
                <w:rFonts w:ascii="Verdana" w:hAnsi="Verdana"/>
                <w:i/>
                <w:spacing w:val="-3"/>
                <w:sz w:val="16"/>
              </w:rPr>
              <w:t> </w:t>
            </w:r>
            <w:r>
              <w:rPr>
                <w:spacing w:val="-2"/>
                <w:sz w:val="16"/>
              </w:rPr>
              <w:t>0.026</w:t>
            </w:r>
          </w:p>
        </w:tc>
      </w:tr>
      <w:tr>
        <w:trPr>
          <w:trHeight w:val="179" w:hRule="atLeast"/>
        </w:trPr>
        <w:tc>
          <w:tcPr>
            <w:tcW w:w="853" w:type="dxa"/>
            <w:tcBorders>
              <w:top w:val="nil"/>
              <w:bottom w:val="nil"/>
            </w:tcBorders>
          </w:tcPr>
          <w:p>
            <w:pPr>
              <w:pStyle w:val="TableParagraph"/>
              <w:rPr>
                <w:sz w:val="16"/>
              </w:rPr>
            </w:pPr>
            <w:r>
              <w:rPr>
                <w:spacing w:val="-10"/>
                <w:sz w:val="16"/>
              </w:rPr>
              <w:t>8</w:t>
            </w:r>
          </w:p>
        </w:tc>
        <w:tc>
          <w:tcPr>
            <w:tcW w:w="976" w:type="dxa"/>
            <w:tcBorders>
              <w:top w:val="nil"/>
              <w:bottom w:val="nil"/>
            </w:tcBorders>
          </w:tcPr>
          <w:p>
            <w:pPr>
              <w:pStyle w:val="TableParagraph"/>
              <w:rPr>
                <w:sz w:val="16"/>
              </w:rPr>
            </w:pPr>
            <w:r>
              <w:rPr>
                <w:spacing w:val="-5"/>
                <w:sz w:val="16"/>
              </w:rPr>
              <w:t>23</w:t>
            </w:r>
          </w:p>
        </w:tc>
        <w:tc>
          <w:tcPr>
            <w:tcW w:w="1190" w:type="dxa"/>
            <w:tcBorders>
              <w:top w:val="nil"/>
              <w:bottom w:val="nil"/>
            </w:tcBorders>
          </w:tcPr>
          <w:p>
            <w:pPr>
              <w:pStyle w:val="TableParagraph"/>
              <w:ind w:left="152"/>
              <w:jc w:val="left"/>
              <w:rPr>
                <w:sz w:val="16"/>
              </w:rPr>
            </w:pPr>
            <w:r>
              <w:rPr>
                <w:sz w:val="16"/>
              </w:rPr>
              <w:t>30.73</w:t>
            </w:r>
            <w:r>
              <w:rPr>
                <w:spacing w:val="13"/>
                <w:sz w:val="16"/>
              </w:rPr>
              <w:t> </w:t>
            </w:r>
            <w:r>
              <w:rPr>
                <w:rFonts w:ascii="Verdana" w:hAnsi="Verdana"/>
                <w:i/>
                <w:sz w:val="16"/>
              </w:rPr>
              <w:t>±</w:t>
            </w:r>
            <w:r>
              <w:rPr>
                <w:rFonts w:ascii="Verdana" w:hAnsi="Verdana"/>
                <w:i/>
                <w:spacing w:val="-3"/>
                <w:sz w:val="16"/>
              </w:rPr>
              <w:t> </w:t>
            </w:r>
            <w:r>
              <w:rPr>
                <w:spacing w:val="-4"/>
                <w:sz w:val="16"/>
              </w:rPr>
              <w:t>2.00</w:t>
            </w:r>
          </w:p>
        </w:tc>
        <w:tc>
          <w:tcPr>
            <w:tcW w:w="1208" w:type="dxa"/>
            <w:tcBorders>
              <w:top w:val="nil"/>
              <w:bottom w:val="nil"/>
            </w:tcBorders>
          </w:tcPr>
          <w:p>
            <w:pPr>
              <w:pStyle w:val="TableParagraph"/>
              <w:ind w:left="10" w:right="5"/>
              <w:rPr>
                <w:sz w:val="16"/>
              </w:rPr>
            </w:pPr>
            <w:r>
              <w:rPr>
                <w:sz w:val="16"/>
              </w:rPr>
              <w:t>0.980</w:t>
            </w:r>
            <w:r>
              <w:rPr>
                <w:spacing w:val="13"/>
                <w:sz w:val="16"/>
              </w:rPr>
              <w:t> </w:t>
            </w:r>
            <w:r>
              <w:rPr>
                <w:rFonts w:ascii="Verdana" w:hAnsi="Verdana"/>
                <w:i/>
                <w:sz w:val="16"/>
              </w:rPr>
              <w:t>±</w:t>
            </w:r>
            <w:r>
              <w:rPr>
                <w:rFonts w:ascii="Verdana" w:hAnsi="Verdana"/>
                <w:i/>
                <w:spacing w:val="-3"/>
                <w:sz w:val="16"/>
              </w:rPr>
              <w:t> </w:t>
            </w:r>
            <w:r>
              <w:rPr>
                <w:spacing w:val="-2"/>
                <w:sz w:val="16"/>
              </w:rPr>
              <w:t>0.003</w:t>
            </w:r>
          </w:p>
        </w:tc>
      </w:tr>
      <w:tr>
        <w:trPr>
          <w:trHeight w:val="179" w:hRule="atLeast"/>
        </w:trPr>
        <w:tc>
          <w:tcPr>
            <w:tcW w:w="853" w:type="dxa"/>
            <w:tcBorders>
              <w:top w:val="nil"/>
              <w:bottom w:val="nil"/>
            </w:tcBorders>
          </w:tcPr>
          <w:p>
            <w:pPr>
              <w:pStyle w:val="TableParagraph"/>
              <w:rPr>
                <w:sz w:val="16"/>
              </w:rPr>
            </w:pPr>
            <w:r>
              <w:rPr>
                <w:spacing w:val="-5"/>
                <w:sz w:val="16"/>
              </w:rPr>
              <w:t>12</w:t>
            </w:r>
          </w:p>
        </w:tc>
        <w:tc>
          <w:tcPr>
            <w:tcW w:w="976" w:type="dxa"/>
            <w:tcBorders>
              <w:top w:val="nil"/>
              <w:bottom w:val="nil"/>
            </w:tcBorders>
          </w:tcPr>
          <w:p>
            <w:pPr>
              <w:pStyle w:val="TableParagraph"/>
              <w:rPr>
                <w:sz w:val="16"/>
              </w:rPr>
            </w:pPr>
            <w:r>
              <w:rPr>
                <w:spacing w:val="-5"/>
                <w:sz w:val="16"/>
              </w:rPr>
              <w:t>23</w:t>
            </w:r>
          </w:p>
        </w:tc>
        <w:tc>
          <w:tcPr>
            <w:tcW w:w="1190" w:type="dxa"/>
            <w:tcBorders>
              <w:top w:val="nil"/>
              <w:bottom w:val="nil"/>
            </w:tcBorders>
          </w:tcPr>
          <w:p>
            <w:pPr>
              <w:pStyle w:val="TableParagraph"/>
              <w:ind w:left="152"/>
              <w:jc w:val="left"/>
              <w:rPr>
                <w:sz w:val="16"/>
              </w:rPr>
            </w:pPr>
            <w:r>
              <w:rPr>
                <w:sz w:val="16"/>
              </w:rPr>
              <w:t>34.91</w:t>
            </w:r>
            <w:r>
              <w:rPr>
                <w:spacing w:val="13"/>
                <w:sz w:val="16"/>
              </w:rPr>
              <w:t> </w:t>
            </w:r>
            <w:r>
              <w:rPr>
                <w:rFonts w:ascii="Verdana" w:hAnsi="Verdana"/>
                <w:i/>
                <w:sz w:val="16"/>
              </w:rPr>
              <w:t>±</w:t>
            </w:r>
            <w:r>
              <w:rPr>
                <w:rFonts w:ascii="Verdana" w:hAnsi="Verdana"/>
                <w:i/>
                <w:spacing w:val="-3"/>
                <w:sz w:val="16"/>
              </w:rPr>
              <w:t> </w:t>
            </w:r>
            <w:r>
              <w:rPr>
                <w:spacing w:val="-4"/>
                <w:sz w:val="16"/>
              </w:rPr>
              <w:t>1.99</w:t>
            </w:r>
          </w:p>
        </w:tc>
        <w:tc>
          <w:tcPr>
            <w:tcW w:w="1208" w:type="dxa"/>
            <w:tcBorders>
              <w:top w:val="nil"/>
              <w:bottom w:val="nil"/>
            </w:tcBorders>
          </w:tcPr>
          <w:p>
            <w:pPr>
              <w:pStyle w:val="TableParagraph"/>
              <w:ind w:left="10" w:right="5"/>
              <w:rPr>
                <w:sz w:val="16"/>
              </w:rPr>
            </w:pPr>
            <w:r>
              <w:rPr>
                <w:sz w:val="16"/>
              </w:rPr>
              <w:t>0.987</w:t>
            </w:r>
            <w:r>
              <w:rPr>
                <w:spacing w:val="13"/>
                <w:sz w:val="16"/>
              </w:rPr>
              <w:t> </w:t>
            </w:r>
            <w:r>
              <w:rPr>
                <w:rFonts w:ascii="Verdana" w:hAnsi="Verdana"/>
                <w:i/>
                <w:sz w:val="16"/>
              </w:rPr>
              <w:t>±</w:t>
            </w:r>
            <w:r>
              <w:rPr>
                <w:rFonts w:ascii="Verdana" w:hAnsi="Verdana"/>
                <w:i/>
                <w:spacing w:val="-3"/>
                <w:sz w:val="16"/>
              </w:rPr>
              <w:t> </w:t>
            </w:r>
            <w:r>
              <w:rPr>
                <w:spacing w:val="-2"/>
                <w:sz w:val="16"/>
              </w:rPr>
              <w:t>0.002</w:t>
            </w:r>
          </w:p>
        </w:tc>
      </w:tr>
      <w:tr>
        <w:trPr>
          <w:trHeight w:val="179" w:hRule="atLeast"/>
        </w:trPr>
        <w:tc>
          <w:tcPr>
            <w:tcW w:w="853" w:type="dxa"/>
            <w:tcBorders>
              <w:top w:val="nil"/>
              <w:bottom w:val="nil"/>
            </w:tcBorders>
          </w:tcPr>
          <w:p>
            <w:pPr>
              <w:pStyle w:val="TableParagraph"/>
              <w:rPr>
                <w:sz w:val="16"/>
              </w:rPr>
            </w:pPr>
            <w:r>
              <w:rPr>
                <w:spacing w:val="-5"/>
                <w:sz w:val="16"/>
              </w:rPr>
              <w:t>16</w:t>
            </w:r>
          </w:p>
        </w:tc>
        <w:tc>
          <w:tcPr>
            <w:tcW w:w="976" w:type="dxa"/>
            <w:tcBorders>
              <w:top w:val="nil"/>
              <w:bottom w:val="nil"/>
            </w:tcBorders>
          </w:tcPr>
          <w:p>
            <w:pPr>
              <w:pStyle w:val="TableParagraph"/>
              <w:rPr>
                <w:sz w:val="16"/>
              </w:rPr>
            </w:pPr>
            <w:r>
              <w:rPr>
                <w:spacing w:val="-5"/>
                <w:sz w:val="16"/>
              </w:rPr>
              <w:t>23</w:t>
            </w:r>
          </w:p>
        </w:tc>
        <w:tc>
          <w:tcPr>
            <w:tcW w:w="1190" w:type="dxa"/>
            <w:tcBorders>
              <w:top w:val="nil"/>
              <w:bottom w:val="nil"/>
            </w:tcBorders>
          </w:tcPr>
          <w:p>
            <w:pPr>
              <w:pStyle w:val="TableParagraph"/>
              <w:ind w:left="152"/>
              <w:jc w:val="left"/>
              <w:rPr>
                <w:sz w:val="16"/>
              </w:rPr>
            </w:pPr>
            <w:r>
              <w:rPr>
                <w:sz w:val="16"/>
              </w:rPr>
              <w:t>37.40</w:t>
            </w:r>
            <w:r>
              <w:rPr>
                <w:spacing w:val="13"/>
                <w:sz w:val="16"/>
              </w:rPr>
              <w:t> </w:t>
            </w:r>
            <w:r>
              <w:rPr>
                <w:rFonts w:ascii="Verdana" w:hAnsi="Verdana"/>
                <w:i/>
                <w:sz w:val="16"/>
              </w:rPr>
              <w:t>±</w:t>
            </w:r>
            <w:r>
              <w:rPr>
                <w:rFonts w:ascii="Verdana" w:hAnsi="Verdana"/>
                <w:i/>
                <w:spacing w:val="-3"/>
                <w:sz w:val="16"/>
              </w:rPr>
              <w:t> </w:t>
            </w:r>
            <w:r>
              <w:rPr>
                <w:spacing w:val="-4"/>
                <w:sz w:val="16"/>
              </w:rPr>
              <w:t>1.30</w:t>
            </w:r>
          </w:p>
        </w:tc>
        <w:tc>
          <w:tcPr>
            <w:tcW w:w="1208" w:type="dxa"/>
            <w:tcBorders>
              <w:top w:val="nil"/>
              <w:bottom w:val="nil"/>
            </w:tcBorders>
          </w:tcPr>
          <w:p>
            <w:pPr>
              <w:pStyle w:val="TableParagraph"/>
              <w:ind w:left="10" w:right="5"/>
              <w:rPr>
                <w:sz w:val="16"/>
              </w:rPr>
            </w:pPr>
            <w:r>
              <w:rPr>
                <w:sz w:val="16"/>
              </w:rPr>
              <w:t>0.988</w:t>
            </w:r>
            <w:r>
              <w:rPr>
                <w:spacing w:val="13"/>
                <w:sz w:val="16"/>
              </w:rPr>
              <w:t> </w:t>
            </w:r>
            <w:r>
              <w:rPr>
                <w:rFonts w:ascii="Verdana" w:hAnsi="Verdana"/>
                <w:i/>
                <w:sz w:val="16"/>
              </w:rPr>
              <w:t>±</w:t>
            </w:r>
            <w:r>
              <w:rPr>
                <w:rFonts w:ascii="Verdana" w:hAnsi="Verdana"/>
                <w:i/>
                <w:spacing w:val="-3"/>
                <w:sz w:val="16"/>
              </w:rPr>
              <w:t> </w:t>
            </w:r>
            <w:r>
              <w:rPr>
                <w:spacing w:val="-2"/>
                <w:sz w:val="16"/>
              </w:rPr>
              <w:t>0.001</w:t>
            </w:r>
          </w:p>
        </w:tc>
      </w:tr>
      <w:tr>
        <w:trPr>
          <w:trHeight w:val="179" w:hRule="atLeast"/>
        </w:trPr>
        <w:tc>
          <w:tcPr>
            <w:tcW w:w="853" w:type="dxa"/>
            <w:tcBorders>
              <w:top w:val="nil"/>
              <w:bottom w:val="nil"/>
            </w:tcBorders>
          </w:tcPr>
          <w:p>
            <w:pPr>
              <w:pStyle w:val="TableParagraph"/>
              <w:rPr>
                <w:sz w:val="16"/>
              </w:rPr>
            </w:pPr>
            <w:r>
              <w:rPr>
                <w:spacing w:val="-5"/>
                <w:sz w:val="16"/>
              </w:rPr>
              <w:t>24</w:t>
            </w:r>
          </w:p>
        </w:tc>
        <w:tc>
          <w:tcPr>
            <w:tcW w:w="976" w:type="dxa"/>
            <w:tcBorders>
              <w:top w:val="nil"/>
              <w:bottom w:val="nil"/>
            </w:tcBorders>
          </w:tcPr>
          <w:p>
            <w:pPr>
              <w:pStyle w:val="TableParagraph"/>
              <w:rPr>
                <w:sz w:val="16"/>
              </w:rPr>
            </w:pPr>
            <w:r>
              <w:rPr>
                <w:spacing w:val="-5"/>
                <w:sz w:val="16"/>
              </w:rPr>
              <w:t>23</w:t>
            </w:r>
          </w:p>
        </w:tc>
        <w:tc>
          <w:tcPr>
            <w:tcW w:w="1190" w:type="dxa"/>
            <w:tcBorders>
              <w:top w:val="nil"/>
              <w:bottom w:val="nil"/>
            </w:tcBorders>
          </w:tcPr>
          <w:p>
            <w:pPr>
              <w:pStyle w:val="TableParagraph"/>
              <w:ind w:left="152"/>
              <w:jc w:val="left"/>
              <w:rPr>
                <w:sz w:val="16"/>
              </w:rPr>
            </w:pPr>
            <w:r>
              <w:rPr>
                <w:sz w:val="16"/>
              </w:rPr>
              <w:t>40.10</w:t>
            </w:r>
            <w:r>
              <w:rPr>
                <w:spacing w:val="13"/>
                <w:sz w:val="16"/>
              </w:rPr>
              <w:t> </w:t>
            </w:r>
            <w:r>
              <w:rPr>
                <w:rFonts w:ascii="Verdana" w:hAnsi="Verdana"/>
                <w:i/>
                <w:sz w:val="16"/>
              </w:rPr>
              <w:t>±</w:t>
            </w:r>
            <w:r>
              <w:rPr>
                <w:rFonts w:ascii="Verdana" w:hAnsi="Verdana"/>
                <w:i/>
                <w:spacing w:val="-3"/>
                <w:sz w:val="16"/>
              </w:rPr>
              <w:t> </w:t>
            </w:r>
            <w:r>
              <w:rPr>
                <w:spacing w:val="-4"/>
                <w:sz w:val="16"/>
              </w:rPr>
              <w:t>0.92</w:t>
            </w:r>
          </w:p>
        </w:tc>
        <w:tc>
          <w:tcPr>
            <w:tcW w:w="1208" w:type="dxa"/>
            <w:tcBorders>
              <w:top w:val="nil"/>
              <w:bottom w:val="nil"/>
            </w:tcBorders>
          </w:tcPr>
          <w:p>
            <w:pPr>
              <w:pStyle w:val="TableParagraph"/>
              <w:ind w:left="10" w:right="5"/>
              <w:rPr>
                <w:sz w:val="16"/>
              </w:rPr>
            </w:pPr>
            <w:r>
              <w:rPr>
                <w:sz w:val="16"/>
              </w:rPr>
              <w:t>0.990</w:t>
            </w:r>
            <w:r>
              <w:rPr>
                <w:spacing w:val="13"/>
                <w:sz w:val="16"/>
              </w:rPr>
              <w:t> </w:t>
            </w:r>
            <w:r>
              <w:rPr>
                <w:rFonts w:ascii="Verdana" w:hAnsi="Verdana"/>
                <w:i/>
                <w:sz w:val="16"/>
              </w:rPr>
              <w:t>±</w:t>
            </w:r>
            <w:r>
              <w:rPr>
                <w:rFonts w:ascii="Verdana" w:hAnsi="Verdana"/>
                <w:i/>
                <w:spacing w:val="-3"/>
                <w:sz w:val="16"/>
              </w:rPr>
              <w:t> </w:t>
            </w:r>
            <w:r>
              <w:rPr>
                <w:spacing w:val="-2"/>
                <w:sz w:val="16"/>
              </w:rPr>
              <w:t>0.002</w:t>
            </w:r>
          </w:p>
        </w:tc>
      </w:tr>
      <w:tr>
        <w:trPr>
          <w:trHeight w:val="179" w:hRule="atLeast"/>
        </w:trPr>
        <w:tc>
          <w:tcPr>
            <w:tcW w:w="853" w:type="dxa"/>
            <w:tcBorders>
              <w:top w:val="nil"/>
              <w:bottom w:val="nil"/>
            </w:tcBorders>
          </w:tcPr>
          <w:p>
            <w:pPr>
              <w:pStyle w:val="TableParagraph"/>
              <w:rPr>
                <w:sz w:val="16"/>
              </w:rPr>
            </w:pPr>
            <w:r>
              <w:rPr>
                <w:spacing w:val="-5"/>
                <w:sz w:val="16"/>
              </w:rPr>
              <w:t>24</w:t>
            </w:r>
          </w:p>
        </w:tc>
        <w:tc>
          <w:tcPr>
            <w:tcW w:w="976" w:type="dxa"/>
            <w:tcBorders>
              <w:top w:val="nil"/>
              <w:bottom w:val="nil"/>
            </w:tcBorders>
          </w:tcPr>
          <w:p>
            <w:pPr>
              <w:pStyle w:val="TableParagraph"/>
              <w:rPr>
                <w:sz w:val="16"/>
              </w:rPr>
            </w:pPr>
            <w:r>
              <w:rPr>
                <w:spacing w:val="-5"/>
                <w:sz w:val="16"/>
              </w:rPr>
              <w:t>18</w:t>
            </w:r>
          </w:p>
        </w:tc>
        <w:tc>
          <w:tcPr>
            <w:tcW w:w="1190" w:type="dxa"/>
            <w:tcBorders>
              <w:top w:val="nil"/>
              <w:bottom w:val="nil"/>
            </w:tcBorders>
          </w:tcPr>
          <w:p>
            <w:pPr>
              <w:pStyle w:val="TableParagraph"/>
              <w:ind w:left="152"/>
              <w:jc w:val="left"/>
              <w:rPr>
                <w:sz w:val="16"/>
              </w:rPr>
            </w:pPr>
            <w:r>
              <w:rPr>
                <w:sz w:val="16"/>
              </w:rPr>
              <w:t>38.57</w:t>
            </w:r>
            <w:r>
              <w:rPr>
                <w:spacing w:val="13"/>
                <w:sz w:val="16"/>
              </w:rPr>
              <w:t> </w:t>
            </w:r>
            <w:r>
              <w:rPr>
                <w:rFonts w:ascii="Verdana" w:hAnsi="Verdana"/>
                <w:i/>
                <w:sz w:val="16"/>
              </w:rPr>
              <w:t>±</w:t>
            </w:r>
            <w:r>
              <w:rPr>
                <w:rFonts w:ascii="Verdana" w:hAnsi="Verdana"/>
                <w:i/>
                <w:spacing w:val="-3"/>
                <w:sz w:val="16"/>
              </w:rPr>
              <w:t> </w:t>
            </w:r>
            <w:r>
              <w:rPr>
                <w:spacing w:val="-4"/>
                <w:sz w:val="16"/>
              </w:rPr>
              <w:t>2.05</w:t>
            </w:r>
          </w:p>
        </w:tc>
        <w:tc>
          <w:tcPr>
            <w:tcW w:w="1208" w:type="dxa"/>
            <w:tcBorders>
              <w:top w:val="nil"/>
              <w:bottom w:val="nil"/>
            </w:tcBorders>
          </w:tcPr>
          <w:p>
            <w:pPr>
              <w:pStyle w:val="TableParagraph"/>
              <w:ind w:left="10" w:right="5"/>
              <w:rPr>
                <w:sz w:val="16"/>
              </w:rPr>
            </w:pPr>
            <w:r>
              <w:rPr>
                <w:sz w:val="16"/>
              </w:rPr>
              <w:t>0.988</w:t>
            </w:r>
            <w:r>
              <w:rPr>
                <w:spacing w:val="13"/>
                <w:sz w:val="16"/>
              </w:rPr>
              <w:t> </w:t>
            </w:r>
            <w:r>
              <w:rPr>
                <w:rFonts w:ascii="Verdana" w:hAnsi="Verdana"/>
                <w:i/>
                <w:sz w:val="16"/>
              </w:rPr>
              <w:t>±</w:t>
            </w:r>
            <w:r>
              <w:rPr>
                <w:rFonts w:ascii="Verdana" w:hAnsi="Verdana"/>
                <w:i/>
                <w:spacing w:val="-3"/>
                <w:sz w:val="16"/>
              </w:rPr>
              <w:t> </w:t>
            </w:r>
            <w:r>
              <w:rPr>
                <w:spacing w:val="-2"/>
                <w:sz w:val="16"/>
              </w:rPr>
              <w:t>0.001</w:t>
            </w:r>
          </w:p>
        </w:tc>
      </w:tr>
      <w:tr>
        <w:trPr>
          <w:trHeight w:val="193" w:hRule="atLeast"/>
        </w:trPr>
        <w:tc>
          <w:tcPr>
            <w:tcW w:w="853" w:type="dxa"/>
            <w:tcBorders>
              <w:top w:val="nil"/>
            </w:tcBorders>
          </w:tcPr>
          <w:p>
            <w:pPr>
              <w:pStyle w:val="TableParagraph"/>
              <w:spacing w:line="174" w:lineRule="exact"/>
              <w:rPr>
                <w:sz w:val="16"/>
              </w:rPr>
            </w:pPr>
            <w:r>
              <w:rPr>
                <w:spacing w:val="-5"/>
                <w:sz w:val="16"/>
              </w:rPr>
              <w:t>24</w:t>
            </w:r>
          </w:p>
        </w:tc>
        <w:tc>
          <w:tcPr>
            <w:tcW w:w="976" w:type="dxa"/>
            <w:tcBorders>
              <w:top w:val="nil"/>
            </w:tcBorders>
          </w:tcPr>
          <w:p>
            <w:pPr>
              <w:pStyle w:val="TableParagraph"/>
              <w:spacing w:line="174" w:lineRule="exact"/>
              <w:rPr>
                <w:sz w:val="16"/>
              </w:rPr>
            </w:pPr>
            <w:r>
              <w:rPr>
                <w:spacing w:val="-5"/>
                <w:sz w:val="16"/>
              </w:rPr>
              <w:t>15</w:t>
            </w:r>
          </w:p>
        </w:tc>
        <w:tc>
          <w:tcPr>
            <w:tcW w:w="1190" w:type="dxa"/>
            <w:tcBorders>
              <w:top w:val="nil"/>
            </w:tcBorders>
          </w:tcPr>
          <w:p>
            <w:pPr>
              <w:pStyle w:val="TableParagraph"/>
              <w:spacing w:line="174" w:lineRule="exact"/>
              <w:ind w:left="152"/>
              <w:jc w:val="left"/>
              <w:rPr>
                <w:sz w:val="16"/>
              </w:rPr>
            </w:pPr>
            <w:r>
              <w:rPr>
                <w:sz w:val="16"/>
              </w:rPr>
              <w:t>38.54</w:t>
            </w:r>
            <w:r>
              <w:rPr>
                <w:spacing w:val="13"/>
                <w:sz w:val="16"/>
              </w:rPr>
              <w:t> </w:t>
            </w:r>
            <w:r>
              <w:rPr>
                <w:rFonts w:ascii="Verdana" w:hAnsi="Verdana"/>
                <w:i/>
                <w:sz w:val="16"/>
              </w:rPr>
              <w:t>±</w:t>
            </w:r>
            <w:r>
              <w:rPr>
                <w:rFonts w:ascii="Verdana" w:hAnsi="Verdana"/>
                <w:i/>
                <w:spacing w:val="-3"/>
                <w:sz w:val="16"/>
              </w:rPr>
              <w:t> </w:t>
            </w:r>
            <w:r>
              <w:rPr>
                <w:spacing w:val="-4"/>
                <w:sz w:val="16"/>
              </w:rPr>
              <w:t>1.74</w:t>
            </w:r>
          </w:p>
        </w:tc>
        <w:tc>
          <w:tcPr>
            <w:tcW w:w="1208" w:type="dxa"/>
            <w:tcBorders>
              <w:top w:val="nil"/>
            </w:tcBorders>
          </w:tcPr>
          <w:p>
            <w:pPr>
              <w:pStyle w:val="TableParagraph"/>
              <w:spacing w:line="174" w:lineRule="exact"/>
              <w:ind w:left="10" w:right="5"/>
              <w:rPr>
                <w:sz w:val="16"/>
              </w:rPr>
            </w:pPr>
            <w:r>
              <w:rPr>
                <w:sz w:val="16"/>
              </w:rPr>
              <w:t>0.989</w:t>
            </w:r>
            <w:r>
              <w:rPr>
                <w:spacing w:val="13"/>
                <w:sz w:val="16"/>
              </w:rPr>
              <w:t> </w:t>
            </w:r>
            <w:r>
              <w:rPr>
                <w:rFonts w:ascii="Verdana" w:hAnsi="Verdana"/>
                <w:i/>
                <w:sz w:val="16"/>
              </w:rPr>
              <w:t>±</w:t>
            </w:r>
            <w:r>
              <w:rPr>
                <w:rFonts w:ascii="Verdana" w:hAnsi="Verdana"/>
                <w:i/>
                <w:spacing w:val="-3"/>
                <w:sz w:val="16"/>
              </w:rPr>
              <w:t> </w:t>
            </w:r>
            <w:r>
              <w:rPr>
                <w:spacing w:val="-2"/>
                <w:sz w:val="16"/>
              </w:rPr>
              <w:t>0.001</w:t>
            </w:r>
          </w:p>
        </w:tc>
      </w:tr>
    </w:tbl>
    <w:p>
      <w:pPr>
        <w:pStyle w:val="BodyText"/>
        <w:ind w:left="0"/>
        <w:jc w:val="left"/>
        <w:rPr>
          <w:sz w:val="12"/>
        </w:rPr>
      </w:pPr>
    </w:p>
    <w:p>
      <w:pPr>
        <w:pStyle w:val="BodyText"/>
        <w:spacing w:before="117"/>
        <w:ind w:left="0"/>
        <w:jc w:val="left"/>
        <w:rPr>
          <w:sz w:val="12"/>
        </w:rPr>
      </w:pPr>
    </w:p>
    <w:p>
      <w:pPr>
        <w:pStyle w:val="ListParagraph"/>
        <w:numPr>
          <w:ilvl w:val="0"/>
          <w:numId w:val="1"/>
        </w:numPr>
        <w:tabs>
          <w:tab w:pos="1063" w:val="left" w:leader="none"/>
          <w:tab w:pos="2088" w:val="left" w:leader="none"/>
        </w:tabs>
        <w:spacing w:line="249" w:lineRule="auto" w:before="0" w:after="0"/>
        <w:ind w:left="2088" w:right="360" w:hanging="1467"/>
        <w:jc w:val="left"/>
        <w:rPr>
          <w:sz w:val="20"/>
        </w:rPr>
      </w:pPr>
      <w:bookmarkStart w:name="Pathogen Growth Dynamics at Various Temp" w:id="15"/>
      <w:bookmarkEnd w:id="15"/>
      <w:r>
        <w:rPr/>
      </w:r>
      <w:r>
        <w:rPr>
          <w:smallCaps/>
          <w:sz w:val="20"/>
        </w:rPr>
        <w:t>Pathogen Growth Dynamics at Various</w:t>
      </w:r>
      <w:r>
        <w:rPr>
          <w:smallCaps/>
          <w:spacing w:val="40"/>
          <w:sz w:val="20"/>
        </w:rPr>
        <w:t> </w:t>
      </w:r>
      <w:r>
        <w:rPr>
          <w:smallCaps/>
          <w:spacing w:val="-2"/>
          <w:sz w:val="20"/>
        </w:rPr>
        <w:t>Temperatures</w:t>
      </w:r>
    </w:p>
    <w:p>
      <w:pPr>
        <w:pStyle w:val="BodyText"/>
        <w:spacing w:line="249" w:lineRule="auto" w:before="66"/>
        <w:ind w:left="259" w:firstLine="199"/>
      </w:pPr>
      <w:r>
        <w:rPr/>
        <w:t>A</w:t>
      </w:r>
      <w:r>
        <w:rPr>
          <w:spacing w:val="-5"/>
        </w:rPr>
        <w:t> </w:t>
      </w:r>
      <w:r>
        <w:rPr/>
        <w:t>separate</w:t>
      </w:r>
      <w:r>
        <w:rPr>
          <w:spacing w:val="-5"/>
        </w:rPr>
        <w:t> </w:t>
      </w:r>
      <w:r>
        <w:rPr/>
        <w:t>experiment</w:t>
      </w:r>
      <w:r>
        <w:rPr>
          <w:spacing w:val="-5"/>
        </w:rPr>
        <w:t> </w:t>
      </w:r>
      <w:r>
        <w:rPr/>
        <w:t>was</w:t>
      </w:r>
      <w:r>
        <w:rPr>
          <w:spacing w:val="-5"/>
        </w:rPr>
        <w:t> </w:t>
      </w:r>
      <w:r>
        <w:rPr/>
        <w:t>conducted</w:t>
      </w:r>
      <w:r>
        <w:rPr>
          <w:spacing w:val="-5"/>
        </w:rPr>
        <w:t> </w:t>
      </w:r>
      <w:r>
        <w:rPr/>
        <w:t>to</w:t>
      </w:r>
      <w:r>
        <w:rPr>
          <w:spacing w:val="-5"/>
        </w:rPr>
        <w:t> </w:t>
      </w:r>
      <w:r>
        <w:rPr/>
        <w:t>observe</w:t>
      </w:r>
      <w:r>
        <w:rPr>
          <w:spacing w:val="-5"/>
        </w:rPr>
        <w:t> </w:t>
      </w:r>
      <w:r>
        <w:rPr/>
        <w:t>the</w:t>
      </w:r>
      <w:r>
        <w:rPr>
          <w:spacing w:val="-5"/>
        </w:rPr>
        <w:t> </w:t>
      </w:r>
      <w:r>
        <w:rPr/>
        <w:t>growth profiles of *E. coli* O157:H7 and *Listeria monocytogenes* at</w:t>
      </w:r>
      <w:r>
        <w:rPr>
          <w:spacing w:val="40"/>
        </w:rPr>
        <w:t> </w:t>
      </w:r>
      <w:r>
        <w:rPr/>
        <w:t>soaking</w:t>
      </w:r>
      <w:r>
        <w:rPr>
          <w:spacing w:val="40"/>
        </w:rPr>
        <w:t> </w:t>
      </w:r>
      <w:r>
        <w:rPr/>
        <w:t>temperatures</w:t>
      </w:r>
      <w:r>
        <w:rPr>
          <w:spacing w:val="40"/>
        </w:rPr>
        <w:t> </w:t>
      </w:r>
      <w:r>
        <w:rPr/>
        <w:t>of</w:t>
      </w:r>
      <w:r>
        <w:rPr>
          <w:spacing w:val="40"/>
        </w:rPr>
        <w:t> </w:t>
      </w:r>
      <w:r>
        <w:rPr/>
        <w:t>15°C,</w:t>
      </w:r>
      <w:r>
        <w:rPr>
          <w:spacing w:val="40"/>
        </w:rPr>
        <w:t> </w:t>
      </w:r>
      <w:r>
        <w:rPr/>
        <w:t>18°C,</w:t>
      </w:r>
      <w:r>
        <w:rPr>
          <w:spacing w:val="40"/>
        </w:rPr>
        <w:t> </w:t>
      </w:r>
      <w:r>
        <w:rPr/>
        <w:t>and</w:t>
      </w:r>
      <w:r>
        <w:rPr>
          <w:spacing w:val="40"/>
        </w:rPr>
        <w:t> </w:t>
      </w:r>
      <w:r>
        <w:rPr/>
        <w:t>23°C.</w:t>
      </w:r>
      <w:r>
        <w:rPr>
          <w:spacing w:val="40"/>
        </w:rPr>
        <w:t> </w:t>
      </w:r>
      <w:r>
        <w:rPr/>
        <w:t>The mean measured temperatures over the 24-hour period were 14.82±0.46°C,</w:t>
      </w:r>
      <w:r>
        <w:rPr>
          <w:spacing w:val="-4"/>
        </w:rPr>
        <w:t> </w:t>
      </w:r>
      <w:r>
        <w:rPr/>
        <w:t>17.96±0.21°C,</w:t>
      </w:r>
      <w:r>
        <w:rPr>
          <w:spacing w:val="-4"/>
        </w:rPr>
        <w:t> </w:t>
      </w:r>
      <w:r>
        <w:rPr/>
        <w:t>and</w:t>
      </w:r>
      <w:r>
        <w:rPr>
          <w:spacing w:val="-3"/>
        </w:rPr>
        <w:t> </w:t>
      </w:r>
      <w:r>
        <w:rPr/>
        <w:t>22.92±0.28°C,</w:t>
      </w:r>
      <w:r>
        <w:rPr>
          <w:spacing w:val="-4"/>
        </w:rPr>
        <w:t> </w:t>
      </w:r>
      <w:r>
        <w:rPr>
          <w:spacing w:val="-2"/>
        </w:rPr>
        <w:t>respectively.</w:t>
      </w:r>
    </w:p>
    <w:p>
      <w:pPr>
        <w:pStyle w:val="BodyText"/>
        <w:spacing w:line="249" w:lineRule="auto"/>
        <w:ind w:left="259" w:firstLine="199"/>
      </w:pPr>
      <w:r>
        <w:rPr/>
        <w:t>Initially, the native microbiota populations were found </w:t>
      </w:r>
      <w:r>
        <w:rPr/>
        <w:t>to</w:t>
      </w:r>
      <w:r>
        <w:rPr>
          <w:spacing w:val="80"/>
        </w:rPr>
        <w:t> </w:t>
      </w:r>
      <w:r>
        <w:rPr/>
        <w:t>be</w:t>
      </w:r>
      <w:r>
        <w:rPr>
          <w:spacing w:val="40"/>
        </w:rPr>
        <w:t> </w:t>
      </w:r>
      <w:r>
        <w:rPr/>
        <w:t>4.17±0.10</w:t>
      </w:r>
      <w:r>
        <w:rPr>
          <w:spacing w:val="40"/>
        </w:rPr>
        <w:t> </w:t>
      </w:r>
      <w:r>
        <w:rPr/>
        <w:t>log</w:t>
      </w:r>
      <w:r>
        <w:rPr>
          <w:spacing w:val="40"/>
        </w:rPr>
        <w:t> </w:t>
      </w:r>
      <w:r>
        <w:rPr/>
        <w:t>CFU/sample.</w:t>
      </w:r>
      <w:r>
        <w:rPr>
          <w:spacing w:val="40"/>
        </w:rPr>
        <w:t> </w:t>
      </w:r>
      <w:r>
        <w:rPr/>
        <w:t>After</w:t>
      </w:r>
      <w:r>
        <w:rPr>
          <w:spacing w:val="40"/>
        </w:rPr>
        <w:t> </w:t>
      </w:r>
      <w:r>
        <w:rPr/>
        <w:t>24</w:t>
      </w:r>
      <w:r>
        <w:rPr>
          <w:spacing w:val="40"/>
        </w:rPr>
        <w:t> </w:t>
      </w:r>
      <w:r>
        <w:rPr/>
        <w:t>hours</w:t>
      </w:r>
      <w:r>
        <w:rPr>
          <w:spacing w:val="40"/>
        </w:rPr>
        <w:t> </w:t>
      </w:r>
      <w:r>
        <w:rPr/>
        <w:t>of</w:t>
      </w:r>
      <w:r>
        <w:rPr>
          <w:spacing w:val="40"/>
        </w:rPr>
        <w:t> </w:t>
      </w:r>
      <w:r>
        <w:rPr/>
        <w:t>storage, no significant microbial growth was observed at 15°C (P = 0.0734), whereas samples stored at 18°C and 23°C showed significant increases in native microbial populations by 2.20 and 4.48 log CFU/sample, respectively (Fig. 2B).</w:t>
      </w:r>
    </w:p>
    <w:p>
      <w:pPr>
        <w:pStyle w:val="BodyText"/>
        <w:spacing w:line="249" w:lineRule="auto"/>
        <w:ind w:left="259" w:firstLine="199"/>
      </w:pPr>
      <w:r>
        <w:rPr/>
        <w:t>Initial levels of *E. coli* O157:H7 were 2.35±0.17 </w:t>
      </w:r>
      <w:r>
        <w:rPr/>
        <w:t>log CFU/sample. After 24 hours, no significant changes were detected</w:t>
      </w:r>
      <w:r>
        <w:rPr>
          <w:spacing w:val="40"/>
        </w:rPr>
        <w:t> </w:t>
      </w:r>
      <w:r>
        <w:rPr/>
        <w:t>at</w:t>
      </w:r>
      <w:r>
        <w:rPr>
          <w:spacing w:val="40"/>
        </w:rPr>
        <w:t> </w:t>
      </w:r>
      <w:r>
        <w:rPr/>
        <w:t>15°C</w:t>
      </w:r>
      <w:r>
        <w:rPr>
          <w:spacing w:val="40"/>
        </w:rPr>
        <w:t> </w:t>
      </w:r>
      <w:r>
        <w:rPr/>
        <w:t>and</w:t>
      </w:r>
      <w:r>
        <w:rPr>
          <w:spacing w:val="40"/>
        </w:rPr>
        <w:t> </w:t>
      </w:r>
      <w:r>
        <w:rPr/>
        <w:t>18°C</w:t>
      </w:r>
      <w:r>
        <w:rPr>
          <w:spacing w:val="40"/>
        </w:rPr>
        <w:t> </w:t>
      </w:r>
      <w:r>
        <w:rPr/>
        <w:t>(P</w:t>
      </w:r>
      <w:r>
        <w:rPr>
          <w:spacing w:val="40"/>
        </w:rPr>
        <w:t> </w:t>
      </w:r>
      <w:r>
        <w:rPr/>
        <w:t>=</w:t>
      </w:r>
      <w:r>
        <w:rPr>
          <w:spacing w:val="40"/>
        </w:rPr>
        <w:t> </w:t>
      </w:r>
      <w:r>
        <w:rPr/>
        <w:t>0.5024</w:t>
      </w:r>
      <w:r>
        <w:rPr>
          <w:spacing w:val="40"/>
        </w:rPr>
        <w:t> </w:t>
      </w:r>
      <w:r>
        <w:rPr/>
        <w:t>and</w:t>
      </w:r>
      <w:r>
        <w:rPr>
          <w:spacing w:val="40"/>
        </w:rPr>
        <w:t> </w:t>
      </w:r>
      <w:r>
        <w:rPr/>
        <w:t>0.1153),</w:t>
      </w:r>
      <w:r>
        <w:rPr>
          <w:spacing w:val="40"/>
        </w:rPr>
        <w:t> </w:t>
      </w:r>
      <w:r>
        <w:rPr/>
        <w:t>but at 23°C a significant increase of 3.48 log CFU/sample was observed (P ¡ 0.0001). Likewise, *L. monocytogenes* started at 2.52±0.20 log CFU/sample and either remained statistically unchanged or increased by 1.70 and 3.22 log CFU/sample at 15°C, 18°C, and 23°C, respectively, with significance at 18°C and 23°C (P ¡ 0.0001).</w:t>
      </w:r>
    </w:p>
    <w:p>
      <w:pPr>
        <w:pStyle w:val="ListParagraph"/>
        <w:numPr>
          <w:ilvl w:val="0"/>
          <w:numId w:val="1"/>
        </w:numPr>
        <w:tabs>
          <w:tab w:pos="1181" w:val="left" w:leader="none"/>
          <w:tab w:pos="2373" w:val="left" w:leader="none"/>
        </w:tabs>
        <w:spacing w:line="249" w:lineRule="auto" w:before="137" w:after="0"/>
        <w:ind w:left="2373" w:right="403" w:hanging="1709"/>
        <w:jc w:val="left"/>
        <w:rPr>
          <w:sz w:val="20"/>
        </w:rPr>
      </w:pPr>
      <w:bookmarkStart w:name="Moisture and Water Activity During Soaki" w:id="16"/>
      <w:bookmarkEnd w:id="16"/>
      <w:r>
        <w:rPr/>
      </w:r>
      <w:r>
        <w:rPr>
          <w:smallCaps/>
          <w:sz w:val="20"/>
        </w:rPr>
        <w:t>Moisture and Water Activity During</w:t>
      </w:r>
      <w:r>
        <w:rPr>
          <w:smallCaps/>
          <w:spacing w:val="80"/>
          <w:sz w:val="20"/>
        </w:rPr>
        <w:t> </w:t>
      </w:r>
      <w:r>
        <w:rPr>
          <w:smallCaps/>
          <w:spacing w:val="-2"/>
          <w:sz w:val="20"/>
        </w:rPr>
        <w:t>Soaking</w:t>
      </w:r>
    </w:p>
    <w:p>
      <w:pPr>
        <w:pStyle w:val="BodyText"/>
        <w:spacing w:line="249" w:lineRule="auto" w:before="65"/>
        <w:ind w:left="259" w:firstLine="199"/>
      </w:pPr>
      <w:r>
        <w:rPr/>
        <w:t>Uninoculated almonds in the control group had an </w:t>
      </w:r>
      <w:r>
        <w:rPr/>
        <w:t>initial moisture content ranging between 5.3–5.7% and correspond- ing water activity (</w:t>
      </w:r>
      <w:r>
        <w:rPr>
          <w:i/>
        </w:rPr>
        <w:t>a</w:t>
      </w:r>
      <w:r>
        <w:rPr>
          <w:i/>
          <w:vertAlign w:val="subscript"/>
        </w:rPr>
        <w:t>w</w:t>
      </w:r>
      <w:r>
        <w:rPr>
          <w:vertAlign w:val="baseline"/>
        </w:rPr>
        <w:t>) values between 0.56–0.60 (Table </w:t>
      </w:r>
      <w:hyperlink w:history="true" w:anchor="_bookmark1">
        <w:r>
          <w:rPr>
            <w:vertAlign w:val="baseline"/>
          </w:rPr>
          <w:t>IV).</w:t>
        </w:r>
      </w:hyperlink>
      <w:r>
        <w:rPr>
          <w:vertAlign w:val="baseline"/>
        </w:rPr>
        <w:t> Soaking almonds for 12 hours at 23°C raised the moisture to 35%. After 24 hours of soaking, moisture levels rose further</w:t>
      </w:r>
      <w:r>
        <w:rPr>
          <w:spacing w:val="80"/>
          <w:vertAlign w:val="baseline"/>
        </w:rPr>
        <w:t> </w:t>
      </w:r>
      <w:r>
        <w:rPr>
          <w:vertAlign w:val="baseline"/>
        </w:rPr>
        <w:t>to</w:t>
      </w:r>
      <w:r>
        <w:rPr>
          <w:spacing w:val="-1"/>
          <w:vertAlign w:val="baseline"/>
        </w:rPr>
        <w:t> </w:t>
      </w:r>
      <w:r>
        <w:rPr>
          <w:vertAlign w:val="baseline"/>
        </w:rPr>
        <w:t>36%,</w:t>
      </w:r>
      <w:r>
        <w:rPr>
          <w:spacing w:val="-1"/>
          <w:vertAlign w:val="baseline"/>
        </w:rPr>
        <w:t> </w:t>
      </w:r>
      <w:r>
        <w:rPr>
          <w:vertAlign w:val="baseline"/>
        </w:rPr>
        <w:t>38%,</w:t>
      </w:r>
      <w:r>
        <w:rPr>
          <w:spacing w:val="-1"/>
          <w:vertAlign w:val="baseline"/>
        </w:rPr>
        <w:t> </w:t>
      </w:r>
      <w:r>
        <w:rPr>
          <w:vertAlign w:val="baseline"/>
        </w:rPr>
        <w:t>and</w:t>
      </w:r>
      <w:r>
        <w:rPr>
          <w:spacing w:val="-1"/>
          <w:vertAlign w:val="baseline"/>
        </w:rPr>
        <w:t> </w:t>
      </w:r>
      <w:r>
        <w:rPr>
          <w:vertAlign w:val="baseline"/>
        </w:rPr>
        <w:t>40%</w:t>
      </w:r>
      <w:r>
        <w:rPr>
          <w:spacing w:val="-1"/>
          <w:vertAlign w:val="baseline"/>
        </w:rPr>
        <w:t> </w:t>
      </w:r>
      <w:r>
        <w:rPr>
          <w:vertAlign w:val="baseline"/>
        </w:rPr>
        <w:t>at</w:t>
      </w:r>
      <w:r>
        <w:rPr>
          <w:spacing w:val="-1"/>
          <w:vertAlign w:val="baseline"/>
        </w:rPr>
        <w:t> </w:t>
      </w:r>
      <w:r>
        <w:rPr>
          <w:vertAlign w:val="baseline"/>
        </w:rPr>
        <w:t>15°C,</w:t>
      </w:r>
      <w:r>
        <w:rPr>
          <w:spacing w:val="-1"/>
          <w:vertAlign w:val="baseline"/>
        </w:rPr>
        <w:t> </w:t>
      </w:r>
      <w:r>
        <w:rPr>
          <w:vertAlign w:val="baseline"/>
        </w:rPr>
        <w:t>18°C,</w:t>
      </w:r>
      <w:r>
        <w:rPr>
          <w:spacing w:val="-1"/>
          <w:vertAlign w:val="baseline"/>
        </w:rPr>
        <w:t> </w:t>
      </w:r>
      <w:r>
        <w:rPr>
          <w:vertAlign w:val="baseline"/>
        </w:rPr>
        <w:t>and</w:t>
      </w:r>
      <w:r>
        <w:rPr>
          <w:spacing w:val="-1"/>
          <w:vertAlign w:val="baseline"/>
        </w:rPr>
        <w:t> </w:t>
      </w:r>
      <w:r>
        <w:rPr>
          <w:vertAlign w:val="baseline"/>
        </w:rPr>
        <w:t>23°C,</w:t>
      </w:r>
      <w:r>
        <w:rPr>
          <w:spacing w:val="-1"/>
          <w:vertAlign w:val="baseline"/>
        </w:rPr>
        <w:t> </w:t>
      </w:r>
      <w:r>
        <w:rPr>
          <w:vertAlign w:val="baseline"/>
        </w:rPr>
        <w:t>respectively. Concurrently,</w:t>
      </w:r>
      <w:r>
        <w:rPr>
          <w:spacing w:val="21"/>
          <w:vertAlign w:val="baseline"/>
        </w:rPr>
        <w:t> </w:t>
      </w:r>
      <w:r>
        <w:rPr>
          <w:vertAlign w:val="baseline"/>
        </w:rPr>
        <w:t>water</w:t>
      </w:r>
      <w:r>
        <w:rPr>
          <w:spacing w:val="22"/>
          <w:vertAlign w:val="baseline"/>
        </w:rPr>
        <w:t> </w:t>
      </w:r>
      <w:r>
        <w:rPr>
          <w:vertAlign w:val="baseline"/>
        </w:rPr>
        <w:t>activity</w:t>
      </w:r>
      <w:r>
        <w:rPr>
          <w:spacing w:val="21"/>
          <w:vertAlign w:val="baseline"/>
        </w:rPr>
        <w:t> </w:t>
      </w:r>
      <w:r>
        <w:rPr>
          <w:vertAlign w:val="baseline"/>
        </w:rPr>
        <w:t>increased</w:t>
      </w:r>
      <w:r>
        <w:rPr>
          <w:spacing w:val="21"/>
          <w:vertAlign w:val="baseline"/>
        </w:rPr>
        <w:t> </w:t>
      </w:r>
      <w:r>
        <w:rPr>
          <w:vertAlign w:val="baseline"/>
        </w:rPr>
        <w:t>to</w:t>
      </w:r>
      <w:r>
        <w:rPr>
          <w:spacing w:val="22"/>
          <w:vertAlign w:val="baseline"/>
        </w:rPr>
        <w:t> </w:t>
      </w:r>
      <w:r>
        <w:rPr>
          <w:vertAlign w:val="baseline"/>
        </w:rPr>
        <w:t>approximately</w:t>
      </w:r>
      <w:r>
        <w:rPr>
          <w:spacing w:val="21"/>
          <w:vertAlign w:val="baseline"/>
        </w:rPr>
        <w:t> </w:t>
      </w:r>
      <w:r>
        <w:rPr>
          <w:spacing w:val="-4"/>
          <w:vertAlign w:val="baseline"/>
        </w:rPr>
        <w:t>0.99</w:t>
      </w:r>
    </w:p>
    <w:p>
      <w:pPr>
        <w:pStyle w:val="BodyText"/>
        <w:spacing w:line="249" w:lineRule="auto" w:before="71"/>
        <w:ind w:right="617"/>
      </w:pPr>
      <w:r>
        <w:rPr/>
        <w:br w:type="column"/>
      </w:r>
      <w:r>
        <w:rPr/>
        <w:t>across all temperatures after 24 hours, reaching 0.98 in just </w:t>
      </w:r>
      <w:r>
        <w:rPr/>
        <w:t>8 hours at 23°C.</w:t>
      </w:r>
    </w:p>
    <w:p>
      <w:pPr>
        <w:pStyle w:val="ListParagraph"/>
        <w:numPr>
          <w:ilvl w:val="0"/>
          <w:numId w:val="1"/>
        </w:numPr>
        <w:tabs>
          <w:tab w:pos="941" w:val="left" w:leader="none"/>
        </w:tabs>
        <w:spacing w:line="240" w:lineRule="auto" w:before="197" w:after="0"/>
        <w:ind w:left="941" w:right="0" w:hanging="367"/>
        <w:jc w:val="left"/>
        <w:rPr>
          <w:sz w:val="20"/>
        </w:rPr>
      </w:pPr>
      <w:bookmarkStart w:name="Persistence of Salmonella During Drying" w:id="17"/>
      <w:bookmarkEnd w:id="17"/>
      <w:r>
        <w:rPr/>
      </w:r>
      <w:r>
        <w:rPr>
          <w:smallCaps/>
          <w:sz w:val="20"/>
        </w:rPr>
        <w:t>Persistence</w:t>
      </w:r>
      <w:r>
        <w:rPr>
          <w:smallCaps/>
          <w:spacing w:val="49"/>
          <w:sz w:val="20"/>
        </w:rPr>
        <w:t> </w:t>
      </w:r>
      <w:r>
        <w:rPr>
          <w:smallCaps/>
          <w:sz w:val="20"/>
        </w:rPr>
        <w:t>of</w:t>
      </w:r>
      <w:r>
        <w:rPr>
          <w:smallCaps/>
          <w:spacing w:val="41"/>
          <w:sz w:val="20"/>
        </w:rPr>
        <w:t> </w:t>
      </w:r>
      <w:r>
        <w:rPr>
          <w:i/>
          <w:smallCaps w:val="0"/>
          <w:sz w:val="20"/>
        </w:rPr>
        <w:t>Salmonella</w:t>
      </w:r>
      <w:r>
        <w:rPr>
          <w:i/>
          <w:smallCaps w:val="0"/>
          <w:spacing w:val="32"/>
          <w:sz w:val="20"/>
        </w:rPr>
        <w:t> </w:t>
      </w:r>
      <w:r>
        <w:rPr>
          <w:smallCaps/>
          <w:sz w:val="20"/>
        </w:rPr>
        <w:t>During</w:t>
      </w:r>
      <w:r>
        <w:rPr>
          <w:smallCaps/>
          <w:spacing w:val="49"/>
          <w:sz w:val="20"/>
        </w:rPr>
        <w:t> </w:t>
      </w:r>
      <w:r>
        <w:rPr>
          <w:smallCaps/>
          <w:spacing w:val="-2"/>
          <w:sz w:val="20"/>
        </w:rPr>
        <w:t>Drying</w:t>
      </w:r>
    </w:p>
    <w:p>
      <w:pPr>
        <w:pStyle w:val="BodyText"/>
        <w:spacing w:line="249" w:lineRule="auto" w:before="116"/>
        <w:ind w:right="617" w:firstLine="199"/>
      </w:pPr>
      <w:r>
        <w:rPr/>
        <w:t>For drying studies, almond kernels soaked at a 1:3 </w:t>
      </w:r>
      <w:r>
        <w:rPr/>
        <w:t>(w/v) ratio</w:t>
      </w:r>
      <w:r>
        <w:rPr>
          <w:spacing w:val="-4"/>
        </w:rPr>
        <w:t> </w:t>
      </w:r>
      <w:r>
        <w:rPr/>
        <w:t>for</w:t>
      </w:r>
      <w:r>
        <w:rPr>
          <w:spacing w:val="-4"/>
        </w:rPr>
        <w:t> </w:t>
      </w:r>
      <w:r>
        <w:rPr/>
        <w:t>24</w:t>
      </w:r>
      <w:r>
        <w:rPr>
          <w:spacing w:val="-4"/>
        </w:rPr>
        <w:t> </w:t>
      </w:r>
      <w:r>
        <w:rPr/>
        <w:t>hours</w:t>
      </w:r>
      <w:r>
        <w:rPr>
          <w:spacing w:val="-4"/>
        </w:rPr>
        <w:t> </w:t>
      </w:r>
      <w:r>
        <w:rPr/>
        <w:t>displayed</w:t>
      </w:r>
      <w:r>
        <w:rPr>
          <w:spacing w:val="-4"/>
        </w:rPr>
        <w:t> </w:t>
      </w:r>
      <w:r>
        <w:rPr/>
        <w:t>post-soaking</w:t>
      </w:r>
      <w:r>
        <w:rPr>
          <w:spacing w:val="-4"/>
        </w:rPr>
        <w:t> </w:t>
      </w:r>
      <w:r>
        <w:rPr/>
        <w:t>moisture</w:t>
      </w:r>
      <w:r>
        <w:rPr>
          <w:spacing w:val="-4"/>
        </w:rPr>
        <w:t> </w:t>
      </w:r>
      <w:r>
        <w:rPr/>
        <w:t>content</w:t>
      </w:r>
      <w:r>
        <w:rPr>
          <w:spacing w:val="-4"/>
        </w:rPr>
        <w:t> </w:t>
      </w:r>
      <w:r>
        <w:rPr/>
        <w:t>and </w:t>
      </w:r>
      <w:r>
        <w:rPr>
          <w:i/>
        </w:rPr>
        <w:t>a</w:t>
      </w:r>
      <w:r>
        <w:rPr>
          <w:i/>
          <w:vertAlign w:val="subscript"/>
        </w:rPr>
        <w:t>w</w:t>
      </w:r>
      <w:r>
        <w:rPr>
          <w:i/>
          <w:vertAlign w:val="baseline"/>
        </w:rPr>
        <w:t> </w:t>
      </w:r>
      <w:r>
        <w:rPr>
          <w:vertAlign w:val="baseline"/>
        </w:rPr>
        <w:t>values of 38.70%±0.32% and 0.9891±0.001, respectively (Table </w:t>
      </w:r>
      <w:hyperlink w:history="true" w:anchor="_bookmark2">
        <w:r>
          <w:rPr>
            <w:vertAlign w:val="baseline"/>
          </w:rPr>
          <w:t>V).</w:t>
        </w:r>
      </w:hyperlink>
      <w:r>
        <w:rPr>
          <w:vertAlign w:val="baseline"/>
        </w:rPr>
        <w:t> The average air temperature in the drying oven</w:t>
      </w:r>
      <w:r>
        <w:rPr>
          <w:spacing w:val="80"/>
          <w:vertAlign w:val="baseline"/>
        </w:rPr>
        <w:t> </w:t>
      </w:r>
      <w:r>
        <w:rPr>
          <w:vertAlign w:val="baseline"/>
        </w:rPr>
        <w:t>was</w:t>
      </w:r>
      <w:r>
        <w:rPr>
          <w:spacing w:val="40"/>
          <w:vertAlign w:val="baseline"/>
        </w:rPr>
        <w:t> </w:t>
      </w:r>
      <w:r>
        <w:rPr>
          <w:vertAlign w:val="baseline"/>
        </w:rPr>
        <w:t>maintained</w:t>
      </w:r>
      <w:r>
        <w:rPr>
          <w:spacing w:val="40"/>
          <w:vertAlign w:val="baseline"/>
        </w:rPr>
        <w:t> </w:t>
      </w:r>
      <w:r>
        <w:rPr>
          <w:vertAlign w:val="baseline"/>
        </w:rPr>
        <w:t>at</w:t>
      </w:r>
      <w:r>
        <w:rPr>
          <w:spacing w:val="40"/>
          <w:vertAlign w:val="baseline"/>
        </w:rPr>
        <w:t> </w:t>
      </w:r>
      <w:r>
        <w:rPr>
          <w:vertAlign w:val="baseline"/>
        </w:rPr>
        <w:t>65.85°C±1.42°C.</w:t>
      </w:r>
      <w:r>
        <w:rPr>
          <w:spacing w:val="40"/>
          <w:vertAlign w:val="baseline"/>
        </w:rPr>
        <w:t> </w:t>
      </w:r>
      <w:r>
        <w:rPr>
          <w:vertAlign w:val="baseline"/>
        </w:rPr>
        <w:t>After</w:t>
      </w:r>
      <w:r>
        <w:rPr>
          <w:spacing w:val="40"/>
          <w:vertAlign w:val="baseline"/>
        </w:rPr>
        <w:t> </w:t>
      </w:r>
      <w:r>
        <w:rPr>
          <w:vertAlign w:val="baseline"/>
        </w:rPr>
        <w:t>6</w:t>
      </w:r>
      <w:r>
        <w:rPr>
          <w:spacing w:val="40"/>
          <w:vertAlign w:val="baseline"/>
        </w:rPr>
        <w:t> </w:t>
      </w:r>
      <w:r>
        <w:rPr>
          <w:vertAlign w:val="baseline"/>
        </w:rPr>
        <w:t>hours</w:t>
      </w:r>
      <w:r>
        <w:rPr>
          <w:spacing w:val="40"/>
          <w:vertAlign w:val="baseline"/>
        </w:rPr>
        <w:t> </w:t>
      </w:r>
      <w:r>
        <w:rPr>
          <w:vertAlign w:val="baseline"/>
        </w:rPr>
        <w:t>of</w:t>
      </w:r>
      <w:r>
        <w:rPr>
          <w:spacing w:val="40"/>
          <w:vertAlign w:val="baseline"/>
        </w:rPr>
        <w:t> </w:t>
      </w:r>
      <w:r>
        <w:rPr>
          <w:vertAlign w:val="baseline"/>
        </w:rPr>
        <w:t>dry- ing, moisture content and </w:t>
      </w:r>
      <w:r>
        <w:rPr>
          <w:i/>
          <w:vertAlign w:val="baseline"/>
        </w:rPr>
        <w:t>a</w:t>
      </w:r>
      <w:r>
        <w:rPr>
          <w:i/>
          <w:vertAlign w:val="subscript"/>
        </w:rPr>
        <w:t>w</w:t>
      </w:r>
      <w:r>
        <w:rPr>
          <w:i/>
          <w:vertAlign w:val="baseline"/>
        </w:rPr>
        <w:t> </w:t>
      </w:r>
      <w:r>
        <w:rPr>
          <w:vertAlign w:val="baseline"/>
        </w:rPr>
        <w:t>dropped to 21.68%±0.01% and 0.9575±0.001,</w:t>
      </w:r>
      <w:r>
        <w:rPr>
          <w:spacing w:val="-1"/>
          <w:vertAlign w:val="baseline"/>
        </w:rPr>
        <w:t> </w:t>
      </w:r>
      <w:r>
        <w:rPr>
          <w:vertAlign w:val="baseline"/>
        </w:rPr>
        <w:t>respectively.</w:t>
      </w:r>
      <w:r>
        <w:rPr>
          <w:spacing w:val="-1"/>
          <w:vertAlign w:val="baseline"/>
        </w:rPr>
        <w:t> </w:t>
      </w:r>
      <w:r>
        <w:rPr>
          <w:vertAlign w:val="baseline"/>
        </w:rPr>
        <w:t>At</w:t>
      </w:r>
      <w:r>
        <w:rPr>
          <w:spacing w:val="-1"/>
          <w:vertAlign w:val="baseline"/>
        </w:rPr>
        <w:t> </w:t>
      </w:r>
      <w:r>
        <w:rPr>
          <w:vertAlign w:val="baseline"/>
        </w:rPr>
        <w:t>the</w:t>
      </w:r>
      <w:r>
        <w:rPr>
          <w:spacing w:val="-1"/>
          <w:vertAlign w:val="baseline"/>
        </w:rPr>
        <w:t> </w:t>
      </w:r>
      <w:r>
        <w:rPr>
          <w:vertAlign w:val="baseline"/>
        </w:rPr>
        <w:t>14-hour</w:t>
      </w:r>
      <w:r>
        <w:rPr>
          <w:spacing w:val="-1"/>
          <w:vertAlign w:val="baseline"/>
        </w:rPr>
        <w:t> </w:t>
      </w:r>
      <w:r>
        <w:rPr>
          <w:vertAlign w:val="baseline"/>
        </w:rPr>
        <w:t>mark,</w:t>
      </w:r>
      <w:r>
        <w:rPr>
          <w:spacing w:val="-1"/>
          <w:vertAlign w:val="baseline"/>
        </w:rPr>
        <w:t> </w:t>
      </w:r>
      <w:r>
        <w:rPr>
          <w:vertAlign w:val="baseline"/>
        </w:rPr>
        <w:t>these</w:t>
      </w:r>
      <w:r>
        <w:rPr>
          <w:spacing w:val="-1"/>
          <w:vertAlign w:val="baseline"/>
        </w:rPr>
        <w:t> </w:t>
      </w:r>
      <w:r>
        <w:rPr>
          <w:vertAlign w:val="baseline"/>
        </w:rPr>
        <w:t>values were further reduced to 5.68%±0.002% and 0.6337±0.021.</w:t>
      </w:r>
    </w:p>
    <w:p>
      <w:pPr>
        <w:pStyle w:val="BodyText"/>
        <w:spacing w:line="249" w:lineRule="auto" w:before="7"/>
        <w:ind w:right="617" w:firstLine="199"/>
        <w:jc w:val="right"/>
      </w:pPr>
      <w:r>
        <w:rPr/>
        <w:t>Mesophilic</w:t>
      </w:r>
      <w:r>
        <w:rPr>
          <w:spacing w:val="-4"/>
        </w:rPr>
        <w:t> </w:t>
      </w:r>
      <w:r>
        <w:rPr/>
        <w:t>microbiota</w:t>
      </w:r>
      <w:r>
        <w:rPr>
          <w:spacing w:val="-4"/>
        </w:rPr>
        <w:t> </w:t>
      </w:r>
      <w:r>
        <w:rPr/>
        <w:t>counts</w:t>
      </w:r>
      <w:r>
        <w:rPr>
          <w:spacing w:val="-4"/>
        </w:rPr>
        <w:t> </w:t>
      </w:r>
      <w:r>
        <w:rPr/>
        <w:t>recorded</w:t>
      </w:r>
      <w:r>
        <w:rPr>
          <w:spacing w:val="-4"/>
        </w:rPr>
        <w:t> </w:t>
      </w:r>
      <w:r>
        <w:rPr/>
        <w:t>at</w:t>
      </w:r>
      <w:r>
        <w:rPr>
          <w:spacing w:val="-4"/>
        </w:rPr>
        <w:t> </w:t>
      </w:r>
      <w:r>
        <w:rPr/>
        <w:t>0,</w:t>
      </w:r>
      <w:r>
        <w:rPr>
          <w:spacing w:val="-4"/>
        </w:rPr>
        <w:t> </w:t>
      </w:r>
      <w:r>
        <w:rPr/>
        <w:t>6,</w:t>
      </w:r>
      <w:r>
        <w:rPr>
          <w:spacing w:val="-4"/>
        </w:rPr>
        <w:t> </w:t>
      </w:r>
      <w:r>
        <w:rPr/>
        <w:t>and</w:t>
      </w:r>
      <w:r>
        <w:rPr>
          <w:spacing w:val="-4"/>
        </w:rPr>
        <w:t> </w:t>
      </w:r>
      <w:r>
        <w:rPr/>
        <w:t>14</w:t>
      </w:r>
      <w:r>
        <w:rPr>
          <w:spacing w:val="-4"/>
        </w:rPr>
        <w:t> </w:t>
      </w:r>
      <w:r>
        <w:rPr/>
        <w:t>hours during drying were 7.02±0.03, 6.83±0.55, and 6.72±0.29 log CFU/10-almond</w:t>
      </w:r>
      <w:r>
        <w:rPr>
          <w:spacing w:val="-9"/>
        </w:rPr>
        <w:t> </w:t>
      </w:r>
      <w:r>
        <w:rPr/>
        <w:t>samples,</w:t>
      </w:r>
      <w:r>
        <w:rPr>
          <w:spacing w:val="-9"/>
        </w:rPr>
        <w:t> </w:t>
      </w:r>
      <w:r>
        <w:rPr/>
        <w:t>respectively.</w:t>
      </w:r>
      <w:r>
        <w:rPr>
          <w:spacing w:val="-9"/>
        </w:rPr>
        <w:t> </w:t>
      </w:r>
      <w:r>
        <w:rPr/>
        <w:t>These</w:t>
      </w:r>
      <w:r>
        <w:rPr>
          <w:spacing w:val="-9"/>
        </w:rPr>
        <w:t> </w:t>
      </w:r>
      <w:r>
        <w:rPr/>
        <w:t>differences</w:t>
      </w:r>
      <w:r>
        <w:rPr>
          <w:spacing w:val="-9"/>
        </w:rPr>
        <w:t> </w:t>
      </w:r>
      <w:r>
        <w:rPr/>
        <w:t>were not statistically significant (P ¿ 0.05), as illustrated in Fig. 3. The initial </w:t>
      </w:r>
      <w:r>
        <w:rPr>
          <w:i/>
        </w:rPr>
        <w:t>Salmonella </w:t>
      </w:r>
      <w:r>
        <w:rPr/>
        <w:t>count after soaking but before drying was</w:t>
      </w:r>
      <w:r>
        <w:rPr>
          <w:spacing w:val="40"/>
        </w:rPr>
        <w:t> </w:t>
      </w:r>
      <w:r>
        <w:rPr/>
        <w:t>6.18±0.28</w:t>
      </w:r>
      <w:r>
        <w:rPr>
          <w:spacing w:val="40"/>
        </w:rPr>
        <w:t> </w:t>
      </w:r>
      <w:r>
        <w:rPr/>
        <w:t>log</w:t>
      </w:r>
      <w:r>
        <w:rPr>
          <w:spacing w:val="40"/>
        </w:rPr>
        <w:t> </w:t>
      </w:r>
      <w:r>
        <w:rPr/>
        <w:t>CFU/10-almond</w:t>
      </w:r>
      <w:r>
        <w:rPr>
          <w:spacing w:val="40"/>
        </w:rPr>
        <w:t> </w:t>
      </w:r>
      <w:r>
        <w:rPr/>
        <w:t>sample.</w:t>
      </w:r>
      <w:r>
        <w:rPr>
          <w:spacing w:val="40"/>
        </w:rPr>
        <w:t> </w:t>
      </w:r>
      <w:r>
        <w:rPr/>
        <w:t>No</w:t>
      </w:r>
      <w:r>
        <w:rPr>
          <w:spacing w:val="40"/>
        </w:rPr>
        <w:t> </w:t>
      </w:r>
      <w:r>
        <w:rPr/>
        <w:t>significant reductions</w:t>
      </w:r>
      <w:r>
        <w:rPr>
          <w:spacing w:val="40"/>
        </w:rPr>
        <w:t> </w:t>
      </w:r>
      <w:r>
        <w:rPr/>
        <w:t>in</w:t>
      </w:r>
      <w:r>
        <w:rPr>
          <w:spacing w:val="40"/>
        </w:rPr>
        <w:t> </w:t>
      </w:r>
      <w:r>
        <w:rPr/>
        <w:t>microbial</w:t>
      </w:r>
      <w:r>
        <w:rPr>
          <w:spacing w:val="40"/>
        </w:rPr>
        <w:t> </w:t>
      </w:r>
      <w:r>
        <w:rPr/>
        <w:t>load</w:t>
      </w:r>
      <w:r>
        <w:rPr>
          <w:spacing w:val="40"/>
        </w:rPr>
        <w:t> </w:t>
      </w:r>
      <w:r>
        <w:rPr/>
        <w:t>were</w:t>
      </w:r>
      <w:r>
        <w:rPr>
          <w:spacing w:val="40"/>
        </w:rPr>
        <w:t> </w:t>
      </w:r>
      <w:r>
        <w:rPr/>
        <w:t>observed</w:t>
      </w:r>
      <w:r>
        <w:rPr>
          <w:spacing w:val="40"/>
        </w:rPr>
        <w:t> </w:t>
      </w:r>
      <w:r>
        <w:rPr/>
        <w:t>throughout</w:t>
      </w:r>
      <w:r>
        <w:rPr>
          <w:spacing w:val="40"/>
        </w:rPr>
        <w:t> </w:t>
      </w:r>
      <w:r>
        <w:rPr/>
        <w:t>the drying process, with final counts of 6.01±0.67 and 6.46±0.28 log</w:t>
      </w:r>
      <w:r>
        <w:rPr>
          <w:spacing w:val="7"/>
        </w:rPr>
        <w:t> </w:t>
      </w:r>
      <w:r>
        <w:rPr/>
        <w:t>CFU/10-almond</w:t>
      </w:r>
      <w:r>
        <w:rPr>
          <w:spacing w:val="7"/>
        </w:rPr>
        <w:t> </w:t>
      </w:r>
      <w:r>
        <w:rPr/>
        <w:t>sample</w:t>
      </w:r>
      <w:r>
        <w:rPr>
          <w:spacing w:val="7"/>
        </w:rPr>
        <w:t> </w:t>
      </w:r>
      <w:r>
        <w:rPr/>
        <w:t>after</w:t>
      </w:r>
      <w:r>
        <w:rPr>
          <w:spacing w:val="7"/>
        </w:rPr>
        <w:t> </w:t>
      </w:r>
      <w:r>
        <w:rPr/>
        <w:t>6</w:t>
      </w:r>
      <w:r>
        <w:rPr>
          <w:spacing w:val="7"/>
        </w:rPr>
        <w:t> </w:t>
      </w:r>
      <w:r>
        <w:rPr/>
        <w:t>and</w:t>
      </w:r>
      <w:r>
        <w:rPr>
          <w:spacing w:val="8"/>
        </w:rPr>
        <w:t> </w:t>
      </w:r>
      <w:r>
        <w:rPr/>
        <w:t>14</w:t>
      </w:r>
      <w:r>
        <w:rPr>
          <w:spacing w:val="6"/>
        </w:rPr>
        <w:t> </w:t>
      </w:r>
      <w:r>
        <w:rPr/>
        <w:t>hours,</w:t>
      </w:r>
      <w:r>
        <w:rPr>
          <w:spacing w:val="8"/>
        </w:rPr>
        <w:t> </w:t>
      </w:r>
      <w:r>
        <w:rPr>
          <w:spacing w:val="-2"/>
        </w:rPr>
        <w:t>respectively</w:t>
      </w:r>
    </w:p>
    <w:p>
      <w:pPr>
        <w:pStyle w:val="BodyText"/>
        <w:spacing w:before="7"/>
      </w:pPr>
      <w:r>
        <w:rPr/>
        <w:t>(P</w:t>
      </w:r>
      <w:r>
        <w:rPr>
          <w:spacing w:val="17"/>
        </w:rPr>
        <w:t> </w:t>
      </w:r>
      <w:r>
        <w:rPr/>
        <w:t>¿</w:t>
      </w:r>
      <w:r>
        <w:rPr>
          <w:spacing w:val="18"/>
        </w:rPr>
        <w:t> </w:t>
      </w:r>
      <w:r>
        <w:rPr>
          <w:spacing w:val="-2"/>
        </w:rPr>
        <w:t>0.05).</w:t>
      </w:r>
    </w:p>
    <w:p>
      <w:pPr>
        <w:pStyle w:val="BodyText"/>
        <w:spacing w:line="249" w:lineRule="auto" w:before="16"/>
        <w:ind w:right="617" w:firstLine="199"/>
      </w:pPr>
      <w:r>
        <w:rPr/>
        <w:t>In contrast, prior studies have reported that soaking </w:t>
      </w:r>
      <w:r>
        <w:rPr/>
        <w:t>and drying other seeds such as chia, pumpkin, and sunflower at 60°C</w:t>
      </w:r>
      <w:r>
        <w:rPr>
          <w:spacing w:val="28"/>
        </w:rPr>
        <w:t> </w:t>
      </w:r>
      <w:r>
        <w:rPr/>
        <w:t>for</w:t>
      </w:r>
      <w:r>
        <w:rPr>
          <w:spacing w:val="28"/>
        </w:rPr>
        <w:t> </w:t>
      </w:r>
      <w:r>
        <w:rPr/>
        <w:t>6</w:t>
      </w:r>
      <w:r>
        <w:rPr>
          <w:spacing w:val="28"/>
        </w:rPr>
        <w:t> </w:t>
      </w:r>
      <w:r>
        <w:rPr/>
        <w:t>hours</w:t>
      </w:r>
      <w:r>
        <w:rPr>
          <w:spacing w:val="28"/>
        </w:rPr>
        <w:t> </w:t>
      </w:r>
      <w:r>
        <w:rPr/>
        <w:t>results</w:t>
      </w:r>
      <w:r>
        <w:rPr>
          <w:spacing w:val="28"/>
        </w:rPr>
        <w:t> </w:t>
      </w:r>
      <w:r>
        <w:rPr/>
        <w:t>in</w:t>
      </w:r>
      <w:r>
        <w:rPr>
          <w:spacing w:val="28"/>
        </w:rPr>
        <w:t> </w:t>
      </w:r>
      <w:r>
        <w:rPr/>
        <w:t>reductions</w:t>
      </w:r>
      <w:r>
        <w:rPr>
          <w:spacing w:val="28"/>
        </w:rPr>
        <w:t> </w:t>
      </w:r>
      <w:r>
        <w:rPr/>
        <w:t>of</w:t>
      </w:r>
      <w:r>
        <w:rPr>
          <w:spacing w:val="28"/>
        </w:rPr>
        <w:t> </w:t>
      </w:r>
      <w:r>
        <w:rPr/>
        <w:t>over</w:t>
      </w:r>
      <w:r>
        <w:rPr>
          <w:spacing w:val="28"/>
        </w:rPr>
        <w:t> </w:t>
      </w:r>
      <w:r>
        <w:rPr/>
        <w:t>5</w:t>
      </w:r>
      <w:r>
        <w:rPr>
          <w:spacing w:val="28"/>
        </w:rPr>
        <w:t> </w:t>
      </w:r>
      <w:r>
        <w:rPr/>
        <w:t>log</w:t>
      </w:r>
      <w:r>
        <w:rPr>
          <w:spacing w:val="28"/>
        </w:rPr>
        <w:t> </w:t>
      </w:r>
      <w:r>
        <w:rPr/>
        <w:t>CFU/g in</w:t>
      </w:r>
      <w:r>
        <w:rPr>
          <w:spacing w:val="40"/>
        </w:rPr>
        <w:t> </w:t>
      </w:r>
      <w:r>
        <w:rPr>
          <w:i/>
        </w:rPr>
        <w:t>Salmonella</w:t>
      </w:r>
      <w:r>
        <w:rPr>
          <w:i/>
          <w:spacing w:val="40"/>
        </w:rPr>
        <w:t> </w:t>
      </w:r>
      <w:r>
        <w:rPr/>
        <w:t>populations</w:t>
      </w:r>
      <w:r>
        <w:rPr>
          <w:spacing w:val="40"/>
        </w:rPr>
        <w:t> </w:t>
      </w:r>
      <w:hyperlink w:history="true" w:anchor="_bookmark3">
        <w:r>
          <w:rPr/>
          <w:t>[34].</w:t>
        </w:r>
      </w:hyperlink>
      <w:r>
        <w:rPr>
          <w:spacing w:val="40"/>
        </w:rPr>
        <w:t> </w:t>
      </w:r>
      <w:r>
        <w:rPr/>
        <w:t>These</w:t>
      </w:r>
      <w:r>
        <w:rPr>
          <w:spacing w:val="40"/>
        </w:rPr>
        <w:t> </w:t>
      </w:r>
      <w:r>
        <w:rPr/>
        <w:t>discrepancies</w:t>
      </w:r>
      <w:r>
        <w:rPr>
          <w:spacing w:val="40"/>
        </w:rPr>
        <w:t> </w:t>
      </w:r>
      <w:r>
        <w:rPr/>
        <w:t>may</w:t>
      </w:r>
      <w:r>
        <w:rPr>
          <w:spacing w:val="40"/>
        </w:rPr>
        <w:t> </w:t>
      </w:r>
      <w:r>
        <w:rPr/>
        <w:t>be</w:t>
      </w:r>
      <w:r>
        <w:rPr>
          <w:spacing w:val="39"/>
        </w:rPr>
        <w:t> </w:t>
      </w:r>
      <w:r>
        <w:rPr/>
        <w:t>due</w:t>
      </w:r>
      <w:r>
        <w:rPr>
          <w:spacing w:val="39"/>
        </w:rPr>
        <w:t> </w:t>
      </w:r>
      <w:r>
        <w:rPr/>
        <w:t>to</w:t>
      </w:r>
      <w:r>
        <w:rPr>
          <w:spacing w:val="39"/>
        </w:rPr>
        <w:t> </w:t>
      </w:r>
      <w:r>
        <w:rPr/>
        <w:t>substrate</w:t>
      </w:r>
      <w:r>
        <w:rPr>
          <w:spacing w:val="39"/>
        </w:rPr>
        <w:t> </w:t>
      </w:r>
      <w:r>
        <w:rPr/>
        <w:t>composition,</w:t>
      </w:r>
      <w:r>
        <w:rPr>
          <w:spacing w:val="39"/>
        </w:rPr>
        <w:t> </w:t>
      </w:r>
      <w:r>
        <w:rPr/>
        <w:t>almond</w:t>
      </w:r>
      <w:r>
        <w:rPr>
          <w:spacing w:val="39"/>
        </w:rPr>
        <w:t> </w:t>
      </w:r>
      <w:r>
        <w:rPr/>
        <w:t>matrix</w:t>
      </w:r>
      <w:r>
        <w:rPr>
          <w:spacing w:val="39"/>
        </w:rPr>
        <w:t> </w:t>
      </w:r>
      <w:r>
        <w:rPr/>
        <w:t>properties, or</w:t>
      </w:r>
      <w:r>
        <w:rPr>
          <w:spacing w:val="40"/>
        </w:rPr>
        <w:t> </w:t>
      </w:r>
      <w:r>
        <w:rPr/>
        <w:t>differences</w:t>
      </w:r>
      <w:r>
        <w:rPr>
          <w:spacing w:val="40"/>
        </w:rPr>
        <w:t> </w:t>
      </w:r>
      <w:r>
        <w:rPr/>
        <w:t>in</w:t>
      </w:r>
      <w:r>
        <w:rPr>
          <w:spacing w:val="40"/>
        </w:rPr>
        <w:t> </w:t>
      </w:r>
      <w:r>
        <w:rPr/>
        <w:t>oven</w:t>
      </w:r>
      <w:r>
        <w:rPr>
          <w:spacing w:val="40"/>
        </w:rPr>
        <w:t> </w:t>
      </w:r>
      <w:r>
        <w:rPr/>
        <w:t>types</w:t>
      </w:r>
      <w:r>
        <w:rPr>
          <w:spacing w:val="40"/>
        </w:rPr>
        <w:t> </w:t>
      </w:r>
      <w:r>
        <w:rPr/>
        <w:t>used</w:t>
      </w:r>
      <w:r>
        <w:rPr>
          <w:spacing w:val="40"/>
        </w:rPr>
        <w:t> </w:t>
      </w:r>
      <w:r>
        <w:rPr/>
        <w:t>for</w:t>
      </w:r>
      <w:r>
        <w:rPr>
          <w:spacing w:val="40"/>
        </w:rPr>
        <w:t> </w:t>
      </w:r>
      <w:r>
        <w:rPr/>
        <w:t>drying.</w:t>
      </w:r>
      <w:r>
        <w:rPr>
          <w:spacing w:val="40"/>
        </w:rPr>
        <w:t> </w:t>
      </w:r>
      <w:r>
        <w:rPr/>
        <w:t>Notably,</w:t>
      </w:r>
      <w:r>
        <w:rPr>
          <w:spacing w:val="40"/>
        </w:rPr>
        <w:t> </w:t>
      </w:r>
      <w:r>
        <w:rPr/>
        <w:t>the heat resistance of microbes in low-moisture foods tends to diminish as moisture levels increase </w:t>
      </w:r>
      <w:hyperlink w:history="true" w:anchor="_bookmark4">
        <w:r>
          <w:rPr/>
          <w:t>[35],</w:t>
        </w:r>
      </w:hyperlink>
      <w:r>
        <w:rPr/>
        <w:t> although empirical data</w:t>
      </w:r>
      <w:r>
        <w:rPr>
          <w:spacing w:val="-13"/>
        </w:rPr>
        <w:t> </w:t>
      </w:r>
      <w:r>
        <w:rPr/>
        <w:t>on</w:t>
      </w:r>
      <w:r>
        <w:rPr>
          <w:spacing w:val="-12"/>
        </w:rPr>
        <w:t> </w:t>
      </w:r>
      <w:r>
        <w:rPr/>
        <w:t>pathogen</w:t>
      </w:r>
      <w:r>
        <w:rPr>
          <w:spacing w:val="-13"/>
        </w:rPr>
        <w:t> </w:t>
      </w:r>
      <w:r>
        <w:rPr/>
        <w:t>inactivation</w:t>
      </w:r>
      <w:r>
        <w:rPr>
          <w:spacing w:val="-12"/>
        </w:rPr>
        <w:t> </w:t>
      </w:r>
      <w:r>
        <w:rPr/>
        <w:t>in</w:t>
      </w:r>
      <w:r>
        <w:rPr>
          <w:spacing w:val="-13"/>
        </w:rPr>
        <w:t> </w:t>
      </w:r>
      <w:r>
        <w:rPr/>
        <w:t>high-moisture</w:t>
      </w:r>
      <w:r>
        <w:rPr>
          <w:spacing w:val="-12"/>
        </w:rPr>
        <w:t> </w:t>
      </w:r>
      <w:r>
        <w:rPr/>
        <w:t>almonds</w:t>
      </w:r>
      <w:r>
        <w:rPr>
          <w:spacing w:val="-13"/>
        </w:rPr>
        <w:t> </w:t>
      </w:r>
      <w:r>
        <w:rPr/>
        <w:t>remain </w:t>
      </w:r>
      <w:r>
        <w:rPr>
          <w:spacing w:val="-2"/>
        </w:rPr>
        <w:t>limited.</w:t>
      </w:r>
    </w:p>
    <w:p>
      <w:pPr>
        <w:spacing w:before="197"/>
        <w:ind w:left="199" w:right="0" w:firstLine="0"/>
        <w:jc w:val="left"/>
        <w:rPr>
          <w:i/>
          <w:sz w:val="20"/>
        </w:rPr>
      </w:pPr>
      <w:bookmarkStart w:name="Kinetic Modeling of Growth During Soakin" w:id="18"/>
      <w:bookmarkEnd w:id="18"/>
      <w:r>
        <w:rPr/>
      </w:r>
      <w:r>
        <w:rPr>
          <w:i/>
          <w:sz w:val="20"/>
        </w:rPr>
        <w:t>A.</w:t>
      </w:r>
      <w:r>
        <w:rPr>
          <w:i/>
          <w:spacing w:val="40"/>
          <w:sz w:val="20"/>
        </w:rPr>
        <w:t> </w:t>
      </w:r>
      <w:r>
        <w:rPr>
          <w:i/>
          <w:sz w:val="20"/>
        </w:rPr>
        <w:t>Kinetic</w:t>
      </w:r>
      <w:r>
        <w:rPr>
          <w:i/>
          <w:spacing w:val="13"/>
          <w:sz w:val="20"/>
        </w:rPr>
        <w:t> </w:t>
      </w:r>
      <w:r>
        <w:rPr>
          <w:i/>
          <w:sz w:val="20"/>
        </w:rPr>
        <w:t>Modeling</w:t>
      </w:r>
      <w:r>
        <w:rPr>
          <w:i/>
          <w:spacing w:val="13"/>
          <w:sz w:val="20"/>
        </w:rPr>
        <w:t> </w:t>
      </w:r>
      <w:r>
        <w:rPr>
          <w:i/>
          <w:sz w:val="20"/>
        </w:rPr>
        <w:t>of</w:t>
      </w:r>
      <w:r>
        <w:rPr>
          <w:i/>
          <w:spacing w:val="14"/>
          <w:sz w:val="20"/>
        </w:rPr>
        <w:t> </w:t>
      </w:r>
      <w:r>
        <w:rPr>
          <w:i/>
          <w:sz w:val="20"/>
        </w:rPr>
        <w:t>Growth</w:t>
      </w:r>
      <w:r>
        <w:rPr>
          <w:i/>
          <w:spacing w:val="13"/>
          <w:sz w:val="20"/>
        </w:rPr>
        <w:t> </w:t>
      </w:r>
      <w:r>
        <w:rPr>
          <w:i/>
          <w:sz w:val="20"/>
        </w:rPr>
        <w:t>During</w:t>
      </w:r>
      <w:r>
        <w:rPr>
          <w:i/>
          <w:spacing w:val="13"/>
          <w:sz w:val="20"/>
        </w:rPr>
        <w:t> </w:t>
      </w:r>
      <w:r>
        <w:rPr>
          <w:i/>
          <w:spacing w:val="-2"/>
          <w:sz w:val="20"/>
        </w:rPr>
        <w:t>Soaking</w:t>
      </w:r>
    </w:p>
    <w:p>
      <w:pPr>
        <w:pStyle w:val="BodyText"/>
        <w:spacing w:before="161"/>
        <w:ind w:left="0"/>
        <w:jc w:val="left"/>
        <w:rPr>
          <w:i/>
        </w:rPr>
      </w:pPr>
    </w:p>
    <w:p>
      <w:pPr>
        <w:spacing w:line="182" w:lineRule="exact" w:before="0"/>
        <w:ind w:left="169" w:right="587" w:firstLine="0"/>
        <w:jc w:val="center"/>
        <w:rPr>
          <w:sz w:val="16"/>
        </w:rPr>
      </w:pPr>
      <w:r>
        <w:rPr>
          <w:spacing w:val="-2"/>
          <w:sz w:val="16"/>
        </w:rPr>
        <w:t>TABLE</w:t>
      </w:r>
      <w:r>
        <w:rPr>
          <w:spacing w:val="4"/>
          <w:sz w:val="16"/>
        </w:rPr>
        <w:t> </w:t>
      </w:r>
      <w:r>
        <w:rPr>
          <w:spacing w:val="-5"/>
          <w:sz w:val="16"/>
        </w:rPr>
        <w:t>III</w:t>
      </w:r>
    </w:p>
    <w:p>
      <w:pPr>
        <w:spacing w:line="232" w:lineRule="auto" w:before="3"/>
        <w:ind w:left="169" w:right="587" w:firstLine="0"/>
        <w:jc w:val="center"/>
        <w:rPr>
          <w:sz w:val="16"/>
        </w:rPr>
      </w:pPr>
      <w:r>
        <w:rPr>
          <w:smallCaps/>
          <w:sz w:val="16"/>
        </w:rPr>
        <w:t>Growth</w:t>
      </w:r>
      <w:r>
        <w:rPr>
          <w:smallCaps/>
          <w:spacing w:val="39"/>
          <w:sz w:val="16"/>
        </w:rPr>
        <w:t> </w:t>
      </w:r>
      <w:r>
        <w:rPr>
          <w:smallCaps/>
          <w:sz w:val="16"/>
        </w:rPr>
        <w:t>Kinetics</w:t>
      </w:r>
      <w:r>
        <w:rPr>
          <w:smallCaps/>
          <w:spacing w:val="39"/>
          <w:sz w:val="16"/>
        </w:rPr>
        <w:t> </w:t>
      </w:r>
      <w:r>
        <w:rPr>
          <w:smallCaps/>
          <w:sz w:val="16"/>
        </w:rPr>
        <w:t>of</w:t>
      </w:r>
      <w:r>
        <w:rPr>
          <w:smallCaps/>
          <w:spacing w:val="39"/>
          <w:sz w:val="16"/>
        </w:rPr>
        <w:t> </w:t>
      </w:r>
      <w:r>
        <w:rPr>
          <w:smallCaps/>
          <w:sz w:val="16"/>
        </w:rPr>
        <w:t>Foodborne</w:t>
      </w:r>
      <w:r>
        <w:rPr>
          <w:smallCaps/>
          <w:spacing w:val="39"/>
          <w:sz w:val="16"/>
        </w:rPr>
        <w:t> </w:t>
      </w:r>
      <w:r>
        <w:rPr>
          <w:smallCaps/>
          <w:sz w:val="16"/>
        </w:rPr>
        <w:t>Pathogens</w:t>
      </w:r>
      <w:r>
        <w:rPr>
          <w:smallCaps/>
          <w:spacing w:val="39"/>
          <w:sz w:val="16"/>
        </w:rPr>
        <w:t> </w:t>
      </w:r>
      <w:r>
        <w:rPr>
          <w:smallCaps/>
          <w:sz w:val="16"/>
        </w:rPr>
        <w:t>on</w:t>
      </w:r>
      <w:r>
        <w:rPr>
          <w:smallCaps/>
          <w:spacing w:val="39"/>
          <w:sz w:val="16"/>
        </w:rPr>
        <w:t> </w:t>
      </w:r>
      <w:r>
        <w:rPr>
          <w:smallCaps/>
          <w:sz w:val="16"/>
        </w:rPr>
        <w:t>Almonds</w:t>
      </w:r>
      <w:r>
        <w:rPr>
          <w:smallCaps/>
          <w:spacing w:val="39"/>
          <w:sz w:val="16"/>
        </w:rPr>
        <w:t> </w:t>
      </w:r>
      <w:r>
        <w:rPr>
          <w:smallCaps/>
          <w:sz w:val="16"/>
        </w:rPr>
        <w:t>Soaked</w:t>
      </w:r>
      <w:r>
        <w:rPr>
          <w:smallCaps/>
          <w:spacing w:val="40"/>
          <w:sz w:val="16"/>
        </w:rPr>
        <w:t> </w:t>
      </w:r>
      <w:r>
        <w:rPr>
          <w:smallCaps/>
          <w:sz w:val="16"/>
        </w:rPr>
        <w:t>for</w:t>
      </w:r>
      <w:r>
        <w:rPr>
          <w:smallCaps/>
          <w:sz w:val="16"/>
        </w:rPr>
        <w:t> 24 Hours</w:t>
      </w:r>
      <w:r>
        <w:rPr>
          <w:smallCaps/>
          <w:sz w:val="16"/>
        </w:rPr>
        <w:t> at</w:t>
      </w:r>
      <w:r>
        <w:rPr>
          <w:smallCaps/>
          <w:sz w:val="16"/>
        </w:rPr>
        <w:t> 23°C (1:1 w/v)</w:t>
      </w:r>
    </w:p>
    <w:p>
      <w:pPr>
        <w:pStyle w:val="BodyText"/>
        <w:spacing w:before="9"/>
        <w:ind w:left="0"/>
        <w:jc w:val="left"/>
        <w:rPr>
          <w:sz w:val="17"/>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1"/>
        <w:gridCol w:w="1618"/>
        <w:gridCol w:w="1047"/>
        <w:gridCol w:w="924"/>
        <w:gridCol w:w="526"/>
      </w:tblGrid>
      <w:tr>
        <w:trPr>
          <w:trHeight w:val="369" w:hRule="atLeast"/>
        </w:trPr>
        <w:tc>
          <w:tcPr>
            <w:tcW w:w="1411" w:type="dxa"/>
          </w:tcPr>
          <w:p>
            <w:pPr>
              <w:pStyle w:val="TableParagraph"/>
              <w:spacing w:line="172" w:lineRule="exact"/>
              <w:ind w:left="122"/>
              <w:jc w:val="left"/>
              <w:rPr>
                <w:b/>
                <w:sz w:val="16"/>
              </w:rPr>
            </w:pPr>
            <w:r>
              <w:rPr>
                <w:b/>
                <w:spacing w:val="-2"/>
                <w:sz w:val="16"/>
              </w:rPr>
              <w:t>Organism</w:t>
            </w:r>
          </w:p>
        </w:tc>
        <w:tc>
          <w:tcPr>
            <w:tcW w:w="1618" w:type="dxa"/>
          </w:tcPr>
          <w:p>
            <w:pPr>
              <w:pStyle w:val="TableParagraph"/>
              <w:spacing w:line="172" w:lineRule="exact"/>
              <w:ind w:left="122"/>
              <w:jc w:val="left"/>
              <w:rPr>
                <w:b/>
                <w:sz w:val="16"/>
              </w:rPr>
            </w:pPr>
            <w:r>
              <w:rPr>
                <w:b/>
                <w:sz w:val="16"/>
              </w:rPr>
              <w:t>Inoculation</w:t>
            </w:r>
            <w:r>
              <w:rPr>
                <w:b/>
                <w:spacing w:val="11"/>
                <w:sz w:val="16"/>
              </w:rPr>
              <w:t> </w:t>
            </w:r>
            <w:r>
              <w:rPr>
                <w:b/>
                <w:spacing w:val="-2"/>
                <w:sz w:val="16"/>
              </w:rPr>
              <w:t>Method</w:t>
            </w:r>
          </w:p>
        </w:tc>
        <w:tc>
          <w:tcPr>
            <w:tcW w:w="1047" w:type="dxa"/>
          </w:tcPr>
          <w:p>
            <w:pPr>
              <w:pStyle w:val="TableParagraph"/>
              <w:spacing w:line="170" w:lineRule="exact"/>
              <w:ind w:left="6"/>
              <w:rPr>
                <w:b/>
                <w:sz w:val="16"/>
              </w:rPr>
            </w:pPr>
            <w:r>
              <w:rPr>
                <w:b/>
                <w:spacing w:val="-4"/>
                <w:sz w:val="16"/>
              </w:rPr>
              <w:t>Rate</w:t>
            </w:r>
          </w:p>
          <w:p>
            <w:pPr>
              <w:pStyle w:val="TableParagraph"/>
              <w:spacing w:line="180" w:lineRule="exact"/>
              <w:ind w:left="6"/>
              <w:rPr>
                <w:sz w:val="16"/>
              </w:rPr>
            </w:pPr>
            <w:r>
              <w:rPr>
                <w:sz w:val="16"/>
              </w:rPr>
              <w:t>(log</w:t>
            </w:r>
            <w:r>
              <w:rPr>
                <w:spacing w:val="12"/>
                <w:sz w:val="16"/>
              </w:rPr>
              <w:t> </w:t>
            </w:r>
            <w:r>
              <w:rPr>
                <w:spacing w:val="-2"/>
                <w:sz w:val="16"/>
              </w:rPr>
              <w:t>CFU/h)</w:t>
            </w:r>
          </w:p>
        </w:tc>
        <w:tc>
          <w:tcPr>
            <w:tcW w:w="924" w:type="dxa"/>
          </w:tcPr>
          <w:p>
            <w:pPr>
              <w:pStyle w:val="TableParagraph"/>
              <w:spacing w:line="170" w:lineRule="exact"/>
              <w:ind w:left="6"/>
              <w:rPr>
                <w:b/>
                <w:sz w:val="16"/>
              </w:rPr>
            </w:pPr>
            <w:r>
              <w:rPr>
                <w:b/>
                <w:sz w:val="16"/>
              </w:rPr>
              <w:t>Lag</w:t>
            </w:r>
            <w:r>
              <w:rPr>
                <w:b/>
                <w:spacing w:val="16"/>
                <w:sz w:val="16"/>
              </w:rPr>
              <w:t> </w:t>
            </w:r>
            <w:r>
              <w:rPr>
                <w:b/>
                <w:spacing w:val="-4"/>
                <w:sz w:val="16"/>
              </w:rPr>
              <w:t>Time</w:t>
            </w:r>
          </w:p>
          <w:p>
            <w:pPr>
              <w:pStyle w:val="TableParagraph"/>
              <w:spacing w:line="180" w:lineRule="exact"/>
              <w:ind w:left="6"/>
              <w:rPr>
                <w:sz w:val="16"/>
              </w:rPr>
            </w:pPr>
            <w:r>
              <w:rPr>
                <w:spacing w:val="-5"/>
                <w:sz w:val="16"/>
              </w:rPr>
              <w:t>(h)</w:t>
            </w:r>
          </w:p>
        </w:tc>
        <w:tc>
          <w:tcPr>
            <w:tcW w:w="526" w:type="dxa"/>
          </w:tcPr>
          <w:p>
            <w:pPr>
              <w:pStyle w:val="TableParagraph"/>
              <w:spacing w:line="129" w:lineRule="auto" w:before="10"/>
              <w:ind w:left="6" w:right="7"/>
              <w:rPr>
                <w:b/>
                <w:sz w:val="12"/>
              </w:rPr>
            </w:pPr>
            <w:r>
              <w:rPr>
                <w:b/>
                <w:spacing w:val="-5"/>
                <w:position w:val="-5"/>
                <w:sz w:val="16"/>
              </w:rPr>
              <w:t>R</w:t>
            </w:r>
            <w:r>
              <w:rPr>
                <w:b/>
                <w:spacing w:val="-5"/>
                <w:sz w:val="12"/>
              </w:rPr>
              <w:t>2</w:t>
            </w:r>
          </w:p>
        </w:tc>
      </w:tr>
      <w:tr>
        <w:trPr>
          <w:trHeight w:val="162" w:hRule="atLeast"/>
        </w:trPr>
        <w:tc>
          <w:tcPr>
            <w:tcW w:w="1411" w:type="dxa"/>
            <w:tcBorders>
              <w:bottom w:val="nil"/>
            </w:tcBorders>
          </w:tcPr>
          <w:p>
            <w:pPr>
              <w:pStyle w:val="TableParagraph"/>
              <w:spacing w:line="142" w:lineRule="exact"/>
              <w:ind w:left="122"/>
              <w:jc w:val="left"/>
              <w:rPr>
                <w:i/>
                <w:sz w:val="16"/>
              </w:rPr>
            </w:pPr>
            <w:r>
              <w:rPr>
                <w:i/>
                <w:spacing w:val="-2"/>
                <w:sz w:val="16"/>
              </w:rPr>
              <w:t>Salmonella</w:t>
            </w:r>
          </w:p>
        </w:tc>
        <w:tc>
          <w:tcPr>
            <w:tcW w:w="1618" w:type="dxa"/>
            <w:tcBorders>
              <w:bottom w:val="nil"/>
            </w:tcBorders>
          </w:tcPr>
          <w:p>
            <w:pPr>
              <w:pStyle w:val="TableParagraph"/>
              <w:spacing w:line="143" w:lineRule="exact"/>
              <w:ind w:left="122"/>
              <w:jc w:val="left"/>
              <w:rPr>
                <w:sz w:val="16"/>
              </w:rPr>
            </w:pPr>
            <w:r>
              <w:rPr>
                <w:sz w:val="16"/>
              </w:rPr>
              <w:t>Indirect</w:t>
            </w:r>
            <w:r>
              <w:rPr>
                <w:spacing w:val="11"/>
                <w:sz w:val="16"/>
              </w:rPr>
              <w:t> </w:t>
            </w:r>
            <w:r>
              <w:rPr>
                <w:sz w:val="16"/>
              </w:rPr>
              <w:t>(via</w:t>
            </w:r>
            <w:r>
              <w:rPr>
                <w:spacing w:val="11"/>
                <w:sz w:val="16"/>
              </w:rPr>
              <w:t> </w:t>
            </w:r>
            <w:r>
              <w:rPr>
                <w:spacing w:val="-2"/>
                <w:sz w:val="16"/>
              </w:rPr>
              <w:t>water)</w:t>
            </w:r>
          </w:p>
        </w:tc>
        <w:tc>
          <w:tcPr>
            <w:tcW w:w="1047" w:type="dxa"/>
            <w:tcBorders>
              <w:bottom w:val="nil"/>
            </w:tcBorders>
          </w:tcPr>
          <w:p>
            <w:pPr>
              <w:pStyle w:val="TableParagraph"/>
              <w:spacing w:line="143" w:lineRule="exact"/>
              <w:ind w:left="6"/>
              <w:rPr>
                <w:sz w:val="16"/>
              </w:rPr>
            </w:pPr>
            <w:r>
              <w:rPr>
                <w:spacing w:val="-4"/>
                <w:sz w:val="16"/>
              </w:rPr>
              <w:t>0.27</w:t>
            </w:r>
          </w:p>
        </w:tc>
        <w:tc>
          <w:tcPr>
            <w:tcW w:w="924" w:type="dxa"/>
            <w:tcBorders>
              <w:bottom w:val="nil"/>
            </w:tcBorders>
          </w:tcPr>
          <w:p>
            <w:pPr>
              <w:pStyle w:val="TableParagraph"/>
              <w:spacing w:line="143" w:lineRule="exact"/>
              <w:ind w:left="6"/>
              <w:rPr>
                <w:sz w:val="16"/>
              </w:rPr>
            </w:pPr>
            <w:r>
              <w:rPr>
                <w:spacing w:val="-4"/>
                <w:sz w:val="16"/>
              </w:rPr>
              <w:t>6.63</w:t>
            </w:r>
          </w:p>
        </w:tc>
        <w:tc>
          <w:tcPr>
            <w:tcW w:w="526" w:type="dxa"/>
            <w:tcBorders>
              <w:bottom w:val="nil"/>
            </w:tcBorders>
          </w:tcPr>
          <w:p>
            <w:pPr>
              <w:pStyle w:val="TableParagraph"/>
              <w:spacing w:line="143" w:lineRule="exact"/>
              <w:ind w:right="1"/>
              <w:rPr>
                <w:sz w:val="16"/>
              </w:rPr>
            </w:pPr>
            <w:r>
              <w:rPr>
                <w:spacing w:val="-4"/>
                <w:sz w:val="16"/>
              </w:rPr>
              <w:t>0.98</w:t>
            </w:r>
          </w:p>
        </w:tc>
      </w:tr>
      <w:tr>
        <w:trPr>
          <w:trHeight w:val="179" w:hRule="atLeast"/>
        </w:trPr>
        <w:tc>
          <w:tcPr>
            <w:tcW w:w="1411" w:type="dxa"/>
            <w:tcBorders>
              <w:top w:val="nil"/>
              <w:bottom w:val="nil"/>
            </w:tcBorders>
          </w:tcPr>
          <w:p>
            <w:pPr>
              <w:pStyle w:val="TableParagraph"/>
              <w:ind w:left="122"/>
              <w:jc w:val="left"/>
              <w:rPr>
                <w:i/>
                <w:sz w:val="16"/>
              </w:rPr>
            </w:pPr>
            <w:r>
              <w:rPr>
                <w:i/>
                <w:spacing w:val="-2"/>
                <w:sz w:val="16"/>
              </w:rPr>
              <w:t>Salmonella</w:t>
            </w:r>
          </w:p>
        </w:tc>
        <w:tc>
          <w:tcPr>
            <w:tcW w:w="1618" w:type="dxa"/>
            <w:tcBorders>
              <w:top w:val="nil"/>
              <w:bottom w:val="nil"/>
            </w:tcBorders>
          </w:tcPr>
          <w:p>
            <w:pPr>
              <w:pStyle w:val="TableParagraph"/>
              <w:ind w:left="122"/>
              <w:jc w:val="left"/>
              <w:rPr>
                <w:sz w:val="16"/>
              </w:rPr>
            </w:pPr>
            <w:r>
              <w:rPr>
                <w:sz w:val="16"/>
              </w:rPr>
              <w:t>Direct</w:t>
            </w:r>
            <w:r>
              <w:rPr>
                <w:spacing w:val="11"/>
                <w:sz w:val="16"/>
              </w:rPr>
              <w:t> </w:t>
            </w:r>
            <w:r>
              <w:rPr>
                <w:sz w:val="16"/>
              </w:rPr>
              <w:t>(on</w:t>
            </w:r>
            <w:r>
              <w:rPr>
                <w:spacing w:val="12"/>
                <w:sz w:val="16"/>
              </w:rPr>
              <w:t> </w:t>
            </w:r>
            <w:r>
              <w:rPr>
                <w:spacing w:val="-2"/>
                <w:sz w:val="16"/>
              </w:rPr>
              <w:t>kernels)</w:t>
            </w:r>
          </w:p>
        </w:tc>
        <w:tc>
          <w:tcPr>
            <w:tcW w:w="1047" w:type="dxa"/>
            <w:tcBorders>
              <w:top w:val="nil"/>
              <w:bottom w:val="nil"/>
            </w:tcBorders>
          </w:tcPr>
          <w:p>
            <w:pPr>
              <w:pStyle w:val="TableParagraph"/>
              <w:ind w:left="6"/>
              <w:rPr>
                <w:sz w:val="16"/>
              </w:rPr>
            </w:pPr>
            <w:r>
              <w:rPr>
                <w:spacing w:val="-4"/>
                <w:sz w:val="16"/>
              </w:rPr>
              <w:t>0.29</w:t>
            </w:r>
          </w:p>
        </w:tc>
        <w:tc>
          <w:tcPr>
            <w:tcW w:w="924" w:type="dxa"/>
            <w:tcBorders>
              <w:top w:val="nil"/>
              <w:bottom w:val="nil"/>
            </w:tcBorders>
          </w:tcPr>
          <w:p>
            <w:pPr>
              <w:pStyle w:val="TableParagraph"/>
              <w:ind w:left="6"/>
              <w:rPr>
                <w:sz w:val="16"/>
              </w:rPr>
            </w:pPr>
            <w:r>
              <w:rPr>
                <w:spacing w:val="-4"/>
                <w:sz w:val="16"/>
              </w:rPr>
              <w:t>6.40</w:t>
            </w:r>
          </w:p>
        </w:tc>
        <w:tc>
          <w:tcPr>
            <w:tcW w:w="526" w:type="dxa"/>
            <w:tcBorders>
              <w:top w:val="nil"/>
              <w:bottom w:val="nil"/>
            </w:tcBorders>
          </w:tcPr>
          <w:p>
            <w:pPr>
              <w:pStyle w:val="TableParagraph"/>
              <w:ind w:right="1"/>
              <w:rPr>
                <w:sz w:val="16"/>
              </w:rPr>
            </w:pPr>
            <w:r>
              <w:rPr>
                <w:spacing w:val="-4"/>
                <w:sz w:val="16"/>
              </w:rPr>
              <w:t>0.96</w:t>
            </w:r>
          </w:p>
        </w:tc>
      </w:tr>
      <w:tr>
        <w:trPr>
          <w:trHeight w:val="179" w:hRule="atLeast"/>
        </w:trPr>
        <w:tc>
          <w:tcPr>
            <w:tcW w:w="1411" w:type="dxa"/>
            <w:tcBorders>
              <w:top w:val="nil"/>
              <w:bottom w:val="nil"/>
            </w:tcBorders>
          </w:tcPr>
          <w:p>
            <w:pPr>
              <w:pStyle w:val="TableParagraph"/>
              <w:ind w:left="122"/>
              <w:jc w:val="left"/>
              <w:rPr>
                <w:i/>
                <w:sz w:val="16"/>
              </w:rPr>
            </w:pPr>
            <w:r>
              <w:rPr>
                <w:i/>
                <w:sz w:val="16"/>
              </w:rPr>
              <w:t>E.</w:t>
            </w:r>
            <w:r>
              <w:rPr>
                <w:i/>
                <w:spacing w:val="13"/>
                <w:sz w:val="16"/>
              </w:rPr>
              <w:t> </w:t>
            </w:r>
            <w:r>
              <w:rPr>
                <w:i/>
                <w:sz w:val="16"/>
              </w:rPr>
              <w:t>coli</w:t>
            </w:r>
            <w:r>
              <w:rPr>
                <w:i/>
                <w:spacing w:val="13"/>
                <w:sz w:val="16"/>
              </w:rPr>
              <w:t> </w:t>
            </w:r>
            <w:r>
              <w:rPr>
                <w:i/>
                <w:spacing w:val="-2"/>
                <w:sz w:val="16"/>
              </w:rPr>
              <w:t>O157:H7</w:t>
            </w:r>
          </w:p>
        </w:tc>
        <w:tc>
          <w:tcPr>
            <w:tcW w:w="1618" w:type="dxa"/>
            <w:tcBorders>
              <w:top w:val="nil"/>
              <w:bottom w:val="nil"/>
            </w:tcBorders>
          </w:tcPr>
          <w:p>
            <w:pPr>
              <w:pStyle w:val="TableParagraph"/>
              <w:ind w:left="122"/>
              <w:jc w:val="left"/>
              <w:rPr>
                <w:sz w:val="16"/>
              </w:rPr>
            </w:pPr>
            <w:r>
              <w:rPr>
                <w:spacing w:val="-2"/>
                <w:sz w:val="16"/>
              </w:rPr>
              <w:t>Direct</w:t>
            </w:r>
          </w:p>
        </w:tc>
        <w:tc>
          <w:tcPr>
            <w:tcW w:w="1047" w:type="dxa"/>
            <w:tcBorders>
              <w:top w:val="nil"/>
              <w:bottom w:val="nil"/>
            </w:tcBorders>
          </w:tcPr>
          <w:p>
            <w:pPr>
              <w:pStyle w:val="TableParagraph"/>
              <w:ind w:left="6"/>
              <w:rPr>
                <w:sz w:val="16"/>
              </w:rPr>
            </w:pPr>
            <w:r>
              <w:rPr>
                <w:spacing w:val="-4"/>
                <w:sz w:val="16"/>
              </w:rPr>
              <w:t>0.26</w:t>
            </w:r>
          </w:p>
        </w:tc>
        <w:tc>
          <w:tcPr>
            <w:tcW w:w="924" w:type="dxa"/>
            <w:tcBorders>
              <w:top w:val="nil"/>
              <w:bottom w:val="nil"/>
            </w:tcBorders>
          </w:tcPr>
          <w:p>
            <w:pPr>
              <w:pStyle w:val="TableParagraph"/>
              <w:ind w:left="6"/>
              <w:rPr>
                <w:sz w:val="16"/>
              </w:rPr>
            </w:pPr>
            <w:r>
              <w:rPr>
                <w:spacing w:val="-4"/>
                <w:sz w:val="16"/>
              </w:rPr>
              <w:t>9.40</w:t>
            </w:r>
          </w:p>
        </w:tc>
        <w:tc>
          <w:tcPr>
            <w:tcW w:w="526" w:type="dxa"/>
            <w:tcBorders>
              <w:top w:val="nil"/>
              <w:bottom w:val="nil"/>
            </w:tcBorders>
          </w:tcPr>
          <w:p>
            <w:pPr>
              <w:pStyle w:val="TableParagraph"/>
              <w:ind w:right="1"/>
              <w:rPr>
                <w:sz w:val="16"/>
              </w:rPr>
            </w:pPr>
            <w:r>
              <w:rPr>
                <w:spacing w:val="-4"/>
                <w:sz w:val="16"/>
              </w:rPr>
              <w:t>0.91</w:t>
            </w:r>
          </w:p>
        </w:tc>
      </w:tr>
      <w:tr>
        <w:trPr>
          <w:trHeight w:val="194" w:hRule="atLeast"/>
        </w:trPr>
        <w:tc>
          <w:tcPr>
            <w:tcW w:w="1411" w:type="dxa"/>
            <w:tcBorders>
              <w:top w:val="nil"/>
            </w:tcBorders>
          </w:tcPr>
          <w:p>
            <w:pPr>
              <w:pStyle w:val="TableParagraph"/>
              <w:spacing w:line="174" w:lineRule="exact"/>
              <w:ind w:left="122"/>
              <w:jc w:val="left"/>
              <w:rPr>
                <w:i/>
                <w:sz w:val="16"/>
              </w:rPr>
            </w:pPr>
            <w:r>
              <w:rPr>
                <w:i/>
                <w:sz w:val="16"/>
              </w:rPr>
              <w:t>L.</w:t>
            </w:r>
            <w:r>
              <w:rPr>
                <w:i/>
                <w:spacing w:val="13"/>
                <w:sz w:val="16"/>
              </w:rPr>
              <w:t> </w:t>
            </w:r>
            <w:r>
              <w:rPr>
                <w:i/>
                <w:spacing w:val="-2"/>
                <w:sz w:val="16"/>
              </w:rPr>
              <w:t>monocytogenes</w:t>
            </w:r>
          </w:p>
        </w:tc>
        <w:tc>
          <w:tcPr>
            <w:tcW w:w="1618" w:type="dxa"/>
            <w:tcBorders>
              <w:top w:val="nil"/>
            </w:tcBorders>
          </w:tcPr>
          <w:p>
            <w:pPr>
              <w:pStyle w:val="TableParagraph"/>
              <w:spacing w:line="174" w:lineRule="exact"/>
              <w:ind w:left="122"/>
              <w:jc w:val="left"/>
              <w:rPr>
                <w:sz w:val="16"/>
              </w:rPr>
            </w:pPr>
            <w:r>
              <w:rPr>
                <w:spacing w:val="-2"/>
                <w:sz w:val="16"/>
              </w:rPr>
              <w:t>Direct</w:t>
            </w:r>
          </w:p>
        </w:tc>
        <w:tc>
          <w:tcPr>
            <w:tcW w:w="1047" w:type="dxa"/>
            <w:tcBorders>
              <w:top w:val="nil"/>
            </w:tcBorders>
          </w:tcPr>
          <w:p>
            <w:pPr>
              <w:pStyle w:val="TableParagraph"/>
              <w:spacing w:line="174" w:lineRule="exact"/>
              <w:ind w:left="6"/>
              <w:rPr>
                <w:sz w:val="16"/>
              </w:rPr>
            </w:pPr>
            <w:r>
              <w:rPr>
                <w:spacing w:val="-4"/>
                <w:sz w:val="16"/>
              </w:rPr>
              <w:t>0.22</w:t>
            </w:r>
          </w:p>
        </w:tc>
        <w:tc>
          <w:tcPr>
            <w:tcW w:w="924" w:type="dxa"/>
            <w:tcBorders>
              <w:top w:val="nil"/>
            </w:tcBorders>
          </w:tcPr>
          <w:p>
            <w:pPr>
              <w:pStyle w:val="TableParagraph"/>
              <w:spacing w:line="174" w:lineRule="exact"/>
              <w:ind w:left="6"/>
              <w:rPr>
                <w:sz w:val="16"/>
              </w:rPr>
            </w:pPr>
            <w:r>
              <w:rPr>
                <w:spacing w:val="-4"/>
                <w:sz w:val="16"/>
              </w:rPr>
              <w:t>8.43</w:t>
            </w:r>
          </w:p>
        </w:tc>
        <w:tc>
          <w:tcPr>
            <w:tcW w:w="526" w:type="dxa"/>
            <w:tcBorders>
              <w:top w:val="nil"/>
            </w:tcBorders>
          </w:tcPr>
          <w:p>
            <w:pPr>
              <w:pStyle w:val="TableParagraph"/>
              <w:spacing w:line="174" w:lineRule="exact"/>
              <w:ind w:right="1"/>
              <w:rPr>
                <w:sz w:val="16"/>
              </w:rPr>
            </w:pPr>
            <w:r>
              <w:rPr>
                <w:spacing w:val="-4"/>
                <w:sz w:val="16"/>
              </w:rPr>
              <w:t>0.93</w:t>
            </w:r>
          </w:p>
        </w:tc>
      </w:tr>
    </w:tbl>
    <w:p>
      <w:pPr>
        <w:pStyle w:val="BodyText"/>
        <w:ind w:left="0"/>
        <w:jc w:val="left"/>
        <w:rPr>
          <w:sz w:val="12"/>
        </w:rPr>
      </w:pPr>
    </w:p>
    <w:p>
      <w:pPr>
        <w:pStyle w:val="BodyText"/>
        <w:ind w:left="0"/>
        <w:jc w:val="left"/>
        <w:rPr>
          <w:sz w:val="12"/>
        </w:rPr>
      </w:pPr>
    </w:p>
    <w:p>
      <w:pPr>
        <w:pStyle w:val="BodyText"/>
        <w:spacing w:before="114"/>
        <w:ind w:left="0"/>
        <w:jc w:val="left"/>
        <w:rPr>
          <w:sz w:val="12"/>
        </w:rPr>
      </w:pPr>
    </w:p>
    <w:p>
      <w:pPr>
        <w:spacing w:line="182" w:lineRule="exact" w:before="0"/>
        <w:ind w:left="169" w:right="587" w:firstLine="0"/>
        <w:jc w:val="center"/>
        <w:rPr>
          <w:sz w:val="16"/>
        </w:rPr>
      </w:pPr>
      <w:bookmarkStart w:name="_bookmark1" w:id="19"/>
      <w:bookmarkEnd w:id="19"/>
      <w:r>
        <w:rPr/>
      </w:r>
      <w:r>
        <w:rPr>
          <w:spacing w:val="-2"/>
          <w:sz w:val="16"/>
        </w:rPr>
        <w:t>TABLE</w:t>
      </w:r>
      <w:r>
        <w:rPr>
          <w:spacing w:val="4"/>
          <w:sz w:val="16"/>
        </w:rPr>
        <w:t> </w:t>
      </w:r>
      <w:r>
        <w:rPr>
          <w:spacing w:val="-5"/>
          <w:sz w:val="16"/>
        </w:rPr>
        <w:t>IV</w:t>
      </w:r>
    </w:p>
    <w:p>
      <w:pPr>
        <w:spacing w:line="218" w:lineRule="auto" w:before="12"/>
        <w:ind w:left="186" w:right="604" w:firstLine="0"/>
        <w:jc w:val="center"/>
        <w:rPr>
          <w:sz w:val="16"/>
        </w:rPr>
      </w:pPr>
      <w:r>
        <w:rPr>
          <w:smallCaps/>
          <w:position w:val="2"/>
          <w:sz w:val="16"/>
        </w:rPr>
        <w:t>Moisture</w:t>
      </w:r>
      <w:r>
        <w:rPr>
          <w:smallCaps/>
          <w:spacing w:val="35"/>
          <w:position w:val="2"/>
          <w:sz w:val="16"/>
        </w:rPr>
        <w:t> </w:t>
      </w:r>
      <w:r>
        <w:rPr>
          <w:smallCaps/>
          <w:position w:val="2"/>
          <w:sz w:val="16"/>
        </w:rPr>
        <w:t>Content</w:t>
      </w:r>
      <w:r>
        <w:rPr>
          <w:smallCaps/>
          <w:spacing w:val="35"/>
          <w:position w:val="2"/>
          <w:sz w:val="16"/>
        </w:rPr>
        <w:t> </w:t>
      </w:r>
      <w:r>
        <w:rPr>
          <w:smallCaps/>
          <w:position w:val="2"/>
          <w:sz w:val="16"/>
        </w:rPr>
        <w:t>and</w:t>
      </w:r>
      <w:r>
        <w:rPr>
          <w:smallCaps/>
          <w:spacing w:val="35"/>
          <w:position w:val="2"/>
          <w:sz w:val="16"/>
        </w:rPr>
        <w:t> </w:t>
      </w:r>
      <w:r>
        <w:rPr>
          <w:smallCaps/>
          <w:position w:val="2"/>
          <w:sz w:val="16"/>
        </w:rPr>
        <w:t>Water</w:t>
      </w:r>
      <w:r>
        <w:rPr>
          <w:smallCaps/>
          <w:spacing w:val="35"/>
          <w:position w:val="2"/>
          <w:sz w:val="16"/>
        </w:rPr>
        <w:t> </w:t>
      </w:r>
      <w:r>
        <w:rPr>
          <w:smallCaps/>
          <w:position w:val="2"/>
          <w:sz w:val="16"/>
        </w:rPr>
        <w:t>Activity</w:t>
      </w:r>
      <w:r>
        <w:rPr>
          <w:smallCaps/>
          <w:spacing w:val="35"/>
          <w:position w:val="2"/>
          <w:sz w:val="16"/>
        </w:rPr>
        <w:t> </w:t>
      </w:r>
      <w:r>
        <w:rPr>
          <w:smallCaps/>
          <w:position w:val="2"/>
          <w:sz w:val="16"/>
        </w:rPr>
        <w:t>(</w:t>
      </w:r>
      <w:r>
        <w:rPr>
          <w:i/>
          <w:smallCaps w:val="0"/>
          <w:position w:val="2"/>
          <w:sz w:val="16"/>
        </w:rPr>
        <w:t>a</w:t>
      </w:r>
      <w:r>
        <w:rPr>
          <w:i/>
          <w:smallCaps w:val="0"/>
          <w:sz w:val="12"/>
        </w:rPr>
        <w:t>w</w:t>
      </w:r>
      <w:r>
        <w:rPr>
          <w:i/>
          <w:smallCaps w:val="0"/>
          <w:spacing w:val="-11"/>
          <w:sz w:val="12"/>
        </w:rPr>
        <w:t> </w:t>
      </w:r>
      <w:r>
        <w:rPr>
          <w:smallCaps/>
          <w:position w:val="2"/>
          <w:sz w:val="16"/>
        </w:rPr>
        <w:t>)</w:t>
      </w:r>
      <w:r>
        <w:rPr>
          <w:smallCaps/>
          <w:spacing w:val="25"/>
          <w:position w:val="2"/>
          <w:sz w:val="16"/>
        </w:rPr>
        <w:t> </w:t>
      </w:r>
      <w:r>
        <w:rPr>
          <w:smallCaps/>
          <w:position w:val="2"/>
          <w:sz w:val="16"/>
        </w:rPr>
        <w:t>of</w:t>
      </w:r>
      <w:r>
        <w:rPr>
          <w:smallCaps/>
          <w:spacing w:val="35"/>
          <w:position w:val="2"/>
          <w:sz w:val="16"/>
        </w:rPr>
        <w:t> </w:t>
      </w:r>
      <w:r>
        <w:rPr>
          <w:smallCaps/>
          <w:position w:val="2"/>
          <w:sz w:val="16"/>
        </w:rPr>
        <w:t>Almonds</w:t>
      </w:r>
      <w:r>
        <w:rPr>
          <w:smallCaps/>
          <w:spacing w:val="35"/>
          <w:position w:val="2"/>
          <w:sz w:val="16"/>
        </w:rPr>
        <w:t> </w:t>
      </w:r>
      <w:r>
        <w:rPr>
          <w:smallCaps/>
          <w:position w:val="2"/>
          <w:sz w:val="16"/>
        </w:rPr>
        <w:t>Soaked</w:t>
      </w:r>
      <w:r>
        <w:rPr>
          <w:smallCaps/>
          <w:spacing w:val="40"/>
          <w:position w:val="2"/>
          <w:sz w:val="16"/>
        </w:rPr>
        <w:t> </w:t>
      </w:r>
      <w:r>
        <w:rPr>
          <w:smallCaps/>
          <w:sz w:val="16"/>
        </w:rPr>
        <w:t>at</w:t>
      </w:r>
      <w:r>
        <w:rPr>
          <w:smallCaps/>
          <w:sz w:val="16"/>
        </w:rPr>
        <w:t> Various</w:t>
      </w:r>
      <w:r>
        <w:rPr>
          <w:smallCaps/>
          <w:sz w:val="16"/>
        </w:rPr>
        <w:t> Temperatures</w:t>
      </w:r>
      <w:r>
        <w:rPr>
          <w:smallCaps/>
          <w:sz w:val="16"/>
        </w:rPr>
        <w:t> and</w:t>
      </w:r>
      <w:r>
        <w:rPr>
          <w:smallCaps/>
          <w:sz w:val="16"/>
        </w:rPr>
        <w:t> Times</w:t>
      </w:r>
    </w:p>
    <w:p>
      <w:pPr>
        <w:pStyle w:val="BodyText"/>
        <w:spacing w:before="7"/>
        <w:ind w:left="0"/>
        <w:jc w:val="left"/>
        <w:rPr>
          <w:sz w:val="15"/>
        </w:rPr>
      </w:pPr>
    </w:p>
    <w:tbl>
      <w:tblPr>
        <w:tblW w:w="0" w:type="auto"/>
        <w:jc w:val="left"/>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3"/>
        <w:gridCol w:w="976"/>
        <w:gridCol w:w="1190"/>
        <w:gridCol w:w="1208"/>
      </w:tblGrid>
      <w:tr>
        <w:trPr>
          <w:trHeight w:val="177" w:hRule="atLeast"/>
        </w:trPr>
        <w:tc>
          <w:tcPr>
            <w:tcW w:w="853" w:type="dxa"/>
          </w:tcPr>
          <w:p>
            <w:pPr>
              <w:pStyle w:val="TableParagraph"/>
              <w:spacing w:line="157" w:lineRule="exact"/>
              <w:rPr>
                <w:b/>
                <w:sz w:val="16"/>
              </w:rPr>
            </w:pPr>
            <w:r>
              <w:rPr>
                <w:b/>
                <w:sz w:val="16"/>
              </w:rPr>
              <w:t>Time</w:t>
            </w:r>
            <w:r>
              <w:rPr>
                <w:b/>
                <w:spacing w:val="12"/>
                <w:sz w:val="16"/>
              </w:rPr>
              <w:t> </w:t>
            </w:r>
            <w:r>
              <w:rPr>
                <w:b/>
                <w:spacing w:val="-5"/>
                <w:sz w:val="16"/>
              </w:rPr>
              <w:t>(h)</w:t>
            </w:r>
          </w:p>
        </w:tc>
        <w:tc>
          <w:tcPr>
            <w:tcW w:w="976" w:type="dxa"/>
          </w:tcPr>
          <w:p>
            <w:pPr>
              <w:pStyle w:val="TableParagraph"/>
              <w:spacing w:line="157" w:lineRule="exact"/>
              <w:rPr>
                <w:b/>
                <w:sz w:val="16"/>
              </w:rPr>
            </w:pPr>
            <w:r>
              <w:rPr>
                <w:b/>
                <w:sz w:val="16"/>
              </w:rPr>
              <w:t>Temp </w:t>
            </w:r>
            <w:r>
              <w:rPr>
                <w:b/>
                <w:spacing w:val="-4"/>
                <w:sz w:val="16"/>
              </w:rPr>
              <w:t>(°C)</w:t>
            </w:r>
          </w:p>
        </w:tc>
        <w:tc>
          <w:tcPr>
            <w:tcW w:w="1190" w:type="dxa"/>
          </w:tcPr>
          <w:p>
            <w:pPr>
              <w:pStyle w:val="TableParagraph"/>
              <w:spacing w:line="157" w:lineRule="exact"/>
              <w:ind w:left="6"/>
              <w:rPr>
                <w:b/>
                <w:sz w:val="16"/>
              </w:rPr>
            </w:pPr>
            <w:r>
              <w:rPr>
                <w:b/>
                <w:sz w:val="16"/>
              </w:rPr>
              <w:t>Moisture</w:t>
            </w:r>
            <w:r>
              <w:rPr>
                <w:b/>
                <w:spacing w:val="9"/>
                <w:sz w:val="16"/>
              </w:rPr>
              <w:t> </w:t>
            </w:r>
            <w:r>
              <w:rPr>
                <w:b/>
                <w:spacing w:val="-5"/>
                <w:sz w:val="16"/>
              </w:rPr>
              <w:t>(%)</w:t>
            </w:r>
          </w:p>
        </w:tc>
        <w:tc>
          <w:tcPr>
            <w:tcW w:w="1208" w:type="dxa"/>
          </w:tcPr>
          <w:p>
            <w:pPr>
              <w:pStyle w:val="TableParagraph"/>
              <w:spacing w:line="157" w:lineRule="exact"/>
              <w:ind w:left="5" w:right="7"/>
              <w:rPr>
                <w:b/>
                <w:i/>
                <w:sz w:val="12"/>
              </w:rPr>
            </w:pPr>
            <w:r>
              <w:rPr>
                <w:b/>
                <w:i/>
                <w:spacing w:val="-5"/>
                <w:position w:val="2"/>
                <w:sz w:val="16"/>
              </w:rPr>
              <w:t>a</w:t>
            </w:r>
            <w:r>
              <w:rPr>
                <w:b/>
                <w:i/>
                <w:spacing w:val="-5"/>
                <w:sz w:val="12"/>
              </w:rPr>
              <w:t>w</w:t>
            </w:r>
          </w:p>
        </w:tc>
      </w:tr>
      <w:tr>
        <w:trPr>
          <w:trHeight w:val="162" w:hRule="atLeast"/>
        </w:trPr>
        <w:tc>
          <w:tcPr>
            <w:tcW w:w="853" w:type="dxa"/>
            <w:tcBorders>
              <w:bottom w:val="nil"/>
            </w:tcBorders>
          </w:tcPr>
          <w:p>
            <w:pPr>
              <w:pStyle w:val="TableParagraph"/>
              <w:spacing w:line="143" w:lineRule="exact"/>
              <w:rPr>
                <w:sz w:val="16"/>
              </w:rPr>
            </w:pPr>
            <w:r>
              <w:rPr>
                <w:spacing w:val="-10"/>
                <w:sz w:val="16"/>
              </w:rPr>
              <w:t>0</w:t>
            </w:r>
          </w:p>
        </w:tc>
        <w:tc>
          <w:tcPr>
            <w:tcW w:w="976" w:type="dxa"/>
            <w:tcBorders>
              <w:bottom w:val="nil"/>
            </w:tcBorders>
          </w:tcPr>
          <w:p>
            <w:pPr>
              <w:pStyle w:val="TableParagraph"/>
              <w:spacing w:line="143" w:lineRule="exact"/>
              <w:rPr>
                <w:sz w:val="16"/>
              </w:rPr>
            </w:pPr>
            <w:r>
              <w:rPr>
                <w:spacing w:val="-5"/>
                <w:sz w:val="16"/>
              </w:rPr>
              <w:t>23</w:t>
            </w:r>
          </w:p>
        </w:tc>
        <w:tc>
          <w:tcPr>
            <w:tcW w:w="1190" w:type="dxa"/>
            <w:tcBorders>
              <w:bottom w:val="nil"/>
            </w:tcBorders>
          </w:tcPr>
          <w:p>
            <w:pPr>
              <w:pStyle w:val="TableParagraph"/>
              <w:spacing w:line="143" w:lineRule="exact"/>
              <w:ind w:left="192"/>
              <w:jc w:val="left"/>
              <w:rPr>
                <w:sz w:val="16"/>
              </w:rPr>
            </w:pPr>
            <w:r>
              <w:rPr>
                <w:sz w:val="16"/>
              </w:rPr>
              <w:t>5.27</w:t>
            </w:r>
            <w:r>
              <w:rPr>
                <w:spacing w:val="13"/>
                <w:sz w:val="16"/>
              </w:rPr>
              <w:t> </w:t>
            </w:r>
            <w:r>
              <w:rPr>
                <w:rFonts w:ascii="Verdana" w:hAnsi="Verdana"/>
                <w:i/>
                <w:sz w:val="16"/>
              </w:rPr>
              <w:t>±</w:t>
            </w:r>
            <w:r>
              <w:rPr>
                <w:rFonts w:ascii="Verdana" w:hAnsi="Verdana"/>
                <w:i/>
                <w:spacing w:val="-2"/>
                <w:sz w:val="16"/>
              </w:rPr>
              <w:t> </w:t>
            </w:r>
            <w:r>
              <w:rPr>
                <w:spacing w:val="-4"/>
                <w:sz w:val="16"/>
              </w:rPr>
              <w:t>0.11</w:t>
            </w:r>
          </w:p>
        </w:tc>
        <w:tc>
          <w:tcPr>
            <w:tcW w:w="1208" w:type="dxa"/>
            <w:tcBorders>
              <w:bottom w:val="nil"/>
            </w:tcBorders>
          </w:tcPr>
          <w:p>
            <w:pPr>
              <w:pStyle w:val="TableParagraph"/>
              <w:spacing w:line="143" w:lineRule="exact"/>
              <w:ind w:left="121"/>
              <w:jc w:val="left"/>
              <w:rPr>
                <w:sz w:val="16"/>
              </w:rPr>
            </w:pPr>
            <w:r>
              <w:rPr>
                <w:sz w:val="16"/>
              </w:rPr>
              <w:t>0.564</w:t>
            </w:r>
            <w:r>
              <w:rPr>
                <w:spacing w:val="13"/>
                <w:sz w:val="16"/>
              </w:rPr>
              <w:t> </w:t>
            </w:r>
            <w:r>
              <w:rPr>
                <w:rFonts w:ascii="Verdana" w:hAnsi="Verdana"/>
                <w:i/>
                <w:sz w:val="16"/>
              </w:rPr>
              <w:t>±</w:t>
            </w:r>
            <w:r>
              <w:rPr>
                <w:rFonts w:ascii="Verdana" w:hAnsi="Verdana"/>
                <w:i/>
                <w:spacing w:val="-3"/>
                <w:sz w:val="16"/>
              </w:rPr>
              <w:t> </w:t>
            </w:r>
            <w:r>
              <w:rPr>
                <w:spacing w:val="-2"/>
                <w:sz w:val="16"/>
              </w:rPr>
              <w:t>0.026</w:t>
            </w:r>
          </w:p>
        </w:tc>
      </w:tr>
      <w:tr>
        <w:trPr>
          <w:trHeight w:val="179" w:hRule="atLeast"/>
        </w:trPr>
        <w:tc>
          <w:tcPr>
            <w:tcW w:w="853" w:type="dxa"/>
            <w:tcBorders>
              <w:top w:val="nil"/>
              <w:bottom w:val="nil"/>
            </w:tcBorders>
          </w:tcPr>
          <w:p>
            <w:pPr>
              <w:pStyle w:val="TableParagraph"/>
              <w:rPr>
                <w:sz w:val="16"/>
              </w:rPr>
            </w:pPr>
            <w:r>
              <w:rPr>
                <w:spacing w:val="-10"/>
                <w:sz w:val="16"/>
              </w:rPr>
              <w:t>8</w:t>
            </w:r>
          </w:p>
        </w:tc>
        <w:tc>
          <w:tcPr>
            <w:tcW w:w="976" w:type="dxa"/>
            <w:tcBorders>
              <w:top w:val="nil"/>
              <w:bottom w:val="nil"/>
            </w:tcBorders>
          </w:tcPr>
          <w:p>
            <w:pPr>
              <w:pStyle w:val="TableParagraph"/>
              <w:rPr>
                <w:sz w:val="16"/>
              </w:rPr>
            </w:pPr>
            <w:r>
              <w:rPr>
                <w:spacing w:val="-5"/>
                <w:sz w:val="16"/>
              </w:rPr>
              <w:t>23</w:t>
            </w:r>
          </w:p>
        </w:tc>
        <w:tc>
          <w:tcPr>
            <w:tcW w:w="1190" w:type="dxa"/>
            <w:tcBorders>
              <w:top w:val="nil"/>
              <w:bottom w:val="nil"/>
            </w:tcBorders>
          </w:tcPr>
          <w:p>
            <w:pPr>
              <w:pStyle w:val="TableParagraph"/>
              <w:ind w:left="152"/>
              <w:jc w:val="left"/>
              <w:rPr>
                <w:sz w:val="16"/>
              </w:rPr>
            </w:pPr>
            <w:r>
              <w:rPr>
                <w:sz w:val="16"/>
              </w:rPr>
              <w:t>30.73</w:t>
            </w:r>
            <w:r>
              <w:rPr>
                <w:spacing w:val="13"/>
                <w:sz w:val="16"/>
              </w:rPr>
              <w:t> </w:t>
            </w:r>
            <w:r>
              <w:rPr>
                <w:rFonts w:ascii="Verdana" w:hAnsi="Verdana"/>
                <w:i/>
                <w:sz w:val="16"/>
              </w:rPr>
              <w:t>±</w:t>
            </w:r>
            <w:r>
              <w:rPr>
                <w:rFonts w:ascii="Verdana" w:hAnsi="Verdana"/>
                <w:i/>
                <w:spacing w:val="-3"/>
                <w:sz w:val="16"/>
              </w:rPr>
              <w:t> </w:t>
            </w:r>
            <w:r>
              <w:rPr>
                <w:spacing w:val="-4"/>
                <w:sz w:val="16"/>
              </w:rPr>
              <w:t>2.00</w:t>
            </w:r>
          </w:p>
        </w:tc>
        <w:tc>
          <w:tcPr>
            <w:tcW w:w="1208" w:type="dxa"/>
            <w:tcBorders>
              <w:top w:val="nil"/>
              <w:bottom w:val="nil"/>
            </w:tcBorders>
          </w:tcPr>
          <w:p>
            <w:pPr>
              <w:pStyle w:val="TableParagraph"/>
              <w:ind w:left="10" w:right="5"/>
              <w:rPr>
                <w:sz w:val="16"/>
              </w:rPr>
            </w:pPr>
            <w:r>
              <w:rPr>
                <w:sz w:val="16"/>
              </w:rPr>
              <w:t>0.980</w:t>
            </w:r>
            <w:r>
              <w:rPr>
                <w:spacing w:val="13"/>
                <w:sz w:val="16"/>
              </w:rPr>
              <w:t> </w:t>
            </w:r>
            <w:r>
              <w:rPr>
                <w:rFonts w:ascii="Verdana" w:hAnsi="Verdana"/>
                <w:i/>
                <w:sz w:val="16"/>
              </w:rPr>
              <w:t>±</w:t>
            </w:r>
            <w:r>
              <w:rPr>
                <w:rFonts w:ascii="Verdana" w:hAnsi="Verdana"/>
                <w:i/>
                <w:spacing w:val="-3"/>
                <w:sz w:val="16"/>
              </w:rPr>
              <w:t> </w:t>
            </w:r>
            <w:r>
              <w:rPr>
                <w:spacing w:val="-2"/>
                <w:sz w:val="16"/>
              </w:rPr>
              <w:t>0.003</w:t>
            </w:r>
          </w:p>
        </w:tc>
      </w:tr>
      <w:tr>
        <w:trPr>
          <w:trHeight w:val="179" w:hRule="atLeast"/>
        </w:trPr>
        <w:tc>
          <w:tcPr>
            <w:tcW w:w="853" w:type="dxa"/>
            <w:tcBorders>
              <w:top w:val="nil"/>
              <w:bottom w:val="nil"/>
            </w:tcBorders>
          </w:tcPr>
          <w:p>
            <w:pPr>
              <w:pStyle w:val="TableParagraph"/>
              <w:rPr>
                <w:sz w:val="16"/>
              </w:rPr>
            </w:pPr>
            <w:r>
              <w:rPr>
                <w:spacing w:val="-5"/>
                <w:sz w:val="16"/>
              </w:rPr>
              <w:t>12</w:t>
            </w:r>
          </w:p>
        </w:tc>
        <w:tc>
          <w:tcPr>
            <w:tcW w:w="976" w:type="dxa"/>
            <w:tcBorders>
              <w:top w:val="nil"/>
              <w:bottom w:val="nil"/>
            </w:tcBorders>
          </w:tcPr>
          <w:p>
            <w:pPr>
              <w:pStyle w:val="TableParagraph"/>
              <w:rPr>
                <w:sz w:val="16"/>
              </w:rPr>
            </w:pPr>
            <w:r>
              <w:rPr>
                <w:spacing w:val="-5"/>
                <w:sz w:val="16"/>
              </w:rPr>
              <w:t>23</w:t>
            </w:r>
          </w:p>
        </w:tc>
        <w:tc>
          <w:tcPr>
            <w:tcW w:w="1190" w:type="dxa"/>
            <w:tcBorders>
              <w:top w:val="nil"/>
              <w:bottom w:val="nil"/>
            </w:tcBorders>
          </w:tcPr>
          <w:p>
            <w:pPr>
              <w:pStyle w:val="TableParagraph"/>
              <w:ind w:left="152"/>
              <w:jc w:val="left"/>
              <w:rPr>
                <w:sz w:val="16"/>
              </w:rPr>
            </w:pPr>
            <w:r>
              <w:rPr>
                <w:sz w:val="16"/>
              </w:rPr>
              <w:t>34.91</w:t>
            </w:r>
            <w:r>
              <w:rPr>
                <w:spacing w:val="13"/>
                <w:sz w:val="16"/>
              </w:rPr>
              <w:t> </w:t>
            </w:r>
            <w:r>
              <w:rPr>
                <w:rFonts w:ascii="Verdana" w:hAnsi="Verdana"/>
                <w:i/>
                <w:sz w:val="16"/>
              </w:rPr>
              <w:t>±</w:t>
            </w:r>
            <w:r>
              <w:rPr>
                <w:rFonts w:ascii="Verdana" w:hAnsi="Verdana"/>
                <w:i/>
                <w:spacing w:val="-3"/>
                <w:sz w:val="16"/>
              </w:rPr>
              <w:t> </w:t>
            </w:r>
            <w:r>
              <w:rPr>
                <w:spacing w:val="-4"/>
                <w:sz w:val="16"/>
              </w:rPr>
              <w:t>1.99</w:t>
            </w:r>
          </w:p>
        </w:tc>
        <w:tc>
          <w:tcPr>
            <w:tcW w:w="1208" w:type="dxa"/>
            <w:tcBorders>
              <w:top w:val="nil"/>
              <w:bottom w:val="nil"/>
            </w:tcBorders>
          </w:tcPr>
          <w:p>
            <w:pPr>
              <w:pStyle w:val="TableParagraph"/>
              <w:ind w:left="10" w:right="5"/>
              <w:rPr>
                <w:sz w:val="16"/>
              </w:rPr>
            </w:pPr>
            <w:r>
              <w:rPr>
                <w:sz w:val="16"/>
              </w:rPr>
              <w:t>0.987</w:t>
            </w:r>
            <w:r>
              <w:rPr>
                <w:spacing w:val="13"/>
                <w:sz w:val="16"/>
              </w:rPr>
              <w:t> </w:t>
            </w:r>
            <w:r>
              <w:rPr>
                <w:rFonts w:ascii="Verdana" w:hAnsi="Verdana"/>
                <w:i/>
                <w:sz w:val="16"/>
              </w:rPr>
              <w:t>±</w:t>
            </w:r>
            <w:r>
              <w:rPr>
                <w:rFonts w:ascii="Verdana" w:hAnsi="Verdana"/>
                <w:i/>
                <w:spacing w:val="-3"/>
                <w:sz w:val="16"/>
              </w:rPr>
              <w:t> </w:t>
            </w:r>
            <w:r>
              <w:rPr>
                <w:spacing w:val="-2"/>
                <w:sz w:val="16"/>
              </w:rPr>
              <w:t>0.002</w:t>
            </w:r>
          </w:p>
        </w:tc>
      </w:tr>
      <w:tr>
        <w:trPr>
          <w:trHeight w:val="179" w:hRule="atLeast"/>
        </w:trPr>
        <w:tc>
          <w:tcPr>
            <w:tcW w:w="853" w:type="dxa"/>
            <w:tcBorders>
              <w:top w:val="nil"/>
              <w:bottom w:val="nil"/>
            </w:tcBorders>
          </w:tcPr>
          <w:p>
            <w:pPr>
              <w:pStyle w:val="TableParagraph"/>
              <w:rPr>
                <w:sz w:val="16"/>
              </w:rPr>
            </w:pPr>
            <w:r>
              <w:rPr>
                <w:spacing w:val="-5"/>
                <w:sz w:val="16"/>
              </w:rPr>
              <w:t>16</w:t>
            </w:r>
          </w:p>
        </w:tc>
        <w:tc>
          <w:tcPr>
            <w:tcW w:w="976" w:type="dxa"/>
            <w:tcBorders>
              <w:top w:val="nil"/>
              <w:bottom w:val="nil"/>
            </w:tcBorders>
          </w:tcPr>
          <w:p>
            <w:pPr>
              <w:pStyle w:val="TableParagraph"/>
              <w:rPr>
                <w:sz w:val="16"/>
              </w:rPr>
            </w:pPr>
            <w:r>
              <w:rPr>
                <w:spacing w:val="-5"/>
                <w:sz w:val="16"/>
              </w:rPr>
              <w:t>23</w:t>
            </w:r>
          </w:p>
        </w:tc>
        <w:tc>
          <w:tcPr>
            <w:tcW w:w="1190" w:type="dxa"/>
            <w:tcBorders>
              <w:top w:val="nil"/>
              <w:bottom w:val="nil"/>
            </w:tcBorders>
          </w:tcPr>
          <w:p>
            <w:pPr>
              <w:pStyle w:val="TableParagraph"/>
              <w:ind w:left="152"/>
              <w:jc w:val="left"/>
              <w:rPr>
                <w:sz w:val="16"/>
              </w:rPr>
            </w:pPr>
            <w:r>
              <w:rPr>
                <w:sz w:val="16"/>
              </w:rPr>
              <w:t>37.40</w:t>
            </w:r>
            <w:r>
              <w:rPr>
                <w:spacing w:val="13"/>
                <w:sz w:val="16"/>
              </w:rPr>
              <w:t> </w:t>
            </w:r>
            <w:r>
              <w:rPr>
                <w:rFonts w:ascii="Verdana" w:hAnsi="Verdana"/>
                <w:i/>
                <w:sz w:val="16"/>
              </w:rPr>
              <w:t>±</w:t>
            </w:r>
            <w:r>
              <w:rPr>
                <w:rFonts w:ascii="Verdana" w:hAnsi="Verdana"/>
                <w:i/>
                <w:spacing w:val="-3"/>
                <w:sz w:val="16"/>
              </w:rPr>
              <w:t> </w:t>
            </w:r>
            <w:r>
              <w:rPr>
                <w:spacing w:val="-4"/>
                <w:sz w:val="16"/>
              </w:rPr>
              <w:t>1.30</w:t>
            </w:r>
          </w:p>
        </w:tc>
        <w:tc>
          <w:tcPr>
            <w:tcW w:w="1208" w:type="dxa"/>
            <w:tcBorders>
              <w:top w:val="nil"/>
              <w:bottom w:val="nil"/>
            </w:tcBorders>
          </w:tcPr>
          <w:p>
            <w:pPr>
              <w:pStyle w:val="TableParagraph"/>
              <w:ind w:left="10" w:right="5"/>
              <w:rPr>
                <w:sz w:val="16"/>
              </w:rPr>
            </w:pPr>
            <w:r>
              <w:rPr>
                <w:sz w:val="16"/>
              </w:rPr>
              <w:t>0.988</w:t>
            </w:r>
            <w:r>
              <w:rPr>
                <w:spacing w:val="13"/>
                <w:sz w:val="16"/>
              </w:rPr>
              <w:t> </w:t>
            </w:r>
            <w:r>
              <w:rPr>
                <w:rFonts w:ascii="Verdana" w:hAnsi="Verdana"/>
                <w:i/>
                <w:sz w:val="16"/>
              </w:rPr>
              <w:t>±</w:t>
            </w:r>
            <w:r>
              <w:rPr>
                <w:rFonts w:ascii="Verdana" w:hAnsi="Verdana"/>
                <w:i/>
                <w:spacing w:val="-3"/>
                <w:sz w:val="16"/>
              </w:rPr>
              <w:t> </w:t>
            </w:r>
            <w:r>
              <w:rPr>
                <w:spacing w:val="-2"/>
                <w:sz w:val="16"/>
              </w:rPr>
              <w:t>0.001</w:t>
            </w:r>
          </w:p>
        </w:tc>
      </w:tr>
      <w:tr>
        <w:trPr>
          <w:trHeight w:val="179" w:hRule="atLeast"/>
        </w:trPr>
        <w:tc>
          <w:tcPr>
            <w:tcW w:w="853" w:type="dxa"/>
            <w:tcBorders>
              <w:top w:val="nil"/>
              <w:bottom w:val="nil"/>
            </w:tcBorders>
          </w:tcPr>
          <w:p>
            <w:pPr>
              <w:pStyle w:val="TableParagraph"/>
              <w:rPr>
                <w:sz w:val="16"/>
              </w:rPr>
            </w:pPr>
            <w:r>
              <w:rPr>
                <w:spacing w:val="-5"/>
                <w:sz w:val="16"/>
              </w:rPr>
              <w:t>24</w:t>
            </w:r>
          </w:p>
        </w:tc>
        <w:tc>
          <w:tcPr>
            <w:tcW w:w="976" w:type="dxa"/>
            <w:tcBorders>
              <w:top w:val="nil"/>
              <w:bottom w:val="nil"/>
            </w:tcBorders>
          </w:tcPr>
          <w:p>
            <w:pPr>
              <w:pStyle w:val="TableParagraph"/>
              <w:rPr>
                <w:sz w:val="16"/>
              </w:rPr>
            </w:pPr>
            <w:r>
              <w:rPr>
                <w:spacing w:val="-5"/>
                <w:sz w:val="16"/>
              </w:rPr>
              <w:t>23</w:t>
            </w:r>
          </w:p>
        </w:tc>
        <w:tc>
          <w:tcPr>
            <w:tcW w:w="1190" w:type="dxa"/>
            <w:tcBorders>
              <w:top w:val="nil"/>
              <w:bottom w:val="nil"/>
            </w:tcBorders>
          </w:tcPr>
          <w:p>
            <w:pPr>
              <w:pStyle w:val="TableParagraph"/>
              <w:ind w:left="152"/>
              <w:jc w:val="left"/>
              <w:rPr>
                <w:sz w:val="16"/>
              </w:rPr>
            </w:pPr>
            <w:r>
              <w:rPr>
                <w:sz w:val="16"/>
              </w:rPr>
              <w:t>40.10</w:t>
            </w:r>
            <w:r>
              <w:rPr>
                <w:spacing w:val="13"/>
                <w:sz w:val="16"/>
              </w:rPr>
              <w:t> </w:t>
            </w:r>
            <w:r>
              <w:rPr>
                <w:rFonts w:ascii="Verdana" w:hAnsi="Verdana"/>
                <w:i/>
                <w:sz w:val="16"/>
              </w:rPr>
              <w:t>±</w:t>
            </w:r>
            <w:r>
              <w:rPr>
                <w:rFonts w:ascii="Verdana" w:hAnsi="Verdana"/>
                <w:i/>
                <w:spacing w:val="-3"/>
                <w:sz w:val="16"/>
              </w:rPr>
              <w:t> </w:t>
            </w:r>
            <w:r>
              <w:rPr>
                <w:spacing w:val="-4"/>
                <w:sz w:val="16"/>
              </w:rPr>
              <w:t>0.92</w:t>
            </w:r>
          </w:p>
        </w:tc>
        <w:tc>
          <w:tcPr>
            <w:tcW w:w="1208" w:type="dxa"/>
            <w:tcBorders>
              <w:top w:val="nil"/>
              <w:bottom w:val="nil"/>
            </w:tcBorders>
          </w:tcPr>
          <w:p>
            <w:pPr>
              <w:pStyle w:val="TableParagraph"/>
              <w:ind w:left="10" w:right="5"/>
              <w:rPr>
                <w:sz w:val="16"/>
              </w:rPr>
            </w:pPr>
            <w:r>
              <w:rPr>
                <w:sz w:val="16"/>
              </w:rPr>
              <w:t>0.990</w:t>
            </w:r>
            <w:r>
              <w:rPr>
                <w:spacing w:val="13"/>
                <w:sz w:val="16"/>
              </w:rPr>
              <w:t> </w:t>
            </w:r>
            <w:r>
              <w:rPr>
                <w:rFonts w:ascii="Verdana" w:hAnsi="Verdana"/>
                <w:i/>
                <w:sz w:val="16"/>
              </w:rPr>
              <w:t>±</w:t>
            </w:r>
            <w:r>
              <w:rPr>
                <w:rFonts w:ascii="Verdana" w:hAnsi="Verdana"/>
                <w:i/>
                <w:spacing w:val="-3"/>
                <w:sz w:val="16"/>
              </w:rPr>
              <w:t> </w:t>
            </w:r>
            <w:r>
              <w:rPr>
                <w:spacing w:val="-2"/>
                <w:sz w:val="16"/>
              </w:rPr>
              <w:t>0.002</w:t>
            </w:r>
          </w:p>
        </w:tc>
      </w:tr>
      <w:tr>
        <w:trPr>
          <w:trHeight w:val="179" w:hRule="atLeast"/>
        </w:trPr>
        <w:tc>
          <w:tcPr>
            <w:tcW w:w="853" w:type="dxa"/>
            <w:tcBorders>
              <w:top w:val="nil"/>
              <w:bottom w:val="nil"/>
            </w:tcBorders>
          </w:tcPr>
          <w:p>
            <w:pPr>
              <w:pStyle w:val="TableParagraph"/>
              <w:rPr>
                <w:sz w:val="16"/>
              </w:rPr>
            </w:pPr>
            <w:r>
              <w:rPr>
                <w:spacing w:val="-5"/>
                <w:sz w:val="16"/>
              </w:rPr>
              <w:t>24</w:t>
            </w:r>
          </w:p>
        </w:tc>
        <w:tc>
          <w:tcPr>
            <w:tcW w:w="976" w:type="dxa"/>
            <w:tcBorders>
              <w:top w:val="nil"/>
              <w:bottom w:val="nil"/>
            </w:tcBorders>
          </w:tcPr>
          <w:p>
            <w:pPr>
              <w:pStyle w:val="TableParagraph"/>
              <w:rPr>
                <w:sz w:val="16"/>
              </w:rPr>
            </w:pPr>
            <w:r>
              <w:rPr>
                <w:spacing w:val="-5"/>
                <w:sz w:val="16"/>
              </w:rPr>
              <w:t>18</w:t>
            </w:r>
          </w:p>
        </w:tc>
        <w:tc>
          <w:tcPr>
            <w:tcW w:w="1190" w:type="dxa"/>
            <w:tcBorders>
              <w:top w:val="nil"/>
              <w:bottom w:val="nil"/>
            </w:tcBorders>
          </w:tcPr>
          <w:p>
            <w:pPr>
              <w:pStyle w:val="TableParagraph"/>
              <w:ind w:left="152"/>
              <w:jc w:val="left"/>
              <w:rPr>
                <w:sz w:val="16"/>
              </w:rPr>
            </w:pPr>
            <w:r>
              <w:rPr>
                <w:sz w:val="16"/>
              </w:rPr>
              <w:t>38.57</w:t>
            </w:r>
            <w:r>
              <w:rPr>
                <w:spacing w:val="13"/>
                <w:sz w:val="16"/>
              </w:rPr>
              <w:t> </w:t>
            </w:r>
            <w:r>
              <w:rPr>
                <w:rFonts w:ascii="Verdana" w:hAnsi="Verdana"/>
                <w:i/>
                <w:sz w:val="16"/>
              </w:rPr>
              <w:t>±</w:t>
            </w:r>
            <w:r>
              <w:rPr>
                <w:rFonts w:ascii="Verdana" w:hAnsi="Verdana"/>
                <w:i/>
                <w:spacing w:val="-3"/>
                <w:sz w:val="16"/>
              </w:rPr>
              <w:t> </w:t>
            </w:r>
            <w:r>
              <w:rPr>
                <w:spacing w:val="-4"/>
                <w:sz w:val="16"/>
              </w:rPr>
              <w:t>2.05</w:t>
            </w:r>
          </w:p>
        </w:tc>
        <w:tc>
          <w:tcPr>
            <w:tcW w:w="1208" w:type="dxa"/>
            <w:tcBorders>
              <w:top w:val="nil"/>
              <w:bottom w:val="nil"/>
            </w:tcBorders>
          </w:tcPr>
          <w:p>
            <w:pPr>
              <w:pStyle w:val="TableParagraph"/>
              <w:ind w:left="10" w:right="5"/>
              <w:rPr>
                <w:sz w:val="16"/>
              </w:rPr>
            </w:pPr>
            <w:r>
              <w:rPr>
                <w:sz w:val="16"/>
              </w:rPr>
              <w:t>0.988</w:t>
            </w:r>
            <w:r>
              <w:rPr>
                <w:spacing w:val="13"/>
                <w:sz w:val="16"/>
              </w:rPr>
              <w:t> </w:t>
            </w:r>
            <w:r>
              <w:rPr>
                <w:rFonts w:ascii="Verdana" w:hAnsi="Verdana"/>
                <w:i/>
                <w:sz w:val="16"/>
              </w:rPr>
              <w:t>±</w:t>
            </w:r>
            <w:r>
              <w:rPr>
                <w:rFonts w:ascii="Verdana" w:hAnsi="Verdana"/>
                <w:i/>
                <w:spacing w:val="-3"/>
                <w:sz w:val="16"/>
              </w:rPr>
              <w:t> </w:t>
            </w:r>
            <w:r>
              <w:rPr>
                <w:spacing w:val="-2"/>
                <w:sz w:val="16"/>
              </w:rPr>
              <w:t>0.001</w:t>
            </w:r>
          </w:p>
        </w:tc>
      </w:tr>
      <w:tr>
        <w:trPr>
          <w:trHeight w:val="193" w:hRule="atLeast"/>
        </w:trPr>
        <w:tc>
          <w:tcPr>
            <w:tcW w:w="853" w:type="dxa"/>
            <w:tcBorders>
              <w:top w:val="nil"/>
            </w:tcBorders>
          </w:tcPr>
          <w:p>
            <w:pPr>
              <w:pStyle w:val="TableParagraph"/>
              <w:spacing w:line="174" w:lineRule="exact"/>
              <w:rPr>
                <w:sz w:val="16"/>
              </w:rPr>
            </w:pPr>
            <w:r>
              <w:rPr>
                <w:spacing w:val="-5"/>
                <w:sz w:val="16"/>
              </w:rPr>
              <w:t>24</w:t>
            </w:r>
          </w:p>
        </w:tc>
        <w:tc>
          <w:tcPr>
            <w:tcW w:w="976" w:type="dxa"/>
            <w:tcBorders>
              <w:top w:val="nil"/>
            </w:tcBorders>
          </w:tcPr>
          <w:p>
            <w:pPr>
              <w:pStyle w:val="TableParagraph"/>
              <w:spacing w:line="174" w:lineRule="exact"/>
              <w:rPr>
                <w:sz w:val="16"/>
              </w:rPr>
            </w:pPr>
            <w:r>
              <w:rPr>
                <w:spacing w:val="-5"/>
                <w:sz w:val="16"/>
              </w:rPr>
              <w:t>15</w:t>
            </w:r>
          </w:p>
        </w:tc>
        <w:tc>
          <w:tcPr>
            <w:tcW w:w="1190" w:type="dxa"/>
            <w:tcBorders>
              <w:top w:val="nil"/>
            </w:tcBorders>
          </w:tcPr>
          <w:p>
            <w:pPr>
              <w:pStyle w:val="TableParagraph"/>
              <w:spacing w:line="174" w:lineRule="exact"/>
              <w:ind w:left="152"/>
              <w:jc w:val="left"/>
              <w:rPr>
                <w:sz w:val="16"/>
              </w:rPr>
            </w:pPr>
            <w:r>
              <w:rPr>
                <w:sz w:val="16"/>
              </w:rPr>
              <w:t>38.54</w:t>
            </w:r>
            <w:r>
              <w:rPr>
                <w:spacing w:val="13"/>
                <w:sz w:val="16"/>
              </w:rPr>
              <w:t> </w:t>
            </w:r>
            <w:r>
              <w:rPr>
                <w:rFonts w:ascii="Verdana" w:hAnsi="Verdana"/>
                <w:i/>
                <w:sz w:val="16"/>
              </w:rPr>
              <w:t>±</w:t>
            </w:r>
            <w:r>
              <w:rPr>
                <w:rFonts w:ascii="Verdana" w:hAnsi="Verdana"/>
                <w:i/>
                <w:spacing w:val="-3"/>
                <w:sz w:val="16"/>
              </w:rPr>
              <w:t> </w:t>
            </w:r>
            <w:r>
              <w:rPr>
                <w:spacing w:val="-4"/>
                <w:sz w:val="16"/>
              </w:rPr>
              <w:t>1.74</w:t>
            </w:r>
          </w:p>
        </w:tc>
        <w:tc>
          <w:tcPr>
            <w:tcW w:w="1208" w:type="dxa"/>
            <w:tcBorders>
              <w:top w:val="nil"/>
            </w:tcBorders>
          </w:tcPr>
          <w:p>
            <w:pPr>
              <w:pStyle w:val="TableParagraph"/>
              <w:spacing w:line="174" w:lineRule="exact"/>
              <w:ind w:left="10" w:right="5"/>
              <w:rPr>
                <w:sz w:val="16"/>
              </w:rPr>
            </w:pPr>
            <w:r>
              <w:rPr>
                <w:sz w:val="16"/>
              </w:rPr>
              <w:t>0.989</w:t>
            </w:r>
            <w:r>
              <w:rPr>
                <w:spacing w:val="13"/>
                <w:sz w:val="16"/>
              </w:rPr>
              <w:t> </w:t>
            </w:r>
            <w:r>
              <w:rPr>
                <w:rFonts w:ascii="Verdana" w:hAnsi="Verdana"/>
                <w:i/>
                <w:sz w:val="16"/>
              </w:rPr>
              <w:t>±</w:t>
            </w:r>
            <w:r>
              <w:rPr>
                <w:rFonts w:ascii="Verdana" w:hAnsi="Verdana"/>
                <w:i/>
                <w:spacing w:val="-3"/>
                <w:sz w:val="16"/>
              </w:rPr>
              <w:t> </w:t>
            </w:r>
            <w:r>
              <w:rPr>
                <w:spacing w:val="-2"/>
                <w:sz w:val="16"/>
              </w:rPr>
              <w:t>0.001</w:t>
            </w:r>
          </w:p>
        </w:tc>
      </w:tr>
    </w:tbl>
    <w:p>
      <w:pPr>
        <w:pStyle w:val="TableParagraph"/>
        <w:spacing w:after="0" w:line="174" w:lineRule="exact"/>
        <w:rPr>
          <w:sz w:val="16"/>
        </w:rPr>
        <w:sectPr>
          <w:pgSz w:w="12240" w:h="15840"/>
          <w:pgMar w:top="920" w:bottom="280" w:left="720" w:right="360"/>
          <w:cols w:num="2" w:equalWidth="0">
            <w:col w:w="5281" w:space="40"/>
            <w:col w:w="5839"/>
          </w:cols>
        </w:sectPr>
      </w:pPr>
    </w:p>
    <w:p>
      <w:pPr>
        <w:spacing w:line="182" w:lineRule="exact" w:before="109"/>
        <w:ind w:left="259" w:right="0" w:firstLine="0"/>
        <w:jc w:val="center"/>
        <w:rPr>
          <w:sz w:val="16"/>
        </w:rPr>
      </w:pPr>
      <w:bookmarkStart w:name="_bookmark2" w:id="20"/>
      <w:bookmarkEnd w:id="20"/>
      <w:r>
        <w:rPr/>
      </w:r>
      <w:r>
        <w:rPr>
          <w:spacing w:val="-2"/>
          <w:sz w:val="16"/>
        </w:rPr>
        <w:t>TABLE</w:t>
      </w:r>
      <w:r>
        <w:rPr>
          <w:spacing w:val="4"/>
          <w:sz w:val="16"/>
        </w:rPr>
        <w:t> </w:t>
      </w:r>
      <w:r>
        <w:rPr>
          <w:spacing w:val="-10"/>
          <w:sz w:val="16"/>
        </w:rPr>
        <w:t>V</w:t>
      </w:r>
    </w:p>
    <w:p>
      <w:pPr>
        <w:spacing w:line="182" w:lineRule="exact" w:before="0"/>
        <w:ind w:left="259" w:right="0" w:firstLine="0"/>
        <w:jc w:val="center"/>
        <w:rPr>
          <w:sz w:val="16"/>
        </w:rPr>
      </w:pPr>
      <w:r>
        <w:rPr>
          <w:smallCaps/>
          <w:sz w:val="16"/>
        </w:rPr>
        <w:t>Drying</w:t>
      </w:r>
      <w:r>
        <w:rPr>
          <w:smallCaps/>
          <w:spacing w:val="24"/>
          <w:sz w:val="16"/>
        </w:rPr>
        <w:t> </w:t>
      </w:r>
      <w:r>
        <w:rPr>
          <w:smallCaps/>
          <w:sz w:val="16"/>
        </w:rPr>
        <w:t>Parameters</w:t>
      </w:r>
      <w:r>
        <w:rPr>
          <w:smallCaps/>
          <w:spacing w:val="24"/>
          <w:sz w:val="16"/>
        </w:rPr>
        <w:t> </w:t>
      </w:r>
      <w:r>
        <w:rPr>
          <w:smallCaps/>
          <w:sz w:val="16"/>
        </w:rPr>
        <w:t>and</w:t>
      </w:r>
      <w:r>
        <w:rPr>
          <w:smallCaps/>
          <w:spacing w:val="21"/>
          <w:sz w:val="16"/>
        </w:rPr>
        <w:t> </w:t>
      </w:r>
      <w:r>
        <w:rPr>
          <w:i/>
          <w:smallCaps w:val="0"/>
          <w:sz w:val="16"/>
        </w:rPr>
        <w:t>Salmonella</w:t>
      </w:r>
      <w:r>
        <w:rPr>
          <w:i/>
          <w:smallCaps w:val="0"/>
          <w:spacing w:val="13"/>
          <w:sz w:val="16"/>
        </w:rPr>
        <w:t> </w:t>
      </w:r>
      <w:r>
        <w:rPr>
          <w:smallCaps/>
          <w:sz w:val="16"/>
        </w:rPr>
        <w:t>Survival</w:t>
      </w:r>
      <w:r>
        <w:rPr>
          <w:smallCaps/>
          <w:spacing w:val="25"/>
          <w:sz w:val="16"/>
        </w:rPr>
        <w:t> </w:t>
      </w:r>
      <w:r>
        <w:rPr>
          <w:smallCaps/>
          <w:sz w:val="16"/>
        </w:rPr>
        <w:t>on</w:t>
      </w:r>
      <w:r>
        <w:rPr>
          <w:smallCaps/>
          <w:spacing w:val="24"/>
          <w:sz w:val="16"/>
        </w:rPr>
        <w:t> </w:t>
      </w:r>
      <w:r>
        <w:rPr>
          <w:smallCaps/>
          <w:spacing w:val="-2"/>
          <w:sz w:val="16"/>
        </w:rPr>
        <w:t>Almonds</w:t>
      </w:r>
    </w:p>
    <w:p>
      <w:pPr>
        <w:pStyle w:val="BodyText"/>
        <w:spacing w:before="4" w:after="1"/>
        <w:ind w:left="0"/>
        <w:jc w:val="left"/>
        <w:rPr>
          <w:sz w:val="15"/>
        </w:rPr>
      </w:pPr>
    </w:p>
    <w:tbl>
      <w:tblPr>
        <w:tblW w:w="0" w:type="auto"/>
        <w:jc w:val="left"/>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1"/>
        <w:gridCol w:w="1189"/>
        <w:gridCol w:w="1268"/>
      </w:tblGrid>
      <w:tr>
        <w:trPr>
          <w:trHeight w:val="177" w:hRule="atLeast"/>
        </w:trPr>
        <w:tc>
          <w:tcPr>
            <w:tcW w:w="1391" w:type="dxa"/>
          </w:tcPr>
          <w:p>
            <w:pPr>
              <w:pStyle w:val="TableParagraph"/>
              <w:spacing w:line="157" w:lineRule="exact"/>
              <w:rPr>
                <w:b/>
                <w:sz w:val="16"/>
              </w:rPr>
            </w:pPr>
            <w:r>
              <w:rPr>
                <w:b/>
                <w:sz w:val="16"/>
              </w:rPr>
              <w:t>Drying</w:t>
            </w:r>
            <w:r>
              <w:rPr>
                <w:b/>
                <w:spacing w:val="13"/>
                <w:sz w:val="16"/>
              </w:rPr>
              <w:t> </w:t>
            </w:r>
            <w:r>
              <w:rPr>
                <w:b/>
                <w:sz w:val="16"/>
              </w:rPr>
              <w:t>Time</w:t>
            </w:r>
            <w:r>
              <w:rPr>
                <w:b/>
                <w:spacing w:val="13"/>
                <w:sz w:val="16"/>
              </w:rPr>
              <w:t> </w:t>
            </w:r>
            <w:r>
              <w:rPr>
                <w:b/>
                <w:spacing w:val="-5"/>
                <w:sz w:val="16"/>
              </w:rPr>
              <w:t>(h)</w:t>
            </w:r>
          </w:p>
        </w:tc>
        <w:tc>
          <w:tcPr>
            <w:tcW w:w="1189" w:type="dxa"/>
          </w:tcPr>
          <w:p>
            <w:pPr>
              <w:pStyle w:val="TableParagraph"/>
              <w:spacing w:line="157" w:lineRule="exact"/>
              <w:ind w:left="8"/>
              <w:rPr>
                <w:b/>
                <w:sz w:val="16"/>
              </w:rPr>
            </w:pPr>
            <w:r>
              <w:rPr>
                <w:b/>
                <w:sz w:val="16"/>
              </w:rPr>
              <w:t>Moisture</w:t>
            </w:r>
            <w:r>
              <w:rPr>
                <w:b/>
                <w:spacing w:val="9"/>
                <w:sz w:val="16"/>
              </w:rPr>
              <w:t> </w:t>
            </w:r>
            <w:r>
              <w:rPr>
                <w:b/>
                <w:spacing w:val="-5"/>
                <w:sz w:val="16"/>
              </w:rPr>
              <w:t>(%)</w:t>
            </w:r>
          </w:p>
        </w:tc>
        <w:tc>
          <w:tcPr>
            <w:tcW w:w="1268" w:type="dxa"/>
          </w:tcPr>
          <w:p>
            <w:pPr>
              <w:pStyle w:val="TableParagraph"/>
              <w:spacing w:line="157" w:lineRule="exact"/>
              <w:ind w:left="9"/>
              <w:rPr>
                <w:b/>
                <w:sz w:val="16"/>
              </w:rPr>
            </w:pPr>
            <w:r>
              <w:rPr>
                <w:b/>
                <w:sz w:val="16"/>
              </w:rPr>
              <w:t>Water</w:t>
            </w:r>
            <w:r>
              <w:rPr>
                <w:b/>
                <w:spacing w:val="3"/>
                <w:sz w:val="16"/>
              </w:rPr>
              <w:t> </w:t>
            </w:r>
            <w:r>
              <w:rPr>
                <w:b/>
                <w:spacing w:val="-2"/>
                <w:sz w:val="16"/>
              </w:rPr>
              <w:t>Activity</w:t>
            </w:r>
          </w:p>
        </w:tc>
      </w:tr>
      <w:tr>
        <w:trPr>
          <w:trHeight w:val="162" w:hRule="atLeast"/>
        </w:trPr>
        <w:tc>
          <w:tcPr>
            <w:tcW w:w="1391" w:type="dxa"/>
            <w:tcBorders>
              <w:bottom w:val="nil"/>
            </w:tcBorders>
          </w:tcPr>
          <w:p>
            <w:pPr>
              <w:pStyle w:val="TableParagraph"/>
              <w:spacing w:line="143" w:lineRule="exact"/>
              <w:rPr>
                <w:sz w:val="16"/>
              </w:rPr>
            </w:pPr>
            <w:r>
              <w:rPr>
                <w:sz w:val="16"/>
              </w:rPr>
              <w:t>0</w:t>
            </w:r>
            <w:r>
              <w:rPr>
                <w:spacing w:val="10"/>
                <w:sz w:val="16"/>
              </w:rPr>
              <w:t> </w:t>
            </w:r>
            <w:r>
              <w:rPr>
                <w:sz w:val="16"/>
              </w:rPr>
              <w:t>(Post-</w:t>
            </w:r>
            <w:r>
              <w:rPr>
                <w:spacing w:val="-2"/>
                <w:sz w:val="16"/>
              </w:rPr>
              <w:t>soaking)</w:t>
            </w:r>
          </w:p>
        </w:tc>
        <w:tc>
          <w:tcPr>
            <w:tcW w:w="1189" w:type="dxa"/>
            <w:tcBorders>
              <w:bottom w:val="nil"/>
            </w:tcBorders>
          </w:tcPr>
          <w:p>
            <w:pPr>
              <w:pStyle w:val="TableParagraph"/>
              <w:spacing w:line="143" w:lineRule="exact"/>
              <w:ind w:left="8"/>
              <w:rPr>
                <w:sz w:val="16"/>
              </w:rPr>
            </w:pPr>
            <w:r>
              <w:rPr>
                <w:spacing w:val="-2"/>
                <w:sz w:val="16"/>
              </w:rPr>
              <w:t>38.70±0.32</w:t>
            </w:r>
          </w:p>
        </w:tc>
        <w:tc>
          <w:tcPr>
            <w:tcW w:w="1268" w:type="dxa"/>
            <w:tcBorders>
              <w:bottom w:val="nil"/>
            </w:tcBorders>
          </w:tcPr>
          <w:p>
            <w:pPr>
              <w:pStyle w:val="TableParagraph"/>
              <w:spacing w:line="143" w:lineRule="exact"/>
              <w:ind w:left="9"/>
              <w:rPr>
                <w:sz w:val="16"/>
              </w:rPr>
            </w:pPr>
            <w:r>
              <w:rPr>
                <w:spacing w:val="-2"/>
                <w:sz w:val="16"/>
              </w:rPr>
              <w:t>0.9891±0.001</w:t>
            </w:r>
          </w:p>
        </w:tc>
      </w:tr>
      <w:tr>
        <w:trPr>
          <w:trHeight w:val="179" w:hRule="atLeast"/>
        </w:trPr>
        <w:tc>
          <w:tcPr>
            <w:tcW w:w="1391" w:type="dxa"/>
            <w:tcBorders>
              <w:top w:val="nil"/>
              <w:bottom w:val="nil"/>
            </w:tcBorders>
          </w:tcPr>
          <w:p>
            <w:pPr>
              <w:pStyle w:val="TableParagraph"/>
              <w:rPr>
                <w:sz w:val="16"/>
              </w:rPr>
            </w:pPr>
            <w:r>
              <w:rPr>
                <w:spacing w:val="-10"/>
                <w:sz w:val="16"/>
              </w:rPr>
              <w:t>6</w:t>
            </w:r>
          </w:p>
        </w:tc>
        <w:tc>
          <w:tcPr>
            <w:tcW w:w="1189" w:type="dxa"/>
            <w:tcBorders>
              <w:top w:val="nil"/>
              <w:bottom w:val="nil"/>
            </w:tcBorders>
          </w:tcPr>
          <w:p>
            <w:pPr>
              <w:pStyle w:val="TableParagraph"/>
              <w:ind w:left="8"/>
              <w:rPr>
                <w:sz w:val="16"/>
              </w:rPr>
            </w:pPr>
            <w:r>
              <w:rPr>
                <w:spacing w:val="-2"/>
                <w:sz w:val="16"/>
              </w:rPr>
              <w:t>21.68±0.01</w:t>
            </w:r>
          </w:p>
        </w:tc>
        <w:tc>
          <w:tcPr>
            <w:tcW w:w="1268" w:type="dxa"/>
            <w:tcBorders>
              <w:top w:val="nil"/>
              <w:bottom w:val="nil"/>
            </w:tcBorders>
          </w:tcPr>
          <w:p>
            <w:pPr>
              <w:pStyle w:val="TableParagraph"/>
              <w:ind w:left="9"/>
              <w:rPr>
                <w:sz w:val="16"/>
              </w:rPr>
            </w:pPr>
            <w:r>
              <w:rPr>
                <w:spacing w:val="-2"/>
                <w:sz w:val="16"/>
              </w:rPr>
              <w:t>0.9575±0.001</w:t>
            </w:r>
          </w:p>
        </w:tc>
      </w:tr>
      <w:tr>
        <w:trPr>
          <w:trHeight w:val="193" w:hRule="atLeast"/>
        </w:trPr>
        <w:tc>
          <w:tcPr>
            <w:tcW w:w="1391" w:type="dxa"/>
            <w:tcBorders>
              <w:top w:val="nil"/>
            </w:tcBorders>
          </w:tcPr>
          <w:p>
            <w:pPr>
              <w:pStyle w:val="TableParagraph"/>
              <w:spacing w:line="174" w:lineRule="exact"/>
              <w:rPr>
                <w:sz w:val="16"/>
              </w:rPr>
            </w:pPr>
            <w:r>
              <w:rPr>
                <w:spacing w:val="-5"/>
                <w:sz w:val="16"/>
              </w:rPr>
              <w:t>14</w:t>
            </w:r>
          </w:p>
        </w:tc>
        <w:tc>
          <w:tcPr>
            <w:tcW w:w="1189" w:type="dxa"/>
            <w:tcBorders>
              <w:top w:val="nil"/>
            </w:tcBorders>
          </w:tcPr>
          <w:p>
            <w:pPr>
              <w:pStyle w:val="TableParagraph"/>
              <w:spacing w:line="174" w:lineRule="exact"/>
              <w:ind w:left="8"/>
              <w:rPr>
                <w:sz w:val="16"/>
              </w:rPr>
            </w:pPr>
            <w:r>
              <w:rPr>
                <w:spacing w:val="-2"/>
                <w:sz w:val="16"/>
              </w:rPr>
              <w:t>5.68±0.002</w:t>
            </w:r>
          </w:p>
        </w:tc>
        <w:tc>
          <w:tcPr>
            <w:tcW w:w="1268" w:type="dxa"/>
            <w:tcBorders>
              <w:top w:val="nil"/>
            </w:tcBorders>
          </w:tcPr>
          <w:p>
            <w:pPr>
              <w:pStyle w:val="TableParagraph"/>
              <w:spacing w:line="174" w:lineRule="exact"/>
              <w:ind w:left="9"/>
              <w:rPr>
                <w:sz w:val="16"/>
              </w:rPr>
            </w:pPr>
            <w:r>
              <w:rPr>
                <w:spacing w:val="-2"/>
                <w:sz w:val="16"/>
              </w:rPr>
              <w:t>0.6337±0.021</w:t>
            </w:r>
          </w:p>
        </w:tc>
      </w:tr>
    </w:tbl>
    <w:p>
      <w:pPr>
        <w:pStyle w:val="BodyText"/>
        <w:ind w:left="0"/>
        <w:jc w:val="left"/>
        <w:rPr>
          <w:sz w:val="12"/>
        </w:rPr>
      </w:pPr>
    </w:p>
    <w:p>
      <w:pPr>
        <w:pStyle w:val="BodyText"/>
        <w:ind w:left="0"/>
        <w:jc w:val="left"/>
        <w:rPr>
          <w:sz w:val="12"/>
        </w:rPr>
      </w:pPr>
    </w:p>
    <w:p>
      <w:pPr>
        <w:pStyle w:val="BodyText"/>
        <w:spacing w:before="18"/>
        <w:ind w:left="0"/>
        <w:jc w:val="left"/>
        <w:rPr>
          <w:sz w:val="12"/>
        </w:rPr>
      </w:pPr>
    </w:p>
    <w:p>
      <w:pPr>
        <w:pStyle w:val="ListParagraph"/>
        <w:numPr>
          <w:ilvl w:val="0"/>
          <w:numId w:val="1"/>
        </w:numPr>
        <w:tabs>
          <w:tab w:pos="1753" w:val="left" w:leader="none"/>
        </w:tabs>
        <w:spacing w:line="240" w:lineRule="auto" w:before="0" w:after="0"/>
        <w:ind w:left="1753" w:right="0" w:hanging="291"/>
        <w:jc w:val="left"/>
        <w:rPr>
          <w:sz w:val="20"/>
        </w:rPr>
      </w:pPr>
      <w:bookmarkStart w:name="Results and Discussion" w:id="21"/>
      <w:bookmarkEnd w:id="21"/>
      <w:r>
        <w:rPr/>
      </w:r>
      <w:r>
        <w:rPr>
          <w:smallCaps/>
          <w:sz w:val="20"/>
        </w:rPr>
        <w:t>Results</w:t>
      </w:r>
      <w:r>
        <w:rPr>
          <w:smallCaps/>
          <w:spacing w:val="42"/>
          <w:sz w:val="20"/>
        </w:rPr>
        <w:t> </w:t>
      </w:r>
      <w:r>
        <w:rPr>
          <w:smallCaps/>
          <w:sz w:val="20"/>
        </w:rPr>
        <w:t>and</w:t>
      </w:r>
      <w:r>
        <w:rPr>
          <w:smallCaps/>
          <w:spacing w:val="43"/>
          <w:sz w:val="20"/>
        </w:rPr>
        <w:t> </w:t>
      </w:r>
      <w:r>
        <w:rPr>
          <w:smallCaps/>
          <w:spacing w:val="-2"/>
          <w:sz w:val="20"/>
        </w:rPr>
        <w:t>Discussion</w:t>
      </w:r>
    </w:p>
    <w:p>
      <w:pPr>
        <w:pStyle w:val="ListParagraph"/>
        <w:numPr>
          <w:ilvl w:val="0"/>
          <w:numId w:val="6"/>
        </w:numPr>
        <w:tabs>
          <w:tab w:pos="529" w:val="left" w:leader="none"/>
        </w:tabs>
        <w:spacing w:line="240" w:lineRule="auto" w:before="92" w:after="0"/>
        <w:ind w:left="529" w:right="0" w:hanging="270"/>
        <w:jc w:val="both"/>
        <w:rPr>
          <w:i/>
          <w:sz w:val="20"/>
        </w:rPr>
      </w:pPr>
      <w:bookmarkStart w:name="Microbial Proliferation During Soaking" w:id="22"/>
      <w:bookmarkEnd w:id="22"/>
      <w:r>
        <w:rPr/>
      </w:r>
      <w:r>
        <w:rPr>
          <w:i/>
          <w:sz w:val="20"/>
        </w:rPr>
        <w:t>Microbial</w:t>
      </w:r>
      <w:r>
        <w:rPr>
          <w:i/>
          <w:spacing w:val="3"/>
          <w:sz w:val="20"/>
        </w:rPr>
        <w:t> </w:t>
      </w:r>
      <w:r>
        <w:rPr>
          <w:i/>
          <w:sz w:val="20"/>
        </w:rPr>
        <w:t>Proliferation</w:t>
      </w:r>
      <w:r>
        <w:rPr>
          <w:i/>
          <w:spacing w:val="4"/>
          <w:sz w:val="20"/>
        </w:rPr>
        <w:t> </w:t>
      </w:r>
      <w:r>
        <w:rPr>
          <w:i/>
          <w:sz w:val="20"/>
        </w:rPr>
        <w:t>During</w:t>
      </w:r>
      <w:r>
        <w:rPr>
          <w:i/>
          <w:spacing w:val="4"/>
          <w:sz w:val="20"/>
        </w:rPr>
        <w:t> </w:t>
      </w:r>
      <w:r>
        <w:rPr>
          <w:i/>
          <w:spacing w:val="-2"/>
          <w:sz w:val="20"/>
        </w:rPr>
        <w:t>Soaking</w:t>
      </w:r>
    </w:p>
    <w:p>
      <w:pPr>
        <w:pStyle w:val="BodyText"/>
        <w:spacing w:line="249" w:lineRule="auto" w:before="84"/>
        <w:ind w:left="259" w:firstLine="199"/>
      </w:pPr>
      <w:r>
        <w:rPr/>
        <w:t>The growth of </w:t>
      </w:r>
      <w:r>
        <w:rPr>
          <w:i/>
        </w:rPr>
        <w:t>E. coli </w:t>
      </w:r>
      <w:r>
        <w:rPr/>
        <w:t>O157:H7, </w:t>
      </w:r>
      <w:r>
        <w:rPr>
          <w:i/>
        </w:rPr>
        <w:t>Listeria </w:t>
      </w:r>
      <w:r>
        <w:rPr>
          <w:i/>
        </w:rPr>
        <w:t>monocytogenes</w:t>
      </w:r>
      <w:r>
        <w:rPr/>
        <w:t>, and native microflora was significantly influenced by soaking temperature. At 15°C, microbial levels remained relatively stable</w:t>
      </w:r>
      <w:r>
        <w:rPr>
          <w:spacing w:val="40"/>
        </w:rPr>
        <w:t> </w:t>
      </w:r>
      <w:r>
        <w:rPr/>
        <w:t>over</w:t>
      </w:r>
      <w:r>
        <w:rPr>
          <w:spacing w:val="40"/>
        </w:rPr>
        <w:t> </w:t>
      </w:r>
      <w:r>
        <w:rPr/>
        <w:t>24</w:t>
      </w:r>
      <w:r>
        <w:rPr>
          <w:spacing w:val="40"/>
        </w:rPr>
        <w:t> </w:t>
      </w:r>
      <w:r>
        <w:rPr/>
        <w:t>hours</w:t>
      </w:r>
      <w:r>
        <w:rPr>
          <w:spacing w:val="40"/>
        </w:rPr>
        <w:t> </w:t>
      </w:r>
      <w:r>
        <w:rPr/>
        <w:t>(P</w:t>
      </w:r>
      <w:r>
        <w:rPr>
          <w:spacing w:val="40"/>
        </w:rPr>
        <w:t> </w:t>
      </w:r>
      <w:r>
        <w:rPr/>
        <w:t>¿</w:t>
      </w:r>
      <w:r>
        <w:rPr>
          <w:spacing w:val="40"/>
        </w:rPr>
        <w:t> </w:t>
      </w:r>
      <w:r>
        <w:rPr/>
        <w:t>0.05).</w:t>
      </w:r>
      <w:r>
        <w:rPr>
          <w:spacing w:val="40"/>
        </w:rPr>
        <w:t> </w:t>
      </w:r>
      <w:r>
        <w:rPr/>
        <w:t>In</w:t>
      </w:r>
      <w:r>
        <w:rPr>
          <w:spacing w:val="40"/>
        </w:rPr>
        <w:t> </w:t>
      </w:r>
      <w:r>
        <w:rPr/>
        <w:t>contrast,</w:t>
      </w:r>
      <w:r>
        <w:rPr>
          <w:spacing w:val="40"/>
        </w:rPr>
        <w:t> </w:t>
      </w:r>
      <w:r>
        <w:rPr/>
        <w:t>soaking</w:t>
      </w:r>
      <w:r>
        <w:rPr>
          <w:spacing w:val="40"/>
        </w:rPr>
        <w:t> </w:t>
      </w:r>
      <w:r>
        <w:rPr/>
        <w:t>at 18°C and 23°C resulted in significant increases in microbial populations. At 23°C, </w:t>
      </w:r>
      <w:r>
        <w:rPr>
          <w:i/>
        </w:rPr>
        <w:t>E. coli </w:t>
      </w:r>
      <w:r>
        <w:rPr/>
        <w:t>O157:H7 increased by 3.48 log CFU/sample (P ¡ 0.0001), while </w:t>
      </w:r>
      <w:r>
        <w:rPr>
          <w:i/>
        </w:rPr>
        <w:t>L. monocytogenes </w:t>
      </w:r>
      <w:r>
        <w:rPr/>
        <w:t>increased by 3.22 log CFU/sample (P ¡ 0.0001), indicating that room temperature soaking promotes pathogen growth.</w:t>
      </w:r>
    </w:p>
    <w:p>
      <w:pPr>
        <w:pStyle w:val="ListParagraph"/>
        <w:numPr>
          <w:ilvl w:val="0"/>
          <w:numId w:val="6"/>
        </w:numPr>
        <w:tabs>
          <w:tab w:pos="529" w:val="left" w:leader="none"/>
        </w:tabs>
        <w:spacing w:line="240" w:lineRule="auto" w:before="163" w:after="0"/>
        <w:ind w:left="529" w:right="0" w:hanging="270"/>
        <w:jc w:val="both"/>
        <w:rPr>
          <w:i/>
          <w:sz w:val="20"/>
        </w:rPr>
      </w:pPr>
      <w:bookmarkStart w:name="Persistence of Pathogens During Drying" w:id="23"/>
      <w:bookmarkEnd w:id="23"/>
      <w:r>
        <w:rPr/>
      </w:r>
      <w:r>
        <w:rPr>
          <w:i/>
          <w:sz w:val="20"/>
        </w:rPr>
        <w:t>Persistence</w:t>
      </w:r>
      <w:r>
        <w:rPr>
          <w:i/>
          <w:spacing w:val="3"/>
          <w:sz w:val="20"/>
        </w:rPr>
        <w:t> </w:t>
      </w:r>
      <w:r>
        <w:rPr>
          <w:i/>
          <w:sz w:val="20"/>
        </w:rPr>
        <w:t>of</w:t>
      </w:r>
      <w:r>
        <w:rPr>
          <w:i/>
          <w:spacing w:val="3"/>
          <w:sz w:val="20"/>
        </w:rPr>
        <w:t> </w:t>
      </w:r>
      <w:r>
        <w:rPr>
          <w:i/>
          <w:sz w:val="20"/>
        </w:rPr>
        <w:t>Pathogens</w:t>
      </w:r>
      <w:r>
        <w:rPr>
          <w:i/>
          <w:spacing w:val="3"/>
          <w:sz w:val="20"/>
        </w:rPr>
        <w:t> </w:t>
      </w:r>
      <w:r>
        <w:rPr>
          <w:i/>
          <w:sz w:val="20"/>
        </w:rPr>
        <w:t>During</w:t>
      </w:r>
      <w:r>
        <w:rPr>
          <w:i/>
          <w:spacing w:val="4"/>
          <w:sz w:val="20"/>
        </w:rPr>
        <w:t> </w:t>
      </w:r>
      <w:r>
        <w:rPr>
          <w:i/>
          <w:spacing w:val="-2"/>
          <w:sz w:val="20"/>
        </w:rPr>
        <w:t>Drying</w:t>
      </w:r>
    </w:p>
    <w:p>
      <w:pPr>
        <w:pStyle w:val="BodyText"/>
        <w:spacing w:line="249" w:lineRule="auto" w:before="83"/>
        <w:ind w:left="259" w:firstLine="199"/>
      </w:pPr>
      <w:r>
        <w:rPr/>
        <w:t>Post-soaking drying of almonds at 66°C failed to </w:t>
      </w:r>
      <w:r>
        <w:rPr/>
        <w:t>signif- icantly reduce </w:t>
      </w:r>
      <w:r>
        <w:rPr>
          <w:i/>
        </w:rPr>
        <w:t>Salmonella </w:t>
      </w:r>
      <w:r>
        <w:rPr/>
        <w:t>populations. After 14 hours of drying, </w:t>
      </w:r>
      <w:r>
        <w:rPr>
          <w:i/>
        </w:rPr>
        <w:t>Salmonella </w:t>
      </w:r>
      <w:r>
        <w:rPr/>
        <w:t>levels remained stable at 6.46 ± 0.28 log CFU/sample, suggesting limited thermal inactivation under these conditions. These findings contrast with prior studies on seeds like chia or sunflower, where ¿5 log CFU/g reductions were observed after 6 hours of drying at 60°C </w:t>
      </w:r>
      <w:hyperlink w:history="true" w:anchor="_bookmark3">
        <w:r>
          <w:rPr/>
          <w:t>[34].</w:t>
        </w:r>
      </w:hyperlink>
    </w:p>
    <w:p>
      <w:pPr>
        <w:pStyle w:val="ListParagraph"/>
        <w:numPr>
          <w:ilvl w:val="0"/>
          <w:numId w:val="6"/>
        </w:numPr>
        <w:tabs>
          <w:tab w:pos="540" w:val="left" w:leader="none"/>
        </w:tabs>
        <w:spacing w:line="240" w:lineRule="auto" w:before="163" w:after="0"/>
        <w:ind w:left="540" w:right="0" w:hanging="281"/>
        <w:jc w:val="both"/>
        <w:rPr>
          <w:i/>
          <w:sz w:val="20"/>
        </w:rPr>
      </w:pPr>
      <w:bookmarkStart w:name="Analysis of Online Recipes" w:id="24"/>
      <w:bookmarkEnd w:id="24"/>
      <w:r>
        <w:rPr/>
      </w:r>
      <w:r>
        <w:rPr>
          <w:i/>
          <w:sz w:val="20"/>
        </w:rPr>
        <w:t>Analysis</w:t>
      </w:r>
      <w:r>
        <w:rPr>
          <w:i/>
          <w:spacing w:val="14"/>
          <w:sz w:val="20"/>
        </w:rPr>
        <w:t> </w:t>
      </w:r>
      <w:r>
        <w:rPr>
          <w:i/>
          <w:sz w:val="20"/>
        </w:rPr>
        <w:t>of</w:t>
      </w:r>
      <w:r>
        <w:rPr>
          <w:i/>
          <w:spacing w:val="14"/>
          <w:sz w:val="20"/>
        </w:rPr>
        <w:t> </w:t>
      </w:r>
      <w:r>
        <w:rPr>
          <w:i/>
          <w:sz w:val="20"/>
        </w:rPr>
        <w:t>Online</w:t>
      </w:r>
      <w:r>
        <w:rPr>
          <w:i/>
          <w:spacing w:val="15"/>
          <w:sz w:val="20"/>
        </w:rPr>
        <w:t> </w:t>
      </w:r>
      <w:r>
        <w:rPr>
          <w:i/>
          <w:spacing w:val="-2"/>
          <w:sz w:val="20"/>
        </w:rPr>
        <w:t>Recipes</w:t>
      </w:r>
    </w:p>
    <w:p>
      <w:pPr>
        <w:pStyle w:val="BodyText"/>
        <w:spacing w:line="249" w:lineRule="auto" w:before="84"/>
        <w:ind w:left="259" w:firstLine="199"/>
      </w:pPr>
      <w:r>
        <w:rPr/>
        <w:t>Among 85 online recipes analyzed, only 8% </w:t>
      </w:r>
      <w:r>
        <w:rPr/>
        <w:t>mentioned</w:t>
      </w:r>
      <w:r>
        <w:rPr>
          <w:spacing w:val="40"/>
        </w:rPr>
        <w:t> </w:t>
      </w:r>
      <w:r>
        <w:rPr/>
        <w:t>food</w:t>
      </w:r>
      <w:r>
        <w:rPr>
          <w:spacing w:val="-7"/>
        </w:rPr>
        <w:t> </w:t>
      </w:r>
      <w:r>
        <w:rPr/>
        <w:t>safety,</w:t>
      </w:r>
      <w:r>
        <w:rPr>
          <w:spacing w:val="-7"/>
        </w:rPr>
        <w:t> </w:t>
      </w:r>
      <w:r>
        <w:rPr/>
        <w:t>with</w:t>
      </w:r>
      <w:r>
        <w:rPr>
          <w:spacing w:val="-7"/>
        </w:rPr>
        <w:t> </w:t>
      </w:r>
      <w:r>
        <w:rPr/>
        <w:t>just</w:t>
      </w:r>
      <w:r>
        <w:rPr>
          <w:spacing w:val="-7"/>
        </w:rPr>
        <w:t> </w:t>
      </w:r>
      <w:r>
        <w:rPr/>
        <w:t>9.4%</w:t>
      </w:r>
      <w:r>
        <w:rPr>
          <w:spacing w:val="-7"/>
        </w:rPr>
        <w:t> </w:t>
      </w:r>
      <w:r>
        <w:rPr/>
        <w:t>recommending</w:t>
      </w:r>
      <w:r>
        <w:rPr>
          <w:spacing w:val="-7"/>
        </w:rPr>
        <w:t> </w:t>
      </w:r>
      <w:r>
        <w:rPr/>
        <w:t>refrigeration</w:t>
      </w:r>
      <w:r>
        <w:rPr>
          <w:spacing w:val="-7"/>
        </w:rPr>
        <w:t> </w:t>
      </w:r>
      <w:r>
        <w:rPr/>
        <w:t>during soaking. Most recipes advocated ambient soaking for more than 12 hours—conditions conducive to pathogen growth. Over half the recipes omitted drying temperatures, and 52.9% provided no drying instructions at all. The majority empha- sized</w:t>
      </w:r>
      <w:r>
        <w:rPr>
          <w:spacing w:val="-7"/>
        </w:rPr>
        <w:t> </w:t>
      </w:r>
      <w:r>
        <w:rPr/>
        <w:t>unverified</w:t>
      </w:r>
      <w:r>
        <w:rPr>
          <w:spacing w:val="-7"/>
        </w:rPr>
        <w:t> </w:t>
      </w:r>
      <w:r>
        <w:rPr/>
        <w:t>health</w:t>
      </w:r>
      <w:r>
        <w:rPr>
          <w:spacing w:val="-7"/>
        </w:rPr>
        <w:t> </w:t>
      </w:r>
      <w:r>
        <w:rPr/>
        <w:t>claims,</w:t>
      </w:r>
      <w:r>
        <w:rPr>
          <w:spacing w:val="-7"/>
        </w:rPr>
        <w:t> </w:t>
      </w:r>
      <w:r>
        <w:rPr/>
        <w:t>with</w:t>
      </w:r>
      <w:r>
        <w:rPr>
          <w:spacing w:val="-7"/>
        </w:rPr>
        <w:t> </w:t>
      </w:r>
      <w:r>
        <w:rPr/>
        <w:t>minimal</w:t>
      </w:r>
      <w:r>
        <w:rPr>
          <w:spacing w:val="-7"/>
        </w:rPr>
        <w:t> </w:t>
      </w:r>
      <w:r>
        <w:rPr/>
        <w:t>scientific</w:t>
      </w:r>
      <w:r>
        <w:rPr>
          <w:spacing w:val="-7"/>
        </w:rPr>
        <w:t> </w:t>
      </w:r>
      <w:r>
        <w:rPr>
          <w:spacing w:val="-2"/>
        </w:rPr>
        <w:t>support.</w:t>
      </w:r>
    </w:p>
    <w:p>
      <w:pPr>
        <w:pStyle w:val="ListParagraph"/>
        <w:numPr>
          <w:ilvl w:val="0"/>
          <w:numId w:val="6"/>
        </w:numPr>
        <w:tabs>
          <w:tab w:pos="551" w:val="left" w:leader="none"/>
        </w:tabs>
        <w:spacing w:line="240" w:lineRule="auto" w:before="163" w:after="0"/>
        <w:ind w:left="551" w:right="0" w:hanging="292"/>
        <w:jc w:val="both"/>
        <w:rPr>
          <w:i/>
          <w:sz w:val="20"/>
        </w:rPr>
      </w:pPr>
      <w:bookmarkStart w:name="Modeling of Growth Kinetics" w:id="25"/>
      <w:bookmarkEnd w:id="25"/>
      <w:r>
        <w:rPr/>
      </w:r>
      <w:r>
        <w:rPr>
          <w:i/>
          <w:sz w:val="20"/>
        </w:rPr>
        <w:t>Modeling</w:t>
      </w:r>
      <w:r>
        <w:rPr>
          <w:i/>
          <w:spacing w:val="10"/>
          <w:sz w:val="20"/>
        </w:rPr>
        <w:t> </w:t>
      </w:r>
      <w:r>
        <w:rPr>
          <w:i/>
          <w:sz w:val="20"/>
        </w:rPr>
        <w:t>of</w:t>
      </w:r>
      <w:r>
        <w:rPr>
          <w:i/>
          <w:spacing w:val="11"/>
          <w:sz w:val="20"/>
        </w:rPr>
        <w:t> </w:t>
      </w:r>
      <w:r>
        <w:rPr>
          <w:i/>
          <w:sz w:val="20"/>
        </w:rPr>
        <w:t>Growth</w:t>
      </w:r>
      <w:r>
        <w:rPr>
          <w:i/>
          <w:spacing w:val="11"/>
          <w:sz w:val="20"/>
        </w:rPr>
        <w:t> </w:t>
      </w:r>
      <w:r>
        <w:rPr>
          <w:i/>
          <w:spacing w:val="-2"/>
          <w:sz w:val="20"/>
        </w:rPr>
        <w:t>Kinetics</w:t>
      </w:r>
    </w:p>
    <w:p>
      <w:pPr>
        <w:pStyle w:val="BodyText"/>
        <w:spacing w:line="249" w:lineRule="auto" w:before="83"/>
        <w:ind w:left="259" w:firstLine="199"/>
      </w:pPr>
      <w:r>
        <w:rPr/>
        <w:t>Growth modeling under 1:1 (w/v) soaking at 23°C </w:t>
      </w:r>
      <w:r>
        <w:rPr/>
        <w:t>revealed consistent</w:t>
      </w:r>
      <w:r>
        <w:rPr>
          <w:spacing w:val="-5"/>
        </w:rPr>
        <w:t> </w:t>
      </w:r>
      <w:r>
        <w:rPr/>
        <w:t>lag</w:t>
      </w:r>
      <w:r>
        <w:rPr>
          <w:spacing w:val="-5"/>
        </w:rPr>
        <w:t> </w:t>
      </w:r>
      <w:r>
        <w:rPr/>
        <w:t>times</w:t>
      </w:r>
      <w:r>
        <w:rPr>
          <w:spacing w:val="-5"/>
        </w:rPr>
        <w:t> </w:t>
      </w:r>
      <w:r>
        <w:rPr/>
        <w:t>across</w:t>
      </w:r>
      <w:r>
        <w:rPr>
          <w:spacing w:val="-5"/>
        </w:rPr>
        <w:t> </w:t>
      </w:r>
      <w:r>
        <w:rPr/>
        <w:t>pathogens</w:t>
      </w:r>
      <w:r>
        <w:rPr>
          <w:spacing w:val="-5"/>
        </w:rPr>
        <w:t> </w:t>
      </w:r>
      <w:r>
        <w:rPr/>
        <w:t>(</w:t>
      </w:r>
      <w:r>
        <w:rPr>
          <w:spacing w:val="-5"/>
        </w:rPr>
        <w:t> </w:t>
      </w:r>
      <w:r>
        <w:rPr/>
        <w:t>6–9</w:t>
      </w:r>
      <w:r>
        <w:rPr>
          <w:spacing w:val="-5"/>
        </w:rPr>
        <w:t> </w:t>
      </w:r>
      <w:r>
        <w:rPr/>
        <w:t>hours).</w:t>
      </w:r>
      <w:r>
        <w:rPr>
          <w:spacing w:val="-5"/>
        </w:rPr>
        <w:t> </w:t>
      </w:r>
      <w:r>
        <w:rPr>
          <w:i/>
        </w:rPr>
        <w:t>Salmonella </w:t>
      </w:r>
      <w:r>
        <w:rPr/>
        <w:t>inoculated via water showed a slightly lower lag phase (6.63</w:t>
      </w:r>
      <w:r>
        <w:rPr>
          <w:spacing w:val="40"/>
        </w:rPr>
        <w:t> </w:t>
      </w:r>
      <w:r>
        <w:rPr/>
        <w:t>h) and growth rate (0.27 log CFU/h) than directly inoculated almonds (6.40 h; 0.29 log CFU/h), suggesting high growth potential in moist environments with indirect exposure.</w:t>
      </w:r>
    </w:p>
    <w:p>
      <w:pPr>
        <w:pStyle w:val="ListParagraph"/>
        <w:numPr>
          <w:ilvl w:val="0"/>
          <w:numId w:val="1"/>
        </w:numPr>
        <w:tabs>
          <w:tab w:pos="2370" w:val="left" w:leader="none"/>
        </w:tabs>
        <w:spacing w:line="240" w:lineRule="auto" w:before="163" w:after="0"/>
        <w:ind w:left="2370" w:right="0" w:hanging="367"/>
        <w:jc w:val="left"/>
        <w:rPr>
          <w:sz w:val="20"/>
        </w:rPr>
      </w:pPr>
      <w:bookmarkStart w:name="Conclusion" w:id="26"/>
      <w:bookmarkEnd w:id="26"/>
      <w:r>
        <w:rPr/>
      </w:r>
      <w:r>
        <w:rPr>
          <w:smallCaps/>
          <w:spacing w:val="-2"/>
          <w:sz w:val="20"/>
        </w:rPr>
        <w:t>Conclusion</w:t>
      </w:r>
    </w:p>
    <w:p>
      <w:pPr>
        <w:pStyle w:val="BodyText"/>
        <w:spacing w:line="249" w:lineRule="auto" w:before="92"/>
        <w:ind w:left="259" w:firstLine="199"/>
      </w:pPr>
      <w:r>
        <w:rPr/>
        <w:t>The</w:t>
      </w:r>
      <w:r>
        <w:rPr>
          <w:spacing w:val="40"/>
        </w:rPr>
        <w:t> </w:t>
      </w:r>
      <w:r>
        <w:rPr/>
        <w:t>study</w:t>
      </w:r>
      <w:r>
        <w:rPr>
          <w:spacing w:val="40"/>
        </w:rPr>
        <w:t> </w:t>
      </w:r>
      <w:r>
        <w:rPr/>
        <w:t>demonstrates</w:t>
      </w:r>
      <w:r>
        <w:rPr>
          <w:spacing w:val="40"/>
        </w:rPr>
        <w:t> </w:t>
      </w:r>
      <w:r>
        <w:rPr/>
        <w:t>that</w:t>
      </w:r>
      <w:r>
        <w:rPr>
          <w:spacing w:val="40"/>
        </w:rPr>
        <w:t> </w:t>
      </w:r>
      <w:r>
        <w:rPr/>
        <w:t>almond</w:t>
      </w:r>
      <w:r>
        <w:rPr>
          <w:spacing w:val="40"/>
        </w:rPr>
        <w:t> </w:t>
      </w:r>
      <w:r>
        <w:rPr/>
        <w:t>soaking</w:t>
      </w:r>
      <w:r>
        <w:rPr>
          <w:spacing w:val="40"/>
        </w:rPr>
        <w:t> </w:t>
      </w:r>
      <w:r>
        <w:rPr/>
        <w:t>at</w:t>
      </w:r>
      <w:r>
        <w:rPr>
          <w:spacing w:val="40"/>
        </w:rPr>
        <w:t> </w:t>
      </w:r>
      <w:r>
        <w:rPr/>
        <w:t>ambi-</w:t>
      </w:r>
      <w:r>
        <w:rPr>
          <w:spacing w:val="40"/>
        </w:rPr>
        <w:t> </w:t>
      </w:r>
      <w:r>
        <w:rPr/>
        <w:t>ent temperatures facilitates significant growth of foodborne pathogens, particularly </w:t>
      </w:r>
      <w:r>
        <w:rPr>
          <w:i/>
        </w:rPr>
        <w:t>Salmonella</w:t>
      </w:r>
      <w:r>
        <w:rPr/>
        <w:t>, </w:t>
      </w:r>
      <w:r>
        <w:rPr>
          <w:i/>
        </w:rPr>
        <w:t>E. coli </w:t>
      </w:r>
      <w:r>
        <w:rPr/>
        <w:t>O157:H7, and </w:t>
      </w:r>
      <w:r>
        <w:rPr>
          <w:i/>
        </w:rPr>
        <w:t>Listeria monocytogenes</w:t>
      </w:r>
      <w:r>
        <w:rPr/>
        <w:t>. Soaking practices commonly rec- ommended in online content pose serious food safety risks</w:t>
      </w:r>
      <w:r>
        <w:rPr>
          <w:spacing w:val="40"/>
        </w:rPr>
        <w:t> </w:t>
      </w:r>
      <w:r>
        <w:rPr/>
        <w:t>due to long durations, lack of refrigeration, and inadequate drying protocols. Moreover, the drying process at 66°C was insufficient to eliminate </w:t>
      </w:r>
      <w:r>
        <w:rPr>
          <w:i/>
        </w:rPr>
        <w:t>Salmonella</w:t>
      </w:r>
      <w:r>
        <w:rPr/>
        <w:t>, emphasizing the need for validated thermal processes in sprouted nut products.</w:t>
      </w:r>
    </w:p>
    <w:p>
      <w:pPr>
        <w:pStyle w:val="BodyText"/>
        <w:spacing w:line="249" w:lineRule="auto" w:before="71"/>
        <w:ind w:right="617" w:firstLine="199"/>
      </w:pPr>
      <w:r>
        <w:rPr/>
        <w:br w:type="column"/>
      </w:r>
      <w:r>
        <w:rPr/>
        <w:t>The lack of food safety messaging in consumer-facing </w:t>
      </w:r>
      <w:r>
        <w:rPr/>
        <w:t>me- dia underscores a major gap in public health communication. Food bloggers and content creators are encouraged to include safety advisories based on current microbial science. Future work should focus on consumer education, development of safe soaking protocols, and further evaluation of microbial persistence under various post-soaking treatments.</w:t>
      </w:r>
    </w:p>
    <w:p>
      <w:pPr>
        <w:pStyle w:val="ListParagraph"/>
        <w:numPr>
          <w:ilvl w:val="0"/>
          <w:numId w:val="1"/>
        </w:numPr>
        <w:tabs>
          <w:tab w:pos="1268" w:val="left" w:leader="none"/>
        </w:tabs>
        <w:spacing w:line="240" w:lineRule="auto" w:before="201" w:after="0"/>
        <w:ind w:left="1268" w:right="0" w:hanging="442"/>
        <w:jc w:val="left"/>
        <w:rPr>
          <w:sz w:val="20"/>
        </w:rPr>
      </w:pPr>
      <w:bookmarkStart w:name="Discussion and Recommendations" w:id="27"/>
      <w:bookmarkEnd w:id="27"/>
      <w:r>
        <w:rPr/>
      </w:r>
      <w:r>
        <w:rPr>
          <w:smallCaps/>
          <w:sz w:val="20"/>
        </w:rPr>
        <w:t>Discussion</w:t>
      </w:r>
      <w:r>
        <w:rPr>
          <w:smallCaps/>
          <w:spacing w:val="61"/>
          <w:sz w:val="20"/>
        </w:rPr>
        <w:t> </w:t>
      </w:r>
      <w:r>
        <w:rPr>
          <w:smallCaps/>
          <w:sz w:val="20"/>
        </w:rPr>
        <w:t>and</w:t>
      </w:r>
      <w:r>
        <w:rPr>
          <w:smallCaps/>
          <w:spacing w:val="62"/>
          <w:sz w:val="20"/>
        </w:rPr>
        <w:t> </w:t>
      </w:r>
      <w:r>
        <w:rPr>
          <w:smallCaps/>
          <w:spacing w:val="-2"/>
          <w:sz w:val="20"/>
        </w:rPr>
        <w:t>Recommendations</w:t>
      </w:r>
    </w:p>
    <w:p>
      <w:pPr>
        <w:pStyle w:val="BodyText"/>
        <w:spacing w:line="249" w:lineRule="auto" w:before="119"/>
        <w:ind w:right="617" w:firstLine="199"/>
      </w:pPr>
      <w:r>
        <w:rPr/>
        <w:t>This study emphasizes the microbial risks associated </w:t>
      </w:r>
      <w:r>
        <w:rPr/>
        <w:t>with prolonged almond soaking under ambient or elevated tem- peratures. Most online recipes fail to incorporate any food safety guidelines, and many advocate for soaking durations and conditions that favor pathogen proliferation. The lack of pathogen</w:t>
      </w:r>
      <w:r>
        <w:rPr>
          <w:spacing w:val="-10"/>
        </w:rPr>
        <w:t> </w:t>
      </w:r>
      <w:r>
        <w:rPr/>
        <w:t>reduction</w:t>
      </w:r>
      <w:r>
        <w:rPr>
          <w:spacing w:val="-9"/>
        </w:rPr>
        <w:t> </w:t>
      </w:r>
      <w:r>
        <w:rPr/>
        <w:t>during</w:t>
      </w:r>
      <w:r>
        <w:rPr>
          <w:spacing w:val="-10"/>
        </w:rPr>
        <w:t> </w:t>
      </w:r>
      <w:r>
        <w:rPr/>
        <w:t>typical</w:t>
      </w:r>
      <w:r>
        <w:rPr>
          <w:spacing w:val="-9"/>
        </w:rPr>
        <w:t> </w:t>
      </w:r>
      <w:r>
        <w:rPr/>
        <w:t>drying</w:t>
      </w:r>
      <w:r>
        <w:rPr>
          <w:spacing w:val="-9"/>
        </w:rPr>
        <w:t> </w:t>
      </w:r>
      <w:r>
        <w:rPr/>
        <w:t>further</w:t>
      </w:r>
      <w:r>
        <w:rPr>
          <w:spacing w:val="-10"/>
        </w:rPr>
        <w:t> </w:t>
      </w:r>
      <w:r>
        <w:rPr/>
        <w:t>increases</w:t>
      </w:r>
      <w:r>
        <w:rPr>
          <w:spacing w:val="-9"/>
        </w:rPr>
        <w:t> </w:t>
      </w:r>
      <w:r>
        <w:rPr>
          <w:spacing w:val="-2"/>
        </w:rPr>
        <w:t>risk.</w:t>
      </w:r>
    </w:p>
    <w:p>
      <w:pPr>
        <w:pStyle w:val="BodyText"/>
        <w:spacing w:before="8"/>
        <w:ind w:left="398"/>
      </w:pPr>
      <w:r>
        <w:rPr/>
        <w:t>To</w:t>
      </w:r>
      <w:r>
        <w:rPr>
          <w:spacing w:val="9"/>
        </w:rPr>
        <w:t> </w:t>
      </w:r>
      <w:r>
        <w:rPr/>
        <w:t>mitigate</w:t>
      </w:r>
      <w:r>
        <w:rPr>
          <w:spacing w:val="9"/>
        </w:rPr>
        <w:t> </w:t>
      </w:r>
      <w:r>
        <w:rPr/>
        <w:t>foodborne</w:t>
      </w:r>
      <w:r>
        <w:rPr>
          <w:spacing w:val="10"/>
        </w:rPr>
        <w:t> </w:t>
      </w:r>
      <w:r>
        <w:rPr/>
        <w:t>illness,</w:t>
      </w:r>
      <w:r>
        <w:rPr>
          <w:spacing w:val="9"/>
        </w:rPr>
        <w:t> </w:t>
      </w:r>
      <w:r>
        <w:rPr/>
        <w:t>consumers</w:t>
      </w:r>
      <w:r>
        <w:rPr>
          <w:spacing w:val="9"/>
        </w:rPr>
        <w:t> </w:t>
      </w:r>
      <w:r>
        <w:rPr>
          <w:spacing w:val="-2"/>
        </w:rPr>
        <w:t>should:</w:t>
      </w:r>
    </w:p>
    <w:p>
      <w:pPr>
        <w:pStyle w:val="ListParagraph"/>
        <w:numPr>
          <w:ilvl w:val="0"/>
          <w:numId w:val="7"/>
        </w:numPr>
        <w:tabs>
          <w:tab w:pos="595" w:val="left" w:leader="none"/>
          <w:tab w:pos="597" w:val="left" w:leader="none"/>
        </w:tabs>
        <w:spacing w:line="249" w:lineRule="auto" w:before="65" w:after="0"/>
        <w:ind w:left="597" w:right="617" w:hanging="182"/>
        <w:jc w:val="left"/>
        <w:rPr>
          <w:sz w:val="20"/>
        </w:rPr>
      </w:pPr>
      <w:r>
        <w:rPr>
          <w:sz w:val="20"/>
        </w:rPr>
        <w:t>Use</w:t>
      </w:r>
      <w:r>
        <w:rPr>
          <w:spacing w:val="40"/>
          <w:sz w:val="20"/>
        </w:rPr>
        <w:t> </w:t>
      </w:r>
      <w:r>
        <w:rPr>
          <w:sz w:val="20"/>
        </w:rPr>
        <w:t>almonds</w:t>
      </w:r>
      <w:r>
        <w:rPr>
          <w:spacing w:val="40"/>
          <w:sz w:val="20"/>
        </w:rPr>
        <w:t> </w:t>
      </w:r>
      <w:r>
        <w:rPr>
          <w:sz w:val="20"/>
        </w:rPr>
        <w:t>treated</w:t>
      </w:r>
      <w:r>
        <w:rPr>
          <w:spacing w:val="40"/>
          <w:sz w:val="20"/>
        </w:rPr>
        <w:t> </w:t>
      </w:r>
      <w:r>
        <w:rPr>
          <w:sz w:val="20"/>
        </w:rPr>
        <w:t>by</w:t>
      </w:r>
      <w:r>
        <w:rPr>
          <w:spacing w:val="40"/>
          <w:sz w:val="20"/>
        </w:rPr>
        <w:t> </w:t>
      </w:r>
      <w:r>
        <w:rPr>
          <w:sz w:val="20"/>
        </w:rPr>
        <w:t>validated</w:t>
      </w:r>
      <w:r>
        <w:rPr>
          <w:spacing w:val="40"/>
          <w:sz w:val="20"/>
        </w:rPr>
        <w:t> </w:t>
      </w:r>
      <w:r>
        <w:rPr>
          <w:sz w:val="20"/>
        </w:rPr>
        <w:t>microbial</w:t>
      </w:r>
      <w:r>
        <w:rPr>
          <w:spacing w:val="40"/>
          <w:sz w:val="20"/>
        </w:rPr>
        <w:t> </w:t>
      </w:r>
      <w:r>
        <w:rPr>
          <w:sz w:val="20"/>
        </w:rPr>
        <w:t>reduction methods (e.g., pasteurization).</w:t>
      </w:r>
    </w:p>
    <w:p>
      <w:pPr>
        <w:pStyle w:val="ListParagraph"/>
        <w:numPr>
          <w:ilvl w:val="0"/>
          <w:numId w:val="7"/>
        </w:numPr>
        <w:tabs>
          <w:tab w:pos="595" w:val="left" w:leader="none"/>
          <w:tab w:pos="597" w:val="left" w:leader="none"/>
        </w:tabs>
        <w:spacing w:line="249" w:lineRule="auto" w:before="0" w:after="0"/>
        <w:ind w:left="597" w:right="617" w:hanging="182"/>
        <w:jc w:val="left"/>
        <w:rPr>
          <w:sz w:val="20"/>
        </w:rPr>
      </w:pPr>
      <w:r>
        <w:rPr>
          <w:sz w:val="20"/>
        </w:rPr>
        <w:t>Wash</w:t>
      </w:r>
      <w:r>
        <w:rPr>
          <w:spacing w:val="-13"/>
          <w:sz w:val="20"/>
        </w:rPr>
        <w:t> </w:t>
      </w:r>
      <w:r>
        <w:rPr>
          <w:sz w:val="20"/>
        </w:rPr>
        <w:t>hands</w:t>
      </w:r>
      <w:r>
        <w:rPr>
          <w:spacing w:val="-12"/>
          <w:sz w:val="20"/>
        </w:rPr>
        <w:t> </w:t>
      </w:r>
      <w:r>
        <w:rPr>
          <w:sz w:val="20"/>
        </w:rPr>
        <w:t>and</w:t>
      </w:r>
      <w:r>
        <w:rPr>
          <w:spacing w:val="-13"/>
          <w:sz w:val="20"/>
        </w:rPr>
        <w:t> </w:t>
      </w:r>
      <w:r>
        <w:rPr>
          <w:sz w:val="20"/>
        </w:rPr>
        <w:t>sanitize</w:t>
      </w:r>
      <w:r>
        <w:rPr>
          <w:spacing w:val="-12"/>
          <w:sz w:val="20"/>
        </w:rPr>
        <w:t> </w:t>
      </w:r>
      <w:r>
        <w:rPr>
          <w:sz w:val="20"/>
        </w:rPr>
        <w:t>utensils</w:t>
      </w:r>
      <w:r>
        <w:rPr>
          <w:spacing w:val="-13"/>
          <w:sz w:val="20"/>
        </w:rPr>
        <w:t> </w:t>
      </w:r>
      <w:r>
        <w:rPr>
          <w:sz w:val="20"/>
        </w:rPr>
        <w:t>thoroughly</w:t>
      </w:r>
      <w:r>
        <w:rPr>
          <w:spacing w:val="-12"/>
          <w:sz w:val="20"/>
        </w:rPr>
        <w:t> </w:t>
      </w:r>
      <w:r>
        <w:rPr>
          <w:sz w:val="20"/>
        </w:rPr>
        <w:t>before</w:t>
      </w:r>
      <w:r>
        <w:rPr>
          <w:spacing w:val="-13"/>
          <w:sz w:val="20"/>
        </w:rPr>
        <w:t> </w:t>
      </w:r>
      <w:r>
        <w:rPr>
          <w:sz w:val="20"/>
        </w:rPr>
        <w:t>prepa- </w:t>
      </w:r>
      <w:r>
        <w:rPr>
          <w:spacing w:val="-2"/>
          <w:sz w:val="20"/>
        </w:rPr>
        <w:t>ration.</w:t>
      </w:r>
    </w:p>
    <w:p>
      <w:pPr>
        <w:pStyle w:val="ListParagraph"/>
        <w:numPr>
          <w:ilvl w:val="0"/>
          <w:numId w:val="7"/>
        </w:numPr>
        <w:tabs>
          <w:tab w:pos="596" w:val="left" w:leader="none"/>
        </w:tabs>
        <w:spacing w:line="230" w:lineRule="exact" w:before="0" w:after="0"/>
        <w:ind w:left="596" w:right="0" w:hanging="180"/>
        <w:jc w:val="left"/>
        <w:rPr>
          <w:sz w:val="20"/>
        </w:rPr>
      </w:pPr>
      <w:r>
        <w:rPr>
          <w:sz w:val="20"/>
        </w:rPr>
        <w:t>Use</w:t>
      </w:r>
      <w:r>
        <w:rPr>
          <w:spacing w:val="9"/>
          <w:sz w:val="20"/>
        </w:rPr>
        <w:t> </w:t>
      </w:r>
      <w:r>
        <w:rPr>
          <w:sz w:val="20"/>
        </w:rPr>
        <w:t>potable</w:t>
      </w:r>
      <w:r>
        <w:rPr>
          <w:spacing w:val="9"/>
          <w:sz w:val="20"/>
        </w:rPr>
        <w:t> </w:t>
      </w:r>
      <w:r>
        <w:rPr>
          <w:sz w:val="20"/>
        </w:rPr>
        <w:t>water</w:t>
      </w:r>
      <w:r>
        <w:rPr>
          <w:spacing w:val="9"/>
          <w:sz w:val="20"/>
        </w:rPr>
        <w:t> </w:t>
      </w:r>
      <w:r>
        <w:rPr>
          <w:sz w:val="20"/>
        </w:rPr>
        <w:t>and</w:t>
      </w:r>
      <w:r>
        <w:rPr>
          <w:spacing w:val="9"/>
          <w:sz w:val="20"/>
        </w:rPr>
        <w:t> </w:t>
      </w:r>
      <w:r>
        <w:rPr>
          <w:sz w:val="20"/>
        </w:rPr>
        <w:t>soak</w:t>
      </w:r>
      <w:r>
        <w:rPr>
          <w:spacing w:val="9"/>
          <w:sz w:val="20"/>
        </w:rPr>
        <w:t> </w:t>
      </w:r>
      <w:r>
        <w:rPr>
          <w:sz w:val="20"/>
        </w:rPr>
        <w:t>almonds</w:t>
      </w:r>
      <w:r>
        <w:rPr>
          <w:spacing w:val="10"/>
          <w:sz w:val="20"/>
        </w:rPr>
        <w:t> </w:t>
      </w:r>
      <w:r>
        <w:rPr>
          <w:sz w:val="20"/>
        </w:rPr>
        <w:t>at</w:t>
      </w:r>
      <w:r>
        <w:rPr>
          <w:spacing w:val="9"/>
          <w:sz w:val="20"/>
        </w:rPr>
        <w:t> </w:t>
      </w:r>
      <w:r>
        <w:rPr>
          <w:rFonts w:ascii="Verdana" w:hAnsi="Verdana"/>
          <w:i/>
          <w:sz w:val="20"/>
        </w:rPr>
        <w:t>≤</w:t>
      </w:r>
      <w:r>
        <w:rPr>
          <w:sz w:val="20"/>
        </w:rPr>
        <w:t>15°C</w:t>
      </w:r>
      <w:r>
        <w:rPr>
          <w:spacing w:val="9"/>
          <w:sz w:val="20"/>
        </w:rPr>
        <w:t> </w:t>
      </w:r>
      <w:r>
        <w:rPr>
          <w:sz w:val="20"/>
        </w:rPr>
        <w:t>or</w:t>
      </w:r>
      <w:r>
        <w:rPr>
          <w:spacing w:val="9"/>
          <w:sz w:val="20"/>
        </w:rPr>
        <w:t> </w:t>
      </w:r>
      <w:r>
        <w:rPr>
          <w:sz w:val="20"/>
        </w:rPr>
        <w:t>for</w:t>
      </w:r>
      <w:r>
        <w:rPr>
          <w:spacing w:val="9"/>
          <w:sz w:val="20"/>
        </w:rPr>
        <w:t> </w:t>
      </w:r>
      <w:r>
        <w:rPr>
          <w:spacing w:val="-7"/>
          <w:sz w:val="20"/>
        </w:rPr>
        <w:t>no</w:t>
      </w:r>
    </w:p>
    <w:p>
      <w:pPr>
        <w:pStyle w:val="BodyText"/>
        <w:spacing w:before="9"/>
        <w:ind w:left="597"/>
        <w:jc w:val="left"/>
      </w:pPr>
      <w:r>
        <w:rPr/>
        <w:t>longer</w:t>
      </w:r>
      <w:r>
        <w:rPr>
          <w:spacing w:val="15"/>
        </w:rPr>
        <w:t> </w:t>
      </w:r>
      <w:r>
        <w:rPr/>
        <w:t>than</w:t>
      </w:r>
      <w:r>
        <w:rPr>
          <w:spacing w:val="15"/>
        </w:rPr>
        <w:t> </w:t>
      </w:r>
      <w:r>
        <w:rPr/>
        <w:t>8</w:t>
      </w:r>
      <w:r>
        <w:rPr>
          <w:spacing w:val="15"/>
        </w:rPr>
        <w:t> </w:t>
      </w:r>
      <w:r>
        <w:rPr/>
        <w:t>hours</w:t>
      </w:r>
      <w:r>
        <w:rPr>
          <w:spacing w:val="15"/>
        </w:rPr>
        <w:t> </w:t>
      </w:r>
      <w:r>
        <w:rPr/>
        <w:t>at</w:t>
      </w:r>
      <w:r>
        <w:rPr>
          <w:spacing w:val="15"/>
        </w:rPr>
        <w:t> </w:t>
      </w:r>
      <w:r>
        <w:rPr/>
        <w:t>or</w:t>
      </w:r>
      <w:r>
        <w:rPr>
          <w:spacing w:val="15"/>
        </w:rPr>
        <w:t> </w:t>
      </w:r>
      <w:r>
        <w:rPr/>
        <w:t>below</w:t>
      </w:r>
      <w:r>
        <w:rPr>
          <w:spacing w:val="16"/>
        </w:rPr>
        <w:t> </w:t>
      </w:r>
      <w:r>
        <w:rPr>
          <w:spacing w:val="-2"/>
        </w:rPr>
        <w:t>18°C.</w:t>
      </w:r>
    </w:p>
    <w:p>
      <w:pPr>
        <w:pStyle w:val="ListParagraph"/>
        <w:numPr>
          <w:ilvl w:val="0"/>
          <w:numId w:val="7"/>
        </w:numPr>
        <w:tabs>
          <w:tab w:pos="596" w:val="left" w:leader="none"/>
        </w:tabs>
        <w:spacing w:line="240" w:lineRule="auto" w:before="9" w:after="0"/>
        <w:ind w:left="596" w:right="0" w:hanging="180"/>
        <w:jc w:val="both"/>
        <w:rPr>
          <w:sz w:val="20"/>
        </w:rPr>
      </w:pPr>
      <w:r>
        <w:rPr>
          <w:sz w:val="20"/>
        </w:rPr>
        <w:t>Understand</w:t>
      </w:r>
      <w:r>
        <w:rPr>
          <w:spacing w:val="13"/>
          <w:sz w:val="20"/>
        </w:rPr>
        <w:t> </w:t>
      </w:r>
      <w:r>
        <w:rPr>
          <w:sz w:val="20"/>
        </w:rPr>
        <w:t>that</w:t>
      </w:r>
      <w:r>
        <w:rPr>
          <w:spacing w:val="14"/>
          <w:sz w:val="20"/>
        </w:rPr>
        <w:t> </w:t>
      </w:r>
      <w:r>
        <w:rPr>
          <w:sz w:val="20"/>
        </w:rPr>
        <w:t>drying</w:t>
      </w:r>
      <w:r>
        <w:rPr>
          <w:spacing w:val="14"/>
          <w:sz w:val="20"/>
        </w:rPr>
        <w:t> </w:t>
      </w:r>
      <w:r>
        <w:rPr>
          <w:sz w:val="20"/>
        </w:rPr>
        <w:t>does</w:t>
      </w:r>
      <w:r>
        <w:rPr>
          <w:spacing w:val="14"/>
          <w:sz w:val="20"/>
        </w:rPr>
        <w:t> </w:t>
      </w:r>
      <w:r>
        <w:rPr>
          <w:sz w:val="20"/>
        </w:rPr>
        <w:t>not</w:t>
      </w:r>
      <w:r>
        <w:rPr>
          <w:spacing w:val="14"/>
          <w:sz w:val="20"/>
        </w:rPr>
        <w:t> </w:t>
      </w:r>
      <w:r>
        <w:rPr>
          <w:sz w:val="20"/>
        </w:rPr>
        <w:t>eliminate</w:t>
      </w:r>
      <w:r>
        <w:rPr>
          <w:spacing w:val="13"/>
          <w:sz w:val="20"/>
        </w:rPr>
        <w:t> </w:t>
      </w:r>
      <w:r>
        <w:rPr>
          <w:spacing w:val="-2"/>
          <w:sz w:val="20"/>
        </w:rPr>
        <w:t>pathogens.</w:t>
      </w:r>
    </w:p>
    <w:p>
      <w:pPr>
        <w:pStyle w:val="BodyText"/>
        <w:spacing w:line="249" w:lineRule="auto" w:before="66"/>
        <w:ind w:right="617" w:firstLine="199"/>
      </w:pPr>
      <w:r>
        <w:rPr/>
        <w:t>Educational efforts must highlight the persistence </w:t>
      </w:r>
      <w:r>
        <w:rPr/>
        <w:t>of pathogens in soaked and dried almonds and counter the common misconception that “raw” or “natural” means micro- biologically safe.</w:t>
      </w:r>
    </w:p>
    <w:p>
      <w:pPr>
        <w:pStyle w:val="BodyText"/>
        <w:spacing w:before="201"/>
        <w:ind w:left="186" w:right="605"/>
        <w:jc w:val="center"/>
      </w:pPr>
      <w:bookmarkStart w:name="References" w:id="28"/>
      <w:bookmarkEnd w:id="28"/>
      <w:r>
        <w:rPr/>
      </w:r>
      <w:r>
        <w:rPr>
          <w:smallCaps/>
          <w:spacing w:val="-2"/>
        </w:rPr>
        <w:t>References</w:t>
      </w:r>
    </w:p>
    <w:p>
      <w:pPr>
        <w:pStyle w:val="ListParagraph"/>
        <w:numPr>
          <w:ilvl w:val="0"/>
          <w:numId w:val="8"/>
        </w:numPr>
        <w:tabs>
          <w:tab w:pos="562" w:val="left" w:leader="none"/>
          <w:tab w:pos="564" w:val="left" w:leader="none"/>
        </w:tabs>
        <w:spacing w:line="232" w:lineRule="auto" w:before="155" w:after="0"/>
        <w:ind w:left="564" w:right="617" w:hanging="286"/>
        <w:jc w:val="both"/>
        <w:rPr>
          <w:sz w:val="16"/>
        </w:rPr>
      </w:pPr>
      <w:bookmarkStart w:name="_bookmark3" w:id="29"/>
      <w:bookmarkEnd w:id="29"/>
      <w:r>
        <w:rPr/>
      </w:r>
      <w:r>
        <w:rPr>
          <w:sz w:val="16"/>
        </w:rPr>
        <w:t>Centers</w:t>
      </w:r>
      <w:r>
        <w:rPr>
          <w:spacing w:val="-6"/>
          <w:sz w:val="16"/>
        </w:rPr>
        <w:t> </w:t>
      </w:r>
      <w:r>
        <w:rPr>
          <w:sz w:val="16"/>
        </w:rPr>
        <w:t>for</w:t>
      </w:r>
      <w:r>
        <w:rPr>
          <w:spacing w:val="-6"/>
          <w:sz w:val="16"/>
        </w:rPr>
        <w:t> </w:t>
      </w:r>
      <w:r>
        <w:rPr>
          <w:sz w:val="16"/>
        </w:rPr>
        <w:t>Disease</w:t>
      </w:r>
      <w:r>
        <w:rPr>
          <w:spacing w:val="-6"/>
          <w:sz w:val="16"/>
        </w:rPr>
        <w:t> </w:t>
      </w:r>
      <w:r>
        <w:rPr>
          <w:sz w:val="16"/>
        </w:rPr>
        <w:t>Control</w:t>
      </w:r>
      <w:r>
        <w:rPr>
          <w:spacing w:val="-6"/>
          <w:sz w:val="16"/>
        </w:rPr>
        <w:t> </w:t>
      </w:r>
      <w:r>
        <w:rPr>
          <w:sz w:val="16"/>
        </w:rPr>
        <w:t>and</w:t>
      </w:r>
      <w:r>
        <w:rPr>
          <w:spacing w:val="-6"/>
          <w:sz w:val="16"/>
        </w:rPr>
        <w:t> </w:t>
      </w:r>
      <w:r>
        <w:rPr>
          <w:sz w:val="16"/>
        </w:rPr>
        <w:t>Prevention</w:t>
      </w:r>
      <w:r>
        <w:rPr>
          <w:spacing w:val="-6"/>
          <w:sz w:val="16"/>
        </w:rPr>
        <w:t> </w:t>
      </w:r>
      <w:r>
        <w:rPr>
          <w:sz w:val="16"/>
        </w:rPr>
        <w:t>(CDC),</w:t>
      </w:r>
      <w:r>
        <w:rPr>
          <w:spacing w:val="-6"/>
          <w:sz w:val="16"/>
        </w:rPr>
        <w:t> </w:t>
      </w:r>
      <w:r>
        <w:rPr>
          <w:sz w:val="16"/>
        </w:rPr>
        <w:t>“Multistate</w:t>
      </w:r>
      <w:r>
        <w:rPr>
          <w:spacing w:val="-6"/>
          <w:sz w:val="16"/>
        </w:rPr>
        <w:t> </w:t>
      </w:r>
      <w:r>
        <w:rPr>
          <w:sz w:val="16"/>
        </w:rPr>
        <w:t>outbreak</w:t>
      </w:r>
      <w:r>
        <w:rPr>
          <w:spacing w:val="40"/>
          <w:sz w:val="16"/>
        </w:rPr>
        <w:t> </w:t>
      </w:r>
      <w:r>
        <w:rPr>
          <w:sz w:val="16"/>
        </w:rPr>
        <w:t>of</w:t>
      </w:r>
      <w:r>
        <w:rPr>
          <w:spacing w:val="31"/>
          <w:sz w:val="16"/>
        </w:rPr>
        <w:t> </w:t>
      </w:r>
      <w:r>
        <w:rPr>
          <w:i/>
          <w:sz w:val="16"/>
        </w:rPr>
        <w:t>Salmonella</w:t>
      </w:r>
      <w:r>
        <w:rPr>
          <w:i/>
          <w:spacing w:val="31"/>
          <w:sz w:val="16"/>
        </w:rPr>
        <w:t> </w:t>
      </w:r>
      <w:r>
        <w:rPr>
          <w:sz w:val="16"/>
        </w:rPr>
        <w:t>infections</w:t>
      </w:r>
      <w:r>
        <w:rPr>
          <w:spacing w:val="31"/>
          <w:sz w:val="16"/>
        </w:rPr>
        <w:t> </w:t>
      </w:r>
      <w:r>
        <w:rPr>
          <w:sz w:val="16"/>
        </w:rPr>
        <w:t>linked</w:t>
      </w:r>
      <w:r>
        <w:rPr>
          <w:spacing w:val="31"/>
          <w:sz w:val="16"/>
        </w:rPr>
        <w:t> </w:t>
      </w:r>
      <w:r>
        <w:rPr>
          <w:sz w:val="16"/>
        </w:rPr>
        <w:t>to</w:t>
      </w:r>
      <w:r>
        <w:rPr>
          <w:spacing w:val="31"/>
          <w:sz w:val="16"/>
        </w:rPr>
        <w:t> </w:t>
      </w:r>
      <w:r>
        <w:rPr>
          <w:sz w:val="16"/>
        </w:rPr>
        <w:t>organic</w:t>
      </w:r>
      <w:r>
        <w:rPr>
          <w:spacing w:val="31"/>
          <w:sz w:val="16"/>
        </w:rPr>
        <w:t> </w:t>
      </w:r>
      <w:r>
        <w:rPr>
          <w:sz w:val="16"/>
        </w:rPr>
        <w:t>sprouted</w:t>
      </w:r>
      <w:r>
        <w:rPr>
          <w:spacing w:val="31"/>
          <w:sz w:val="16"/>
        </w:rPr>
        <w:t> </w:t>
      </w:r>
      <w:r>
        <w:rPr>
          <w:sz w:val="16"/>
        </w:rPr>
        <w:t>chia</w:t>
      </w:r>
      <w:r>
        <w:rPr>
          <w:spacing w:val="31"/>
          <w:sz w:val="16"/>
        </w:rPr>
        <w:t> </w:t>
      </w:r>
      <w:r>
        <w:rPr>
          <w:sz w:val="16"/>
        </w:rPr>
        <w:t>powder,</w:t>
      </w:r>
      <w:r>
        <w:rPr>
          <w:spacing w:val="31"/>
          <w:sz w:val="16"/>
        </w:rPr>
        <w:t> </w:t>
      </w:r>
      <w:r>
        <w:rPr>
          <w:sz w:val="16"/>
        </w:rPr>
        <w:t>fi-</w:t>
      </w:r>
      <w:r>
        <w:rPr>
          <w:spacing w:val="40"/>
          <w:sz w:val="16"/>
        </w:rPr>
        <w:t> </w:t>
      </w:r>
      <w:r>
        <w:rPr>
          <w:sz w:val="16"/>
        </w:rPr>
        <w:t>nal</w:t>
      </w:r>
      <w:r>
        <w:rPr>
          <w:spacing w:val="-10"/>
          <w:sz w:val="16"/>
        </w:rPr>
        <w:t> </w:t>
      </w:r>
      <w:r>
        <w:rPr>
          <w:sz w:val="16"/>
        </w:rPr>
        <w:t>update,”</w:t>
      </w:r>
      <w:r>
        <w:rPr>
          <w:spacing w:val="-10"/>
          <w:sz w:val="16"/>
        </w:rPr>
        <w:t> </w:t>
      </w:r>
      <w:r>
        <w:rPr>
          <w:sz w:val="16"/>
        </w:rPr>
        <w:t>2014.</w:t>
      </w:r>
      <w:r>
        <w:rPr>
          <w:spacing w:val="-10"/>
          <w:sz w:val="16"/>
        </w:rPr>
        <w:t> </w:t>
      </w:r>
      <w:r>
        <w:rPr>
          <w:sz w:val="16"/>
        </w:rPr>
        <w:t>[Online].</w:t>
      </w:r>
      <w:r>
        <w:rPr>
          <w:spacing w:val="-10"/>
          <w:sz w:val="16"/>
        </w:rPr>
        <w:t> </w:t>
      </w:r>
      <w:r>
        <w:rPr>
          <w:sz w:val="16"/>
        </w:rPr>
        <w:t>Available:</w:t>
      </w:r>
      <w:r>
        <w:rPr>
          <w:spacing w:val="-10"/>
          <w:sz w:val="16"/>
        </w:rPr>
        <w:t> </w:t>
      </w:r>
      <w:hyperlink r:id="rId6">
        <w:r>
          <w:rPr>
            <w:sz w:val="16"/>
          </w:rPr>
          <w:t>https://www</w:t>
        </w:r>
        <w:r>
          <w:rPr>
            <w:rFonts w:ascii="Bookman Old Style" w:hAnsi="Bookman Old Style"/>
            <w:i/>
            <w:sz w:val="16"/>
          </w:rPr>
          <w:t>.</w:t>
        </w:r>
        <w:r>
          <w:rPr>
            <w:sz w:val="16"/>
          </w:rPr>
          <w:t>cdc</w:t>
        </w:r>
        <w:r>
          <w:rPr>
            <w:rFonts w:ascii="Bookman Old Style" w:hAnsi="Bookman Old Style"/>
            <w:i/>
            <w:sz w:val="16"/>
          </w:rPr>
          <w:t>.</w:t>
        </w:r>
        <w:r>
          <w:rPr>
            <w:sz w:val="16"/>
          </w:rPr>
          <w:t>gov/salmonella/</w:t>
        </w:r>
      </w:hyperlink>
      <w:r>
        <w:rPr>
          <w:spacing w:val="40"/>
          <w:sz w:val="16"/>
        </w:rPr>
        <w:t> </w:t>
      </w:r>
      <w:bookmarkStart w:name="_bookmark4" w:id="30"/>
      <w:bookmarkEnd w:id="30"/>
      <w:r>
        <w:rPr>
          <w:w w:val="99"/>
          <w:sz w:val="16"/>
        </w:rPr>
      </w:r>
      <w:hyperlink r:id="rId6">
        <w:r>
          <w:rPr>
            <w:spacing w:val="-2"/>
            <w:sz w:val="16"/>
          </w:rPr>
          <w:t>newport-05-14/index</w:t>
        </w:r>
        <w:r>
          <w:rPr>
            <w:rFonts w:ascii="Bookman Old Style" w:hAnsi="Bookman Old Style"/>
            <w:i/>
            <w:spacing w:val="-2"/>
            <w:sz w:val="16"/>
          </w:rPr>
          <w:t>.</w:t>
        </w:r>
        <w:r>
          <w:rPr>
            <w:spacing w:val="-2"/>
            <w:sz w:val="16"/>
          </w:rPr>
          <w:t>html</w:t>
        </w:r>
      </w:hyperlink>
    </w:p>
    <w:p>
      <w:pPr>
        <w:pStyle w:val="ListParagraph"/>
        <w:numPr>
          <w:ilvl w:val="0"/>
          <w:numId w:val="8"/>
        </w:numPr>
        <w:tabs>
          <w:tab w:pos="562" w:val="left" w:leader="none"/>
        </w:tabs>
        <w:spacing w:line="178" w:lineRule="exact" w:before="0" w:after="0"/>
        <w:ind w:left="562" w:right="0" w:hanging="284"/>
        <w:jc w:val="both"/>
        <w:rPr>
          <w:sz w:val="16"/>
        </w:rPr>
      </w:pPr>
      <w:r>
        <w:rPr>
          <w:sz w:val="16"/>
        </w:rPr>
        <w:t>L.</w:t>
      </w:r>
      <w:r>
        <w:rPr>
          <w:spacing w:val="-5"/>
          <w:sz w:val="16"/>
        </w:rPr>
        <w:t> </w:t>
      </w:r>
      <w:r>
        <w:rPr>
          <w:sz w:val="16"/>
        </w:rPr>
        <w:t>R.</w:t>
      </w:r>
      <w:r>
        <w:rPr>
          <w:spacing w:val="-5"/>
          <w:sz w:val="16"/>
        </w:rPr>
        <w:t> </w:t>
      </w:r>
      <w:r>
        <w:rPr>
          <w:sz w:val="16"/>
        </w:rPr>
        <w:t>Beuchat,</w:t>
      </w:r>
      <w:r>
        <w:rPr>
          <w:spacing w:val="-5"/>
          <w:sz w:val="16"/>
        </w:rPr>
        <w:t> </w:t>
      </w:r>
      <w:r>
        <w:rPr>
          <w:sz w:val="16"/>
        </w:rPr>
        <w:t>E.</w:t>
      </w:r>
      <w:r>
        <w:rPr>
          <w:spacing w:val="-4"/>
          <w:sz w:val="16"/>
        </w:rPr>
        <w:t> </w:t>
      </w:r>
      <w:r>
        <w:rPr>
          <w:sz w:val="16"/>
        </w:rPr>
        <w:t>Komitopoulou,</w:t>
      </w:r>
      <w:r>
        <w:rPr>
          <w:spacing w:val="-5"/>
          <w:sz w:val="16"/>
        </w:rPr>
        <w:t> </w:t>
      </w:r>
      <w:r>
        <w:rPr>
          <w:sz w:val="16"/>
        </w:rPr>
        <w:t>H.</w:t>
      </w:r>
      <w:r>
        <w:rPr>
          <w:spacing w:val="-5"/>
          <w:sz w:val="16"/>
        </w:rPr>
        <w:t> </w:t>
      </w:r>
      <w:r>
        <w:rPr>
          <w:sz w:val="16"/>
        </w:rPr>
        <w:t>Beckers,</w:t>
      </w:r>
      <w:r>
        <w:rPr>
          <w:spacing w:val="-4"/>
          <w:sz w:val="16"/>
        </w:rPr>
        <w:t> </w:t>
      </w:r>
      <w:r>
        <w:rPr>
          <w:sz w:val="16"/>
        </w:rPr>
        <w:t>R.</w:t>
      </w:r>
      <w:r>
        <w:rPr>
          <w:spacing w:val="-5"/>
          <w:sz w:val="16"/>
        </w:rPr>
        <w:t> </w:t>
      </w:r>
      <w:r>
        <w:rPr>
          <w:sz w:val="16"/>
        </w:rPr>
        <w:t>P.</w:t>
      </w:r>
      <w:r>
        <w:rPr>
          <w:spacing w:val="-5"/>
          <w:sz w:val="16"/>
        </w:rPr>
        <w:t> </w:t>
      </w:r>
      <w:r>
        <w:rPr>
          <w:sz w:val="16"/>
        </w:rPr>
        <w:t>Betts,</w:t>
      </w:r>
      <w:r>
        <w:rPr>
          <w:spacing w:val="-4"/>
          <w:sz w:val="16"/>
        </w:rPr>
        <w:t> </w:t>
      </w:r>
      <w:r>
        <w:rPr>
          <w:sz w:val="16"/>
        </w:rPr>
        <w:t>F.</w:t>
      </w:r>
      <w:r>
        <w:rPr>
          <w:spacing w:val="-5"/>
          <w:sz w:val="16"/>
        </w:rPr>
        <w:t> </w:t>
      </w:r>
      <w:r>
        <w:rPr>
          <w:spacing w:val="-2"/>
          <w:sz w:val="16"/>
        </w:rPr>
        <w:t>Bourdichon,</w:t>
      </w:r>
    </w:p>
    <w:p>
      <w:pPr>
        <w:spacing w:line="232" w:lineRule="auto" w:before="2"/>
        <w:ind w:left="564" w:right="617" w:firstLine="0"/>
        <w:jc w:val="both"/>
        <w:rPr>
          <w:sz w:val="16"/>
        </w:rPr>
      </w:pPr>
      <w:r>
        <w:rPr>
          <w:sz w:val="16"/>
        </w:rPr>
        <w:t>S. Fanning, T. Joosten, and B. Ter Kuile, “Low–water activity </w:t>
      </w:r>
      <w:r>
        <w:rPr>
          <w:sz w:val="16"/>
        </w:rPr>
        <w:t>foods:</w:t>
      </w:r>
      <w:r>
        <w:rPr>
          <w:spacing w:val="40"/>
          <w:sz w:val="16"/>
        </w:rPr>
        <w:t> </w:t>
      </w:r>
      <w:r>
        <w:rPr>
          <w:sz w:val="16"/>
        </w:rPr>
        <w:t>Increased concern as vehicles of foodborne pathogens,” </w:t>
      </w:r>
      <w:r>
        <w:rPr>
          <w:i/>
          <w:sz w:val="16"/>
        </w:rPr>
        <w:t>J. Food Prot.</w:t>
      </w:r>
      <w:r>
        <w:rPr>
          <w:sz w:val="16"/>
        </w:rPr>
        <w:t>,</w:t>
      </w:r>
      <w:r>
        <w:rPr>
          <w:spacing w:val="40"/>
          <w:sz w:val="16"/>
        </w:rPr>
        <w:t> </w:t>
      </w:r>
      <w:bookmarkStart w:name="_bookmark5" w:id="31"/>
      <w:bookmarkEnd w:id="31"/>
      <w:r>
        <w:rPr>
          <w:sz w:val="16"/>
        </w:rPr>
        <w:t>v</w:t>
      </w:r>
      <w:r>
        <w:rPr>
          <w:sz w:val="16"/>
        </w:rPr>
        <w:t>ol. 76, no. 1, pp. 150–172, 2013.</w:t>
      </w:r>
    </w:p>
    <w:p>
      <w:pPr>
        <w:pStyle w:val="ListParagraph"/>
        <w:numPr>
          <w:ilvl w:val="0"/>
          <w:numId w:val="8"/>
        </w:numPr>
        <w:tabs>
          <w:tab w:pos="562" w:val="left" w:leader="none"/>
          <w:tab w:pos="564" w:val="left" w:leader="none"/>
        </w:tabs>
        <w:spacing w:line="232" w:lineRule="auto" w:before="7" w:after="0"/>
        <w:ind w:left="564" w:right="617" w:hanging="286"/>
        <w:jc w:val="both"/>
        <w:rPr>
          <w:sz w:val="16"/>
        </w:rPr>
      </w:pPr>
      <w:r>
        <w:rPr>
          <w:sz w:val="16"/>
        </w:rPr>
        <w:t>J. Baranyi and T. A. Roberts, “A dynamic approach to predicting</w:t>
      </w:r>
      <w:r>
        <w:rPr>
          <w:spacing w:val="40"/>
          <w:sz w:val="16"/>
        </w:rPr>
        <w:t> </w:t>
      </w:r>
      <w:r>
        <w:rPr>
          <w:sz w:val="16"/>
        </w:rPr>
        <w:t>bacterial growth in food,” </w:t>
      </w:r>
      <w:r>
        <w:rPr>
          <w:i/>
          <w:sz w:val="16"/>
        </w:rPr>
        <w:t>Int. J. Food Microbiol.</w:t>
      </w:r>
      <w:r>
        <w:rPr>
          <w:sz w:val="16"/>
        </w:rPr>
        <w:t>, vol. 23, pp. </w:t>
      </w:r>
      <w:r>
        <w:rPr>
          <w:sz w:val="16"/>
        </w:rPr>
        <w:t>277–294,</w:t>
      </w:r>
      <w:r>
        <w:rPr>
          <w:spacing w:val="40"/>
          <w:sz w:val="16"/>
        </w:rPr>
        <w:t> </w:t>
      </w:r>
      <w:r>
        <w:rPr>
          <w:spacing w:val="-2"/>
          <w:sz w:val="16"/>
        </w:rPr>
        <w:t>1994.</w:t>
      </w:r>
    </w:p>
    <w:p>
      <w:pPr>
        <w:pStyle w:val="ListParagraph"/>
        <w:numPr>
          <w:ilvl w:val="0"/>
          <w:numId w:val="8"/>
        </w:numPr>
        <w:tabs>
          <w:tab w:pos="562" w:val="left" w:leader="none"/>
          <w:tab w:pos="564" w:val="left" w:leader="none"/>
        </w:tabs>
        <w:spacing w:line="232" w:lineRule="auto" w:before="7" w:after="0"/>
        <w:ind w:left="564" w:right="617" w:hanging="286"/>
        <w:jc w:val="both"/>
        <w:rPr>
          <w:sz w:val="16"/>
        </w:rPr>
      </w:pPr>
      <w:r>
        <w:rPr>
          <w:sz w:val="16"/>
        </w:rPr>
        <w:t>A. E. M. Afify, H. S. El-Beltagi, S. M. El-Salam, and A. A. </w:t>
      </w:r>
      <w:r>
        <w:rPr>
          <w:sz w:val="16"/>
        </w:rPr>
        <w:t>Omran,</w:t>
      </w:r>
      <w:r>
        <w:rPr>
          <w:spacing w:val="40"/>
          <w:sz w:val="16"/>
        </w:rPr>
        <w:t> </w:t>
      </w:r>
      <w:r>
        <w:rPr>
          <w:sz w:val="16"/>
        </w:rPr>
        <w:t>“Bioavailability</w:t>
      </w:r>
      <w:r>
        <w:rPr>
          <w:spacing w:val="-10"/>
          <w:sz w:val="16"/>
        </w:rPr>
        <w:t> </w:t>
      </w:r>
      <w:r>
        <w:rPr>
          <w:sz w:val="16"/>
        </w:rPr>
        <w:t>of</w:t>
      </w:r>
      <w:r>
        <w:rPr>
          <w:spacing w:val="-10"/>
          <w:sz w:val="16"/>
        </w:rPr>
        <w:t> </w:t>
      </w:r>
      <w:r>
        <w:rPr>
          <w:sz w:val="16"/>
        </w:rPr>
        <w:t>iron,</w:t>
      </w:r>
      <w:r>
        <w:rPr>
          <w:spacing w:val="-10"/>
          <w:sz w:val="16"/>
        </w:rPr>
        <w:t> </w:t>
      </w:r>
      <w:r>
        <w:rPr>
          <w:sz w:val="16"/>
        </w:rPr>
        <w:t>zinc,</w:t>
      </w:r>
      <w:r>
        <w:rPr>
          <w:spacing w:val="-10"/>
          <w:sz w:val="16"/>
        </w:rPr>
        <w:t> </w:t>
      </w:r>
      <w:r>
        <w:rPr>
          <w:sz w:val="16"/>
        </w:rPr>
        <w:t>phytate</w:t>
      </w:r>
      <w:r>
        <w:rPr>
          <w:spacing w:val="-10"/>
          <w:sz w:val="16"/>
        </w:rPr>
        <w:t> </w:t>
      </w:r>
      <w:r>
        <w:rPr>
          <w:sz w:val="16"/>
        </w:rPr>
        <w:t>and</w:t>
      </w:r>
      <w:r>
        <w:rPr>
          <w:spacing w:val="-10"/>
          <w:sz w:val="16"/>
        </w:rPr>
        <w:t> </w:t>
      </w:r>
      <w:r>
        <w:rPr>
          <w:sz w:val="16"/>
        </w:rPr>
        <w:t>phytase</w:t>
      </w:r>
      <w:r>
        <w:rPr>
          <w:spacing w:val="-10"/>
          <w:sz w:val="16"/>
        </w:rPr>
        <w:t> </w:t>
      </w:r>
      <w:r>
        <w:rPr>
          <w:sz w:val="16"/>
        </w:rPr>
        <w:t>activity</w:t>
      </w:r>
      <w:r>
        <w:rPr>
          <w:spacing w:val="-10"/>
          <w:sz w:val="16"/>
        </w:rPr>
        <w:t> </w:t>
      </w:r>
      <w:r>
        <w:rPr>
          <w:sz w:val="16"/>
        </w:rPr>
        <w:t>during</w:t>
      </w:r>
      <w:r>
        <w:rPr>
          <w:spacing w:val="-10"/>
          <w:sz w:val="16"/>
        </w:rPr>
        <w:t> </w:t>
      </w:r>
      <w:r>
        <w:rPr>
          <w:sz w:val="16"/>
        </w:rPr>
        <w:t>soaking</w:t>
      </w:r>
      <w:r>
        <w:rPr>
          <w:spacing w:val="40"/>
          <w:sz w:val="16"/>
        </w:rPr>
        <w:t> </w:t>
      </w:r>
      <w:r>
        <w:rPr>
          <w:sz w:val="16"/>
        </w:rPr>
        <w:t>and germination of white sorghum varieties,” </w:t>
      </w:r>
      <w:r>
        <w:rPr>
          <w:i/>
          <w:sz w:val="16"/>
        </w:rPr>
        <w:t>PLoS One</w:t>
      </w:r>
      <w:r>
        <w:rPr>
          <w:sz w:val="16"/>
        </w:rPr>
        <w:t>, vol. 6, no. 10,</w:t>
      </w:r>
    </w:p>
    <w:p>
      <w:pPr>
        <w:spacing w:line="182" w:lineRule="exact" w:before="0"/>
        <w:ind w:left="564" w:right="0" w:firstLine="0"/>
        <w:jc w:val="both"/>
        <w:rPr>
          <w:sz w:val="16"/>
        </w:rPr>
      </w:pPr>
      <w:r>
        <w:rPr>
          <w:sz w:val="16"/>
        </w:rPr>
        <w:t>p.</w:t>
      </w:r>
      <w:r>
        <w:rPr>
          <w:spacing w:val="11"/>
          <w:sz w:val="16"/>
        </w:rPr>
        <w:t> </w:t>
      </w:r>
      <w:r>
        <w:rPr>
          <w:sz w:val="16"/>
        </w:rPr>
        <w:t>e25512,</w:t>
      </w:r>
      <w:r>
        <w:rPr>
          <w:spacing w:val="12"/>
          <w:sz w:val="16"/>
        </w:rPr>
        <w:t> </w:t>
      </w:r>
      <w:r>
        <w:rPr>
          <w:spacing w:val="-2"/>
          <w:sz w:val="16"/>
        </w:rPr>
        <w:t>2011.</w:t>
      </w:r>
    </w:p>
    <w:p>
      <w:pPr>
        <w:pStyle w:val="ListParagraph"/>
        <w:numPr>
          <w:ilvl w:val="0"/>
          <w:numId w:val="8"/>
        </w:numPr>
        <w:tabs>
          <w:tab w:pos="562" w:val="left" w:leader="none"/>
          <w:tab w:pos="564" w:val="left" w:leader="none"/>
        </w:tabs>
        <w:spacing w:line="230" w:lineRule="auto" w:before="6" w:after="0"/>
        <w:ind w:left="564" w:right="617" w:hanging="286"/>
        <w:jc w:val="both"/>
        <w:rPr>
          <w:sz w:val="16"/>
        </w:rPr>
      </w:pPr>
      <w:r>
        <w:rPr>
          <w:sz w:val="16"/>
        </w:rPr>
        <w:t>Alexa Internet, “How are Alexa’s traffic rankings determined?—</w:t>
      </w:r>
      <w:r>
        <w:rPr>
          <w:sz w:val="16"/>
        </w:rPr>
        <w:t>Alexa</w:t>
      </w:r>
      <w:r>
        <w:rPr>
          <w:spacing w:val="40"/>
          <w:sz w:val="16"/>
        </w:rPr>
        <w:t> </w:t>
      </w:r>
      <w:r>
        <w:rPr>
          <w:sz w:val="16"/>
        </w:rPr>
        <w:t>Support,”</w:t>
      </w:r>
      <w:r>
        <w:rPr>
          <w:spacing w:val="-9"/>
          <w:sz w:val="16"/>
        </w:rPr>
        <w:t> </w:t>
      </w:r>
      <w:r>
        <w:rPr>
          <w:sz w:val="16"/>
        </w:rPr>
        <w:t>2020.</w:t>
      </w:r>
      <w:r>
        <w:rPr>
          <w:spacing w:val="-9"/>
          <w:sz w:val="16"/>
        </w:rPr>
        <w:t> </w:t>
      </w:r>
      <w:r>
        <w:rPr>
          <w:sz w:val="16"/>
        </w:rPr>
        <w:t>[Online].</w:t>
      </w:r>
      <w:r>
        <w:rPr>
          <w:spacing w:val="-9"/>
          <w:sz w:val="16"/>
        </w:rPr>
        <w:t> </w:t>
      </w:r>
      <w:r>
        <w:rPr>
          <w:sz w:val="16"/>
        </w:rPr>
        <w:t>Available:</w:t>
      </w:r>
      <w:r>
        <w:rPr>
          <w:spacing w:val="-9"/>
          <w:sz w:val="16"/>
        </w:rPr>
        <w:t> </w:t>
      </w:r>
      <w:hyperlink r:id="rId7">
        <w:r>
          <w:rPr>
            <w:sz w:val="16"/>
          </w:rPr>
          <w:t>https://support</w:t>
        </w:r>
        <w:r>
          <w:rPr>
            <w:rFonts w:ascii="Bookman Old Style" w:hAnsi="Bookman Old Style"/>
            <w:i/>
            <w:sz w:val="16"/>
          </w:rPr>
          <w:t>.</w:t>
        </w:r>
        <w:r>
          <w:rPr>
            <w:sz w:val="16"/>
          </w:rPr>
          <w:t>alexa</w:t>
        </w:r>
        <w:r>
          <w:rPr>
            <w:rFonts w:ascii="Bookman Old Style" w:hAnsi="Bookman Old Style"/>
            <w:i/>
            <w:sz w:val="16"/>
          </w:rPr>
          <w:t>.</w:t>
        </w:r>
        <w:r>
          <w:rPr>
            <w:sz w:val="16"/>
          </w:rPr>
          <w:t>com/hc/en-us/</w:t>
        </w:r>
      </w:hyperlink>
      <w:r>
        <w:rPr>
          <w:spacing w:val="40"/>
          <w:sz w:val="16"/>
        </w:rPr>
        <w:t> </w:t>
      </w:r>
      <w:hyperlink r:id="rId7">
        <w:r>
          <w:rPr>
            <w:spacing w:val="-2"/>
            <w:sz w:val="16"/>
          </w:rPr>
          <w:t>articles/200449744-How-are-Alexa-s-traffic-rankings-determined</w:t>
        </w:r>
      </w:hyperlink>
    </w:p>
    <w:p>
      <w:pPr>
        <w:pStyle w:val="ListParagraph"/>
        <w:numPr>
          <w:ilvl w:val="0"/>
          <w:numId w:val="8"/>
        </w:numPr>
        <w:tabs>
          <w:tab w:pos="562" w:val="left" w:leader="none"/>
          <w:tab w:pos="564" w:val="left" w:leader="none"/>
        </w:tabs>
        <w:spacing w:line="230" w:lineRule="auto" w:before="9" w:after="0"/>
        <w:ind w:left="564" w:right="617" w:hanging="286"/>
        <w:jc w:val="both"/>
        <w:rPr>
          <w:sz w:val="16"/>
        </w:rPr>
      </w:pPr>
      <w:r>
        <w:rPr>
          <w:sz w:val="16"/>
        </w:rPr>
        <w:t>Almond Board of California, “California almonds technical </w:t>
      </w:r>
      <w:r>
        <w:rPr>
          <w:sz w:val="16"/>
        </w:rPr>
        <w:t>informa-</w:t>
      </w:r>
      <w:r>
        <w:rPr>
          <w:spacing w:val="40"/>
          <w:sz w:val="16"/>
        </w:rPr>
        <w:t> </w:t>
      </w:r>
      <w:r>
        <w:rPr>
          <w:sz w:val="16"/>
        </w:rPr>
        <w:t>tion,”</w:t>
      </w:r>
      <w:r>
        <w:rPr>
          <w:spacing w:val="-4"/>
          <w:sz w:val="16"/>
        </w:rPr>
        <w:t> </w:t>
      </w:r>
      <w:r>
        <w:rPr>
          <w:sz w:val="16"/>
        </w:rPr>
        <w:t>2015.</w:t>
      </w:r>
      <w:r>
        <w:rPr>
          <w:spacing w:val="-4"/>
          <w:sz w:val="16"/>
        </w:rPr>
        <w:t> </w:t>
      </w:r>
      <w:r>
        <w:rPr>
          <w:sz w:val="16"/>
        </w:rPr>
        <w:t>[Online].</w:t>
      </w:r>
      <w:r>
        <w:rPr>
          <w:spacing w:val="-4"/>
          <w:sz w:val="16"/>
        </w:rPr>
        <w:t> </w:t>
      </w:r>
      <w:r>
        <w:rPr>
          <w:sz w:val="16"/>
        </w:rPr>
        <w:t>Available:</w:t>
      </w:r>
      <w:r>
        <w:rPr>
          <w:spacing w:val="-4"/>
          <w:sz w:val="16"/>
        </w:rPr>
        <w:t> </w:t>
      </w:r>
      <w:hyperlink r:id="rId8">
        <w:r>
          <w:rPr>
            <w:sz w:val="16"/>
          </w:rPr>
          <w:t>http://www</w:t>
        </w:r>
        <w:r>
          <w:rPr>
            <w:rFonts w:ascii="Bookman Old Style" w:hAnsi="Bookman Old Style"/>
            <w:i/>
            <w:sz w:val="16"/>
          </w:rPr>
          <w:t>.</w:t>
        </w:r>
        <w:r>
          <w:rPr>
            <w:sz w:val="16"/>
          </w:rPr>
          <w:t>almonds</w:t>
        </w:r>
        <w:r>
          <w:rPr>
            <w:rFonts w:ascii="Bookman Old Style" w:hAnsi="Bookman Old Style"/>
            <w:i/>
            <w:sz w:val="16"/>
          </w:rPr>
          <w:t>.</w:t>
        </w:r>
        <w:r>
          <w:rPr>
            <w:sz w:val="16"/>
          </w:rPr>
          <w:t>com/sites/default/</w:t>
        </w:r>
      </w:hyperlink>
      <w:r>
        <w:rPr>
          <w:spacing w:val="40"/>
          <w:sz w:val="16"/>
        </w:rPr>
        <w:t> </w:t>
      </w:r>
      <w:hyperlink r:id="rId8">
        <w:r>
          <w:rPr>
            <w:spacing w:val="-2"/>
            <w:sz w:val="16"/>
          </w:rPr>
          <w:t>files/attachments/abc</w:t>
        </w:r>
        <w:r>
          <w:rPr>
            <w:spacing w:val="-1"/>
            <w:position w:val="-1"/>
            <w:sz w:val="16"/>
          </w:rPr>
          <w:drawing>
            <wp:inline distT="0" distB="0" distL="0" distR="0">
              <wp:extent cx="50609" cy="6324"/>
              <wp:effectExtent l="0" t="0" r="0" b="0"/>
              <wp:docPr id="1" name="Image 1"/>
              <wp:cNvGraphicFramePr>
                <a:graphicFrameLocks/>
              </wp:cNvGraphicFramePr>
              <a:graphic>
                <a:graphicData uri="http://schemas.openxmlformats.org/drawingml/2006/picture">
                  <pic:pic>
                    <pic:nvPicPr>
                      <pic:cNvPr id="1" name="Image 1"/>
                      <pic:cNvPicPr/>
                    </pic:nvPicPr>
                    <pic:blipFill>
                      <a:blip r:embed="rId9" cstate="print"/>
                      <a:stretch>
                        <a:fillRect/>
                      </a:stretch>
                    </pic:blipFill>
                    <pic:spPr>
                      <a:xfrm>
                        <a:off x="0" y="0"/>
                        <a:ext cx="50609" cy="6324"/>
                      </a:xfrm>
                      <a:prstGeom prst="rect">
                        <a:avLst/>
                      </a:prstGeom>
                    </pic:spPr>
                  </pic:pic>
                </a:graphicData>
              </a:graphic>
            </wp:inline>
          </w:drawing>
        </w:r>
        <w:r>
          <w:rPr>
            <w:spacing w:val="-1"/>
            <w:position w:val="-1"/>
            <w:sz w:val="16"/>
          </w:rPr>
        </w:r>
        <w:r>
          <w:rPr>
            <w:spacing w:val="-2"/>
            <w:sz w:val="16"/>
          </w:rPr>
          <w:t>technical</w:t>
        </w:r>
        <w:r>
          <w:rPr>
            <w:position w:val="-1"/>
            <w:sz w:val="16"/>
          </w:rPr>
          <w:drawing>
            <wp:inline distT="0" distB="0" distL="0" distR="0">
              <wp:extent cx="50609" cy="6324"/>
              <wp:effectExtent l="0" t="0" r="0" b="0"/>
              <wp:docPr id="2" name="Image 2"/>
              <wp:cNvGraphicFramePr>
                <a:graphicFrameLocks/>
              </wp:cNvGraphicFramePr>
              <a:graphic>
                <a:graphicData uri="http://schemas.openxmlformats.org/drawingml/2006/picture">
                  <pic:pic>
                    <pic:nvPicPr>
                      <pic:cNvPr id="2" name="Image 2"/>
                      <pic:cNvPicPr/>
                    </pic:nvPicPr>
                    <pic:blipFill>
                      <a:blip r:embed="rId9" cstate="print"/>
                      <a:stretch>
                        <a:fillRect/>
                      </a:stretch>
                    </pic:blipFill>
                    <pic:spPr>
                      <a:xfrm>
                        <a:off x="0" y="0"/>
                        <a:ext cx="50609" cy="6324"/>
                      </a:xfrm>
                      <a:prstGeom prst="rect">
                        <a:avLst/>
                      </a:prstGeom>
                    </pic:spPr>
                  </pic:pic>
                </a:graphicData>
              </a:graphic>
            </wp:inline>
          </w:drawing>
        </w:r>
        <w:r>
          <w:rPr>
            <w:position w:val="-1"/>
            <w:sz w:val="16"/>
          </w:rPr>
        </w:r>
        <w:r>
          <w:rPr>
            <w:spacing w:val="-2"/>
            <w:sz w:val="16"/>
          </w:rPr>
          <w:t>kit</w:t>
        </w:r>
        <w:r>
          <w:rPr>
            <w:position w:val="-1"/>
            <w:sz w:val="16"/>
          </w:rPr>
          <w:drawing>
            <wp:inline distT="0" distB="0" distL="0" distR="0">
              <wp:extent cx="50609" cy="6324"/>
              <wp:effectExtent l="0" t="0" r="0" b="0"/>
              <wp:docPr id="3" name="Image 3"/>
              <wp:cNvGraphicFramePr>
                <a:graphicFrameLocks/>
              </wp:cNvGraphicFramePr>
              <a:graphic>
                <a:graphicData uri="http://schemas.openxmlformats.org/drawingml/2006/picture">
                  <pic:pic>
                    <pic:nvPicPr>
                      <pic:cNvPr id="3" name="Image 3"/>
                      <pic:cNvPicPr/>
                    </pic:nvPicPr>
                    <pic:blipFill>
                      <a:blip r:embed="rId9" cstate="print"/>
                      <a:stretch>
                        <a:fillRect/>
                      </a:stretch>
                    </pic:blipFill>
                    <pic:spPr>
                      <a:xfrm>
                        <a:off x="0" y="0"/>
                        <a:ext cx="50609" cy="6324"/>
                      </a:xfrm>
                      <a:prstGeom prst="rect">
                        <a:avLst/>
                      </a:prstGeom>
                    </pic:spPr>
                  </pic:pic>
                </a:graphicData>
              </a:graphic>
            </wp:inline>
          </w:drawing>
        </w:r>
        <w:r>
          <w:rPr>
            <w:position w:val="-1"/>
            <w:sz w:val="16"/>
          </w:rPr>
        </w:r>
        <w:r>
          <w:rPr>
            <w:spacing w:val="-2"/>
            <w:sz w:val="16"/>
          </w:rPr>
          <w:t>2015</w:t>
        </w:r>
        <w:r>
          <w:rPr>
            <w:rFonts w:ascii="Bookman Old Style" w:hAnsi="Bookman Old Style"/>
            <w:i/>
            <w:spacing w:val="-2"/>
            <w:sz w:val="16"/>
          </w:rPr>
          <w:t>.</w:t>
        </w:r>
        <w:r>
          <w:rPr>
            <w:spacing w:val="-2"/>
            <w:sz w:val="16"/>
          </w:rPr>
          <w:t>pdf</w:t>
        </w:r>
      </w:hyperlink>
    </w:p>
    <w:p>
      <w:pPr>
        <w:pStyle w:val="ListParagraph"/>
        <w:numPr>
          <w:ilvl w:val="0"/>
          <w:numId w:val="8"/>
        </w:numPr>
        <w:tabs>
          <w:tab w:pos="562" w:val="left" w:leader="none"/>
          <w:tab w:pos="564" w:val="left" w:leader="none"/>
        </w:tabs>
        <w:spacing w:line="232" w:lineRule="auto" w:before="4" w:after="0"/>
        <w:ind w:left="564" w:right="617" w:hanging="286"/>
        <w:jc w:val="both"/>
        <w:rPr>
          <w:sz w:val="16"/>
        </w:rPr>
      </w:pPr>
      <w:r>
        <w:rPr>
          <w:sz w:val="16"/>
        </w:rPr>
        <w:t>T. Barrett and Y. Feng, “Content analysis of food safety implications in</w:t>
      </w:r>
      <w:r>
        <w:rPr>
          <w:spacing w:val="40"/>
          <w:sz w:val="16"/>
        </w:rPr>
        <w:t> </w:t>
      </w:r>
      <w:r>
        <w:rPr>
          <w:sz w:val="16"/>
        </w:rPr>
        <w:t>online flour-handling recipes,” </w:t>
      </w:r>
      <w:r>
        <w:rPr>
          <w:i/>
          <w:sz w:val="16"/>
        </w:rPr>
        <w:t>Br. Food J.</w:t>
      </w:r>
      <w:r>
        <w:rPr>
          <w:sz w:val="16"/>
        </w:rPr>
        <w:t>, in press.</w:t>
      </w:r>
    </w:p>
    <w:p>
      <w:pPr>
        <w:pStyle w:val="ListParagraph"/>
        <w:numPr>
          <w:ilvl w:val="0"/>
          <w:numId w:val="8"/>
        </w:numPr>
        <w:tabs>
          <w:tab w:pos="562" w:val="left" w:leader="none"/>
          <w:tab w:pos="564" w:val="left" w:leader="none"/>
        </w:tabs>
        <w:spacing w:line="232" w:lineRule="auto" w:before="6" w:after="0"/>
        <w:ind w:left="564" w:right="617" w:hanging="286"/>
        <w:jc w:val="both"/>
        <w:rPr>
          <w:sz w:val="16"/>
        </w:rPr>
      </w:pPr>
      <w:r>
        <w:rPr>
          <w:sz w:val="16"/>
        </w:rPr>
        <w:t>D.</w:t>
      </w:r>
      <w:r>
        <w:rPr>
          <w:spacing w:val="26"/>
          <w:sz w:val="16"/>
        </w:rPr>
        <w:t> </w:t>
      </w:r>
      <w:r>
        <w:rPr>
          <w:sz w:val="16"/>
        </w:rPr>
        <w:t>Borda,</w:t>
      </w:r>
      <w:r>
        <w:rPr>
          <w:spacing w:val="25"/>
          <w:sz w:val="16"/>
        </w:rPr>
        <w:t> </w:t>
      </w:r>
      <w:r>
        <w:rPr>
          <w:sz w:val="16"/>
        </w:rPr>
        <w:t>M.</w:t>
      </w:r>
      <w:r>
        <w:rPr>
          <w:spacing w:val="26"/>
          <w:sz w:val="16"/>
        </w:rPr>
        <w:t> </w:t>
      </w:r>
      <w:r>
        <w:rPr>
          <w:sz w:val="16"/>
        </w:rPr>
        <w:t>R.</w:t>
      </w:r>
      <w:r>
        <w:rPr>
          <w:spacing w:val="25"/>
          <w:sz w:val="16"/>
        </w:rPr>
        <w:t> </w:t>
      </w:r>
      <w:r>
        <w:rPr>
          <w:sz w:val="16"/>
        </w:rPr>
        <w:t>Thomas,</w:t>
      </w:r>
      <w:r>
        <w:rPr>
          <w:spacing w:val="26"/>
          <w:sz w:val="16"/>
        </w:rPr>
        <w:t> </w:t>
      </w:r>
      <w:r>
        <w:rPr>
          <w:sz w:val="16"/>
        </w:rPr>
        <w:t>S.</w:t>
      </w:r>
      <w:r>
        <w:rPr>
          <w:spacing w:val="25"/>
          <w:sz w:val="16"/>
        </w:rPr>
        <w:t> </w:t>
      </w:r>
      <w:r>
        <w:rPr>
          <w:sz w:val="16"/>
        </w:rPr>
        <w:t>Langsrud,</w:t>
      </w:r>
      <w:r>
        <w:rPr>
          <w:spacing w:val="26"/>
          <w:sz w:val="16"/>
        </w:rPr>
        <w:t> </w:t>
      </w:r>
      <w:r>
        <w:rPr>
          <w:sz w:val="16"/>
        </w:rPr>
        <w:t>K.</w:t>
      </w:r>
      <w:r>
        <w:rPr>
          <w:spacing w:val="26"/>
          <w:sz w:val="16"/>
        </w:rPr>
        <w:t> </w:t>
      </w:r>
      <w:r>
        <w:rPr>
          <w:sz w:val="16"/>
        </w:rPr>
        <w:t>Rychli,</w:t>
      </w:r>
      <w:r>
        <w:rPr>
          <w:spacing w:val="25"/>
          <w:sz w:val="16"/>
        </w:rPr>
        <w:t> </w:t>
      </w:r>
      <w:r>
        <w:rPr>
          <w:sz w:val="16"/>
        </w:rPr>
        <w:t>K.</w:t>
      </w:r>
      <w:r>
        <w:rPr>
          <w:spacing w:val="26"/>
          <w:sz w:val="16"/>
        </w:rPr>
        <w:t> </w:t>
      </w:r>
      <w:r>
        <w:rPr>
          <w:sz w:val="16"/>
        </w:rPr>
        <w:t>Jordan,</w:t>
      </w:r>
      <w:r>
        <w:rPr>
          <w:spacing w:val="25"/>
          <w:sz w:val="16"/>
        </w:rPr>
        <w:t> </w:t>
      </w:r>
      <w:r>
        <w:rPr>
          <w:sz w:val="16"/>
        </w:rPr>
        <w:t>J.</w:t>
      </w:r>
      <w:r>
        <w:rPr>
          <w:spacing w:val="26"/>
          <w:sz w:val="16"/>
        </w:rPr>
        <w:t> </w:t>
      </w:r>
      <w:r>
        <w:rPr>
          <w:sz w:val="16"/>
        </w:rPr>
        <w:t>van</w:t>
      </w:r>
      <w:r>
        <w:rPr>
          <w:spacing w:val="40"/>
          <w:sz w:val="16"/>
        </w:rPr>
        <w:t> </w:t>
      </w:r>
      <w:r>
        <w:rPr>
          <w:sz w:val="16"/>
        </w:rPr>
        <w:t>der Roest, and A. I. Nicolau, “Food safety practices in European TV</w:t>
      </w:r>
      <w:r>
        <w:rPr>
          <w:spacing w:val="40"/>
          <w:sz w:val="16"/>
        </w:rPr>
        <w:t> </w:t>
      </w:r>
      <w:r>
        <w:rPr>
          <w:sz w:val="16"/>
        </w:rPr>
        <w:t>cooking shows,” </w:t>
      </w:r>
      <w:r>
        <w:rPr>
          <w:i/>
          <w:sz w:val="16"/>
        </w:rPr>
        <w:t>Br. Food J.</w:t>
      </w:r>
      <w:r>
        <w:rPr>
          <w:sz w:val="16"/>
        </w:rPr>
        <w:t>, vol. 116, pp. 1652–1666, 2014.</w:t>
      </w:r>
    </w:p>
    <w:p>
      <w:pPr>
        <w:pStyle w:val="ListParagraph"/>
        <w:numPr>
          <w:ilvl w:val="0"/>
          <w:numId w:val="8"/>
        </w:numPr>
        <w:tabs>
          <w:tab w:pos="562" w:val="left" w:leader="none"/>
          <w:tab w:pos="564" w:val="left" w:leader="none"/>
        </w:tabs>
        <w:spacing w:line="232" w:lineRule="auto" w:before="7" w:after="0"/>
        <w:ind w:left="564" w:right="617" w:hanging="286"/>
        <w:jc w:val="both"/>
        <w:rPr>
          <w:sz w:val="16"/>
        </w:rPr>
      </w:pPr>
      <w:r>
        <w:rPr>
          <w:sz w:val="16"/>
        </w:rPr>
        <w:t>Centers for Disease Control and Prevention (CDC), “Multistate out-</w:t>
      </w:r>
      <w:r>
        <w:rPr>
          <w:spacing w:val="40"/>
          <w:sz w:val="16"/>
        </w:rPr>
        <w:t> </w:t>
      </w:r>
      <w:r>
        <w:rPr>
          <w:sz w:val="16"/>
        </w:rPr>
        <w:t>break of </w:t>
      </w:r>
      <w:r>
        <w:rPr>
          <w:i/>
          <w:sz w:val="16"/>
        </w:rPr>
        <w:t>Salmonella Stanley </w:t>
      </w:r>
      <w:r>
        <w:rPr>
          <w:sz w:val="16"/>
        </w:rPr>
        <w:t>infections linked to raw cashew </w:t>
      </w:r>
      <w:r>
        <w:rPr>
          <w:sz w:val="16"/>
        </w:rPr>
        <w:t>cheese,</w:t>
      </w:r>
      <w:r>
        <w:rPr>
          <w:spacing w:val="40"/>
          <w:sz w:val="16"/>
        </w:rPr>
        <w:t> </w:t>
      </w:r>
      <w:r>
        <w:rPr>
          <w:spacing w:val="-2"/>
          <w:sz w:val="16"/>
        </w:rPr>
        <w:t>final update,” 2014. [Online]. Available: </w:t>
      </w:r>
      <w:hyperlink r:id="rId10">
        <w:r>
          <w:rPr>
            <w:spacing w:val="-2"/>
            <w:sz w:val="16"/>
          </w:rPr>
          <w:t>http://www</w:t>
        </w:r>
        <w:r>
          <w:rPr>
            <w:rFonts w:ascii="Bookman Old Style" w:hAnsi="Bookman Old Style"/>
            <w:i/>
            <w:spacing w:val="-2"/>
            <w:sz w:val="16"/>
          </w:rPr>
          <w:t>.</w:t>
        </w:r>
        <w:r>
          <w:rPr>
            <w:spacing w:val="-2"/>
            <w:sz w:val="16"/>
          </w:rPr>
          <w:t>cdc</w:t>
        </w:r>
        <w:r>
          <w:rPr>
            <w:rFonts w:ascii="Bookman Old Style" w:hAnsi="Bookman Old Style"/>
            <w:i/>
            <w:spacing w:val="-2"/>
            <w:sz w:val="16"/>
          </w:rPr>
          <w:t>.</w:t>
        </w:r>
        <w:r>
          <w:rPr>
            <w:spacing w:val="-2"/>
            <w:sz w:val="16"/>
          </w:rPr>
          <w:t>gov/salmonella/</w:t>
        </w:r>
      </w:hyperlink>
      <w:r>
        <w:rPr>
          <w:spacing w:val="40"/>
          <w:sz w:val="16"/>
        </w:rPr>
        <w:t> </w:t>
      </w:r>
      <w:hyperlink r:id="rId10">
        <w:r>
          <w:rPr>
            <w:spacing w:val="-2"/>
            <w:sz w:val="16"/>
          </w:rPr>
          <w:t>stanley-01-14/index</w:t>
        </w:r>
        <w:r>
          <w:rPr>
            <w:rFonts w:ascii="Bookman Old Style" w:hAnsi="Bookman Old Style"/>
            <w:i/>
            <w:spacing w:val="-2"/>
            <w:sz w:val="16"/>
          </w:rPr>
          <w:t>.</w:t>
        </w:r>
        <w:r>
          <w:rPr>
            <w:spacing w:val="-2"/>
            <w:sz w:val="16"/>
          </w:rPr>
          <w:t>html</w:t>
        </w:r>
      </w:hyperlink>
    </w:p>
    <w:p>
      <w:pPr>
        <w:pStyle w:val="ListParagraph"/>
        <w:numPr>
          <w:ilvl w:val="0"/>
          <w:numId w:val="8"/>
        </w:numPr>
        <w:tabs>
          <w:tab w:pos="562" w:val="left" w:leader="none"/>
          <w:tab w:pos="564" w:val="left" w:leader="none"/>
        </w:tabs>
        <w:spacing w:line="232" w:lineRule="auto" w:before="0" w:after="0"/>
        <w:ind w:left="564" w:right="617" w:hanging="366"/>
        <w:jc w:val="both"/>
        <w:rPr>
          <w:sz w:val="16"/>
        </w:rPr>
      </w:pPr>
      <w:r>
        <w:rPr>
          <w:sz w:val="16"/>
        </w:rPr>
        <w:t>Centers</w:t>
      </w:r>
      <w:r>
        <w:rPr>
          <w:spacing w:val="-6"/>
          <w:sz w:val="16"/>
        </w:rPr>
        <w:t> </w:t>
      </w:r>
      <w:r>
        <w:rPr>
          <w:sz w:val="16"/>
        </w:rPr>
        <w:t>for</w:t>
      </w:r>
      <w:r>
        <w:rPr>
          <w:spacing w:val="-6"/>
          <w:sz w:val="16"/>
        </w:rPr>
        <w:t> </w:t>
      </w:r>
      <w:r>
        <w:rPr>
          <w:sz w:val="16"/>
        </w:rPr>
        <w:t>Disease</w:t>
      </w:r>
      <w:r>
        <w:rPr>
          <w:spacing w:val="-6"/>
          <w:sz w:val="16"/>
        </w:rPr>
        <w:t> </w:t>
      </w:r>
      <w:r>
        <w:rPr>
          <w:sz w:val="16"/>
        </w:rPr>
        <w:t>Control</w:t>
      </w:r>
      <w:r>
        <w:rPr>
          <w:spacing w:val="-6"/>
          <w:sz w:val="16"/>
        </w:rPr>
        <w:t> </w:t>
      </w:r>
      <w:r>
        <w:rPr>
          <w:sz w:val="16"/>
        </w:rPr>
        <w:t>and</w:t>
      </w:r>
      <w:r>
        <w:rPr>
          <w:spacing w:val="-6"/>
          <w:sz w:val="16"/>
        </w:rPr>
        <w:t> </w:t>
      </w:r>
      <w:r>
        <w:rPr>
          <w:sz w:val="16"/>
        </w:rPr>
        <w:t>Prevention</w:t>
      </w:r>
      <w:r>
        <w:rPr>
          <w:spacing w:val="-6"/>
          <w:sz w:val="16"/>
        </w:rPr>
        <w:t> </w:t>
      </w:r>
      <w:r>
        <w:rPr>
          <w:sz w:val="16"/>
        </w:rPr>
        <w:t>(CDC),</w:t>
      </w:r>
      <w:r>
        <w:rPr>
          <w:spacing w:val="-6"/>
          <w:sz w:val="16"/>
        </w:rPr>
        <w:t> </w:t>
      </w:r>
      <w:r>
        <w:rPr>
          <w:sz w:val="16"/>
        </w:rPr>
        <w:t>“Multistate</w:t>
      </w:r>
      <w:r>
        <w:rPr>
          <w:spacing w:val="-6"/>
          <w:sz w:val="16"/>
        </w:rPr>
        <w:t> </w:t>
      </w:r>
      <w:r>
        <w:rPr>
          <w:sz w:val="16"/>
        </w:rPr>
        <w:t>outbreak</w:t>
      </w:r>
      <w:r>
        <w:rPr>
          <w:spacing w:val="40"/>
          <w:sz w:val="16"/>
        </w:rPr>
        <w:t> </w:t>
      </w:r>
      <w:r>
        <w:rPr>
          <w:sz w:val="16"/>
        </w:rPr>
        <w:t>of</w:t>
      </w:r>
      <w:r>
        <w:rPr>
          <w:spacing w:val="38"/>
          <w:sz w:val="16"/>
        </w:rPr>
        <w:t> </w:t>
      </w:r>
      <w:r>
        <w:rPr>
          <w:i/>
          <w:sz w:val="16"/>
        </w:rPr>
        <w:t>Salmonella</w:t>
      </w:r>
      <w:r>
        <w:rPr>
          <w:i/>
          <w:spacing w:val="38"/>
          <w:sz w:val="16"/>
        </w:rPr>
        <w:t> </w:t>
      </w:r>
      <w:r>
        <w:rPr>
          <w:sz w:val="16"/>
        </w:rPr>
        <w:t>Paratyphi</w:t>
      </w:r>
      <w:r>
        <w:rPr>
          <w:spacing w:val="38"/>
          <w:sz w:val="16"/>
        </w:rPr>
        <w:t> </w:t>
      </w:r>
      <w:r>
        <w:rPr>
          <w:sz w:val="16"/>
        </w:rPr>
        <w:t>B</w:t>
      </w:r>
      <w:r>
        <w:rPr>
          <w:spacing w:val="38"/>
          <w:sz w:val="16"/>
        </w:rPr>
        <w:t> </w:t>
      </w:r>
      <w:r>
        <w:rPr>
          <w:sz w:val="16"/>
        </w:rPr>
        <w:t>variant</w:t>
      </w:r>
      <w:r>
        <w:rPr>
          <w:spacing w:val="38"/>
          <w:sz w:val="16"/>
        </w:rPr>
        <w:t> </w:t>
      </w:r>
      <w:r>
        <w:rPr>
          <w:sz w:val="16"/>
        </w:rPr>
        <w:t>L(+)</w:t>
      </w:r>
      <w:r>
        <w:rPr>
          <w:spacing w:val="38"/>
          <w:sz w:val="16"/>
        </w:rPr>
        <w:t> </w:t>
      </w:r>
      <w:r>
        <w:rPr>
          <w:sz w:val="16"/>
        </w:rPr>
        <w:t>tartrate(+)</w:t>
      </w:r>
      <w:r>
        <w:rPr>
          <w:spacing w:val="38"/>
          <w:sz w:val="16"/>
        </w:rPr>
        <w:t> </w:t>
      </w:r>
      <w:r>
        <w:rPr>
          <w:sz w:val="16"/>
        </w:rPr>
        <w:t>infections</w:t>
      </w:r>
      <w:r>
        <w:rPr>
          <w:spacing w:val="38"/>
          <w:sz w:val="16"/>
        </w:rPr>
        <w:t> </w:t>
      </w:r>
      <w:r>
        <w:rPr>
          <w:sz w:val="16"/>
        </w:rPr>
        <w:t>linked</w:t>
      </w:r>
      <w:r>
        <w:rPr>
          <w:spacing w:val="40"/>
          <w:sz w:val="16"/>
        </w:rPr>
        <w:t> </w:t>
      </w:r>
      <w:r>
        <w:rPr>
          <w:sz w:val="16"/>
        </w:rPr>
        <w:t>to JEM Raw brand sprouted nut butter spreads, final update,” 2016.</w:t>
      </w:r>
      <w:r>
        <w:rPr>
          <w:spacing w:val="40"/>
          <w:sz w:val="16"/>
        </w:rPr>
        <w:t> </w:t>
      </w:r>
      <w:r>
        <w:rPr>
          <w:spacing w:val="-2"/>
          <w:sz w:val="16"/>
        </w:rPr>
        <w:t>[Online]. Available: </w:t>
      </w:r>
      <w:hyperlink r:id="rId11">
        <w:r>
          <w:rPr>
            <w:spacing w:val="-2"/>
            <w:sz w:val="16"/>
          </w:rPr>
          <w:t>https://www</w:t>
        </w:r>
        <w:r>
          <w:rPr>
            <w:rFonts w:ascii="Bookman Old Style" w:hAnsi="Bookman Old Style"/>
            <w:i/>
            <w:spacing w:val="-2"/>
            <w:sz w:val="16"/>
          </w:rPr>
          <w:t>.</w:t>
        </w:r>
        <w:r>
          <w:rPr>
            <w:spacing w:val="-2"/>
            <w:sz w:val="16"/>
          </w:rPr>
          <w:t>cdc</w:t>
        </w:r>
        <w:r>
          <w:rPr>
            <w:rFonts w:ascii="Bookman Old Style" w:hAnsi="Bookman Old Style"/>
            <w:i/>
            <w:spacing w:val="-2"/>
            <w:sz w:val="16"/>
          </w:rPr>
          <w:t>.</w:t>
        </w:r>
        <w:r>
          <w:rPr>
            <w:spacing w:val="-2"/>
            <w:sz w:val="16"/>
          </w:rPr>
          <w:t>gov/salmonella/paratyphi-b-12-15/</w:t>
        </w:r>
      </w:hyperlink>
    </w:p>
    <w:p>
      <w:pPr>
        <w:pStyle w:val="ListParagraph"/>
        <w:spacing w:after="0" w:line="232" w:lineRule="auto"/>
        <w:jc w:val="both"/>
        <w:rPr>
          <w:sz w:val="16"/>
        </w:rPr>
        <w:sectPr>
          <w:pgSz w:w="12240" w:h="15840"/>
          <w:pgMar w:top="920" w:bottom="280" w:left="720" w:right="360"/>
          <w:cols w:num="2" w:equalWidth="0">
            <w:col w:w="5281" w:space="40"/>
            <w:col w:w="5839"/>
          </w:cols>
        </w:sectPr>
      </w:pPr>
    </w:p>
    <w:p>
      <w:pPr>
        <w:pStyle w:val="ListParagraph"/>
        <w:numPr>
          <w:ilvl w:val="0"/>
          <w:numId w:val="8"/>
        </w:numPr>
        <w:tabs>
          <w:tab w:pos="622" w:val="left" w:leader="none"/>
          <w:tab w:pos="624" w:val="left" w:leader="none"/>
        </w:tabs>
        <w:spacing w:line="232" w:lineRule="auto" w:before="73" w:after="0"/>
        <w:ind w:left="624" w:right="0" w:hanging="366"/>
        <w:jc w:val="both"/>
        <w:rPr>
          <w:sz w:val="16"/>
        </w:rPr>
      </w:pPr>
      <w:bookmarkStart w:name="_bookmark6" w:id="32"/>
      <w:bookmarkEnd w:id="32"/>
      <w:r>
        <w:rPr/>
      </w:r>
      <w:r>
        <w:rPr>
          <w:sz w:val="16"/>
        </w:rPr>
        <w:t>Centers for Disease Control and Prevention (CDC), “Foodborne </w:t>
      </w:r>
      <w:r>
        <w:rPr>
          <w:sz w:val="16"/>
        </w:rPr>
        <w:t>Out-</w:t>
      </w:r>
      <w:r>
        <w:rPr>
          <w:spacing w:val="40"/>
          <w:sz w:val="16"/>
        </w:rPr>
        <w:t> </w:t>
      </w:r>
      <w:r>
        <w:rPr>
          <w:sz w:val="16"/>
        </w:rPr>
        <w:t>break</w:t>
      </w:r>
      <w:r>
        <w:rPr>
          <w:spacing w:val="-10"/>
          <w:sz w:val="16"/>
        </w:rPr>
        <w:t> </w:t>
      </w:r>
      <w:r>
        <w:rPr>
          <w:sz w:val="16"/>
        </w:rPr>
        <w:t>Online</w:t>
      </w:r>
      <w:r>
        <w:rPr>
          <w:spacing w:val="-10"/>
          <w:sz w:val="16"/>
        </w:rPr>
        <w:t> </w:t>
      </w:r>
      <w:r>
        <w:rPr>
          <w:sz w:val="16"/>
        </w:rPr>
        <w:t>Database</w:t>
      </w:r>
      <w:r>
        <w:rPr>
          <w:spacing w:val="-10"/>
          <w:sz w:val="16"/>
        </w:rPr>
        <w:t> </w:t>
      </w:r>
      <w:r>
        <w:rPr>
          <w:sz w:val="16"/>
        </w:rPr>
        <w:t>(FOOD),”</w:t>
      </w:r>
      <w:r>
        <w:rPr>
          <w:spacing w:val="-10"/>
          <w:sz w:val="16"/>
        </w:rPr>
        <w:t> </w:t>
      </w:r>
      <w:hyperlink r:id="rId12">
        <w:r>
          <w:rPr>
            <w:sz w:val="16"/>
          </w:rPr>
          <w:t>https://www.cdc.gov/fdoss/,</w:t>
        </w:r>
      </w:hyperlink>
      <w:r>
        <w:rPr>
          <w:spacing w:val="-10"/>
          <w:sz w:val="16"/>
        </w:rPr>
        <w:t> </w:t>
      </w:r>
      <w:r>
        <w:rPr>
          <w:sz w:val="16"/>
        </w:rPr>
        <w:t>Accessed:</w:t>
      </w:r>
      <w:r>
        <w:rPr>
          <w:spacing w:val="40"/>
          <w:sz w:val="16"/>
        </w:rPr>
        <w:t> </w:t>
      </w:r>
      <w:bookmarkStart w:name="_bookmark7" w:id="33"/>
      <w:bookmarkEnd w:id="33"/>
      <w:r>
        <w:rPr>
          <w:spacing w:val="-2"/>
          <w:sz w:val="16"/>
        </w:rPr>
        <w:t>2020.</w:t>
      </w:r>
    </w:p>
    <w:p>
      <w:pPr>
        <w:pStyle w:val="ListParagraph"/>
        <w:numPr>
          <w:ilvl w:val="0"/>
          <w:numId w:val="8"/>
        </w:numPr>
        <w:tabs>
          <w:tab w:pos="622" w:val="left" w:leader="none"/>
          <w:tab w:pos="624" w:val="left" w:leader="none"/>
        </w:tabs>
        <w:spacing w:line="232" w:lineRule="auto" w:before="5" w:after="0"/>
        <w:ind w:left="624" w:right="0" w:hanging="366"/>
        <w:jc w:val="both"/>
        <w:rPr>
          <w:sz w:val="16"/>
        </w:rPr>
      </w:pPr>
      <w:r>
        <w:rPr>
          <w:sz w:val="16"/>
        </w:rPr>
        <w:t>CDC, “Multistate outbreaks of Salmonella infections linked to </w:t>
      </w:r>
      <w:r>
        <w:rPr>
          <w:sz w:val="16"/>
        </w:rPr>
        <w:t>nut</w:t>
      </w:r>
      <w:r>
        <w:rPr>
          <w:spacing w:val="40"/>
          <w:sz w:val="16"/>
        </w:rPr>
        <w:t> </w:t>
      </w:r>
      <w:bookmarkStart w:name="_bookmark8" w:id="34"/>
      <w:bookmarkEnd w:id="34"/>
      <w:r>
        <w:rPr>
          <w:sz w:val="16"/>
        </w:rPr>
        <w:t>b</w:t>
      </w:r>
      <w:r>
        <w:rPr>
          <w:sz w:val="16"/>
        </w:rPr>
        <w:t>utters and tahini,” </w:t>
      </w:r>
      <w:hyperlink r:id="rId13">
        <w:r>
          <w:rPr>
            <w:sz w:val="16"/>
          </w:rPr>
          <w:t>https://www.cdc.gov/salmonella/,</w:t>
        </w:r>
      </w:hyperlink>
      <w:r>
        <w:rPr>
          <w:sz w:val="16"/>
        </w:rPr>
        <w:t> Accessed: 2020.</w:t>
      </w:r>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U.S. Food and Drug Administration (FDA), “Enforcement </w:t>
      </w:r>
      <w:r>
        <w:rPr>
          <w:sz w:val="16"/>
        </w:rPr>
        <w:t>reports,”</w:t>
      </w:r>
      <w:r>
        <w:rPr>
          <w:spacing w:val="40"/>
          <w:sz w:val="16"/>
        </w:rPr>
        <w:t> </w:t>
      </w:r>
      <w:hyperlink r:id="rId14">
        <w:r>
          <w:rPr>
            <w:spacing w:val="-2"/>
            <w:sz w:val="16"/>
          </w:rPr>
          <w:t>https://www.fda.gov/safety/recalls-market-withdrawals-safety-alerts,</w:t>
        </w:r>
      </w:hyperlink>
      <w:r>
        <w:rPr>
          <w:spacing w:val="-3"/>
          <w:sz w:val="16"/>
        </w:rPr>
        <w:t> </w:t>
      </w:r>
      <w:r>
        <w:rPr>
          <w:spacing w:val="-2"/>
          <w:sz w:val="16"/>
        </w:rPr>
        <w:t>Ac-</w:t>
      </w:r>
      <w:r>
        <w:rPr>
          <w:spacing w:val="40"/>
          <w:sz w:val="16"/>
        </w:rPr>
        <w:t> </w:t>
      </w:r>
      <w:bookmarkStart w:name="_bookmark9" w:id="35"/>
      <w:bookmarkEnd w:id="35"/>
      <w:r>
        <w:rPr>
          <w:sz w:val="16"/>
        </w:rPr>
        <w:t>cessed:</w:t>
      </w:r>
      <w:r>
        <w:rPr>
          <w:sz w:val="16"/>
        </w:rPr>
        <w:t> 2020.</w:t>
      </w:r>
    </w:p>
    <w:p>
      <w:pPr>
        <w:pStyle w:val="ListParagraph"/>
        <w:numPr>
          <w:ilvl w:val="0"/>
          <w:numId w:val="8"/>
        </w:numPr>
        <w:tabs>
          <w:tab w:pos="622" w:val="left" w:leader="none"/>
          <w:tab w:pos="624" w:val="left" w:leader="none"/>
        </w:tabs>
        <w:spacing w:line="232" w:lineRule="auto" w:before="5" w:after="0"/>
        <w:ind w:left="624" w:right="0" w:hanging="366"/>
        <w:jc w:val="both"/>
        <w:rPr>
          <w:sz w:val="16"/>
        </w:rPr>
      </w:pPr>
      <w:r>
        <w:rPr>
          <w:sz w:val="16"/>
        </w:rPr>
        <w:t>Borda,</w:t>
      </w:r>
      <w:r>
        <w:rPr>
          <w:spacing w:val="23"/>
          <w:sz w:val="16"/>
        </w:rPr>
        <w:t> </w:t>
      </w:r>
      <w:r>
        <w:rPr>
          <w:sz w:val="16"/>
        </w:rPr>
        <w:t>D.,</w:t>
      </w:r>
      <w:r>
        <w:rPr>
          <w:spacing w:val="23"/>
          <w:sz w:val="16"/>
        </w:rPr>
        <w:t> </w:t>
      </w:r>
      <w:r>
        <w:rPr>
          <w:sz w:val="16"/>
        </w:rPr>
        <w:t>M.</w:t>
      </w:r>
      <w:r>
        <w:rPr>
          <w:spacing w:val="23"/>
          <w:sz w:val="16"/>
        </w:rPr>
        <w:t> </w:t>
      </w:r>
      <w:r>
        <w:rPr>
          <w:sz w:val="16"/>
        </w:rPr>
        <w:t>R.</w:t>
      </w:r>
      <w:r>
        <w:rPr>
          <w:spacing w:val="23"/>
          <w:sz w:val="16"/>
        </w:rPr>
        <w:t> </w:t>
      </w:r>
      <w:r>
        <w:rPr>
          <w:sz w:val="16"/>
        </w:rPr>
        <w:t>Thomas,</w:t>
      </w:r>
      <w:r>
        <w:rPr>
          <w:spacing w:val="23"/>
          <w:sz w:val="16"/>
        </w:rPr>
        <w:t> </w:t>
      </w:r>
      <w:r>
        <w:rPr>
          <w:sz w:val="16"/>
        </w:rPr>
        <w:t>S.</w:t>
      </w:r>
      <w:r>
        <w:rPr>
          <w:spacing w:val="23"/>
          <w:sz w:val="16"/>
        </w:rPr>
        <w:t> </w:t>
      </w:r>
      <w:r>
        <w:rPr>
          <w:sz w:val="16"/>
        </w:rPr>
        <w:t>Langsrud,</w:t>
      </w:r>
      <w:r>
        <w:rPr>
          <w:spacing w:val="23"/>
          <w:sz w:val="16"/>
        </w:rPr>
        <w:t> </w:t>
      </w:r>
      <w:r>
        <w:rPr>
          <w:sz w:val="16"/>
        </w:rPr>
        <w:t>K.</w:t>
      </w:r>
      <w:r>
        <w:rPr>
          <w:spacing w:val="23"/>
          <w:sz w:val="16"/>
        </w:rPr>
        <w:t> </w:t>
      </w:r>
      <w:r>
        <w:rPr>
          <w:sz w:val="16"/>
        </w:rPr>
        <w:t>Rychli,</w:t>
      </w:r>
      <w:r>
        <w:rPr>
          <w:spacing w:val="23"/>
          <w:sz w:val="16"/>
        </w:rPr>
        <w:t> </w:t>
      </w:r>
      <w:r>
        <w:rPr>
          <w:sz w:val="16"/>
        </w:rPr>
        <w:t>K.</w:t>
      </w:r>
      <w:r>
        <w:rPr>
          <w:spacing w:val="23"/>
          <w:sz w:val="16"/>
        </w:rPr>
        <w:t> </w:t>
      </w:r>
      <w:r>
        <w:rPr>
          <w:sz w:val="16"/>
        </w:rPr>
        <w:t>Jordan,</w:t>
      </w:r>
      <w:r>
        <w:rPr>
          <w:spacing w:val="23"/>
          <w:sz w:val="16"/>
        </w:rPr>
        <w:t> </w:t>
      </w:r>
      <w:r>
        <w:rPr>
          <w:sz w:val="16"/>
        </w:rPr>
        <w:t>J.</w:t>
      </w:r>
      <w:r>
        <w:rPr>
          <w:spacing w:val="23"/>
          <w:sz w:val="16"/>
        </w:rPr>
        <w:t> </w:t>
      </w:r>
      <w:r>
        <w:rPr>
          <w:sz w:val="16"/>
        </w:rPr>
        <w:t>van</w:t>
      </w:r>
      <w:r>
        <w:rPr>
          <w:spacing w:val="40"/>
          <w:sz w:val="16"/>
        </w:rPr>
        <w:t> </w:t>
      </w:r>
      <w:r>
        <w:rPr>
          <w:sz w:val="16"/>
        </w:rPr>
        <w:t>der Roest, and A. I. Nicolau, “Food safety practices in European TV</w:t>
      </w:r>
      <w:r>
        <w:rPr>
          <w:spacing w:val="40"/>
          <w:sz w:val="16"/>
        </w:rPr>
        <w:t> </w:t>
      </w:r>
      <w:bookmarkStart w:name="_bookmark10" w:id="36"/>
      <w:bookmarkEnd w:id="36"/>
      <w:r>
        <w:rPr>
          <w:sz w:val="16"/>
        </w:rPr>
        <w:t>cooking</w:t>
      </w:r>
      <w:r>
        <w:rPr>
          <w:sz w:val="16"/>
        </w:rPr>
        <w:t> shows,” *Br. Food J.*, vol. 116, pp. 1652–1666, 2014.</w:t>
      </w:r>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Blessington, T., G. Theofel, and L. Harris, “Survival of Salmonella </w:t>
      </w:r>
      <w:r>
        <w:rPr>
          <w:sz w:val="16"/>
        </w:rPr>
        <w:t>dur-</w:t>
      </w:r>
      <w:r>
        <w:rPr>
          <w:spacing w:val="40"/>
          <w:sz w:val="16"/>
        </w:rPr>
        <w:t> </w:t>
      </w:r>
      <w:r>
        <w:rPr>
          <w:sz w:val="16"/>
        </w:rPr>
        <w:t>ing drying of almond kernels,” *J. Food Prot.*, vol. 76, pp. 1242–1248,</w:t>
      </w:r>
      <w:r>
        <w:rPr>
          <w:spacing w:val="40"/>
          <w:sz w:val="16"/>
        </w:rPr>
        <w:t> </w:t>
      </w:r>
      <w:bookmarkStart w:name="_bookmark11" w:id="37"/>
      <w:bookmarkEnd w:id="37"/>
      <w:r>
        <w:rPr>
          <w:spacing w:val="-2"/>
          <w:sz w:val="16"/>
        </w:rPr>
        <w:t>2013.</w:t>
      </w:r>
    </w:p>
    <w:p>
      <w:pPr>
        <w:pStyle w:val="ListParagraph"/>
        <w:numPr>
          <w:ilvl w:val="0"/>
          <w:numId w:val="8"/>
        </w:numPr>
        <w:tabs>
          <w:tab w:pos="622" w:val="left" w:leader="none"/>
          <w:tab w:pos="624" w:val="left" w:leader="none"/>
        </w:tabs>
        <w:spacing w:line="232" w:lineRule="auto" w:before="5" w:after="0"/>
        <w:ind w:left="624" w:right="0" w:hanging="366"/>
        <w:jc w:val="both"/>
        <w:rPr>
          <w:sz w:val="16"/>
        </w:rPr>
      </w:pPr>
      <w:r>
        <w:rPr>
          <w:sz w:val="16"/>
        </w:rPr>
        <w:t>Afify, Ael M., H. S. El-Beltagi, S. M. El-Salam, and A. A. </w:t>
      </w:r>
      <w:r>
        <w:rPr>
          <w:sz w:val="16"/>
        </w:rPr>
        <w:t>Omran,</w:t>
      </w:r>
      <w:r>
        <w:rPr>
          <w:spacing w:val="40"/>
          <w:sz w:val="16"/>
        </w:rPr>
        <w:t> </w:t>
      </w:r>
      <w:r>
        <w:rPr>
          <w:sz w:val="16"/>
        </w:rPr>
        <w:t>“Bioavailability</w:t>
      </w:r>
      <w:r>
        <w:rPr>
          <w:spacing w:val="-10"/>
          <w:sz w:val="16"/>
        </w:rPr>
        <w:t> </w:t>
      </w:r>
      <w:r>
        <w:rPr>
          <w:sz w:val="16"/>
        </w:rPr>
        <w:t>of</w:t>
      </w:r>
      <w:r>
        <w:rPr>
          <w:spacing w:val="-10"/>
          <w:sz w:val="16"/>
        </w:rPr>
        <w:t> </w:t>
      </w:r>
      <w:r>
        <w:rPr>
          <w:sz w:val="16"/>
        </w:rPr>
        <w:t>iron,</w:t>
      </w:r>
      <w:r>
        <w:rPr>
          <w:spacing w:val="-10"/>
          <w:sz w:val="16"/>
        </w:rPr>
        <w:t> </w:t>
      </w:r>
      <w:r>
        <w:rPr>
          <w:sz w:val="16"/>
        </w:rPr>
        <w:t>zinc,</w:t>
      </w:r>
      <w:r>
        <w:rPr>
          <w:spacing w:val="-10"/>
          <w:sz w:val="16"/>
        </w:rPr>
        <w:t> </w:t>
      </w:r>
      <w:r>
        <w:rPr>
          <w:sz w:val="16"/>
        </w:rPr>
        <w:t>phytate</w:t>
      </w:r>
      <w:r>
        <w:rPr>
          <w:spacing w:val="-10"/>
          <w:sz w:val="16"/>
        </w:rPr>
        <w:t> </w:t>
      </w:r>
      <w:r>
        <w:rPr>
          <w:sz w:val="16"/>
        </w:rPr>
        <w:t>and</w:t>
      </w:r>
      <w:r>
        <w:rPr>
          <w:spacing w:val="-10"/>
          <w:sz w:val="16"/>
        </w:rPr>
        <w:t> </w:t>
      </w:r>
      <w:r>
        <w:rPr>
          <w:sz w:val="16"/>
        </w:rPr>
        <w:t>phytase</w:t>
      </w:r>
      <w:r>
        <w:rPr>
          <w:spacing w:val="-10"/>
          <w:sz w:val="16"/>
        </w:rPr>
        <w:t> </w:t>
      </w:r>
      <w:r>
        <w:rPr>
          <w:sz w:val="16"/>
        </w:rPr>
        <w:t>activity</w:t>
      </w:r>
      <w:r>
        <w:rPr>
          <w:spacing w:val="-10"/>
          <w:sz w:val="16"/>
        </w:rPr>
        <w:t> </w:t>
      </w:r>
      <w:r>
        <w:rPr>
          <w:sz w:val="16"/>
        </w:rPr>
        <w:t>during</w:t>
      </w:r>
      <w:r>
        <w:rPr>
          <w:spacing w:val="-10"/>
          <w:sz w:val="16"/>
        </w:rPr>
        <w:t> </w:t>
      </w:r>
      <w:r>
        <w:rPr>
          <w:sz w:val="16"/>
        </w:rPr>
        <w:t>soaking</w:t>
      </w:r>
      <w:r>
        <w:rPr>
          <w:spacing w:val="40"/>
          <w:sz w:val="16"/>
        </w:rPr>
        <w:t> </w:t>
      </w:r>
      <w:r>
        <w:rPr>
          <w:sz w:val="16"/>
        </w:rPr>
        <w:t>and germination of white sorghum varieties,” *PLoS One*, vol. 6,</w:t>
      </w:r>
      <w:r>
        <w:rPr>
          <w:spacing w:val="40"/>
          <w:sz w:val="16"/>
        </w:rPr>
        <w:t> </w:t>
      </w:r>
      <w:bookmarkStart w:name="_bookmark12" w:id="38"/>
      <w:bookmarkEnd w:id="38"/>
      <w:r>
        <w:rPr>
          <w:sz w:val="16"/>
        </w:rPr>
        <w:t>e25512,</w:t>
      </w:r>
      <w:r>
        <w:rPr>
          <w:sz w:val="16"/>
        </w:rPr>
        <w:t> 2011.</w:t>
      </w:r>
    </w:p>
    <w:p>
      <w:pPr>
        <w:pStyle w:val="ListParagraph"/>
        <w:numPr>
          <w:ilvl w:val="0"/>
          <w:numId w:val="8"/>
        </w:numPr>
        <w:tabs>
          <w:tab w:pos="622" w:val="left" w:leader="none"/>
          <w:tab w:pos="624" w:val="left" w:leader="none"/>
        </w:tabs>
        <w:spacing w:line="232" w:lineRule="auto" w:before="6" w:after="0"/>
        <w:ind w:left="624" w:right="0" w:hanging="366"/>
        <w:jc w:val="both"/>
        <w:rPr>
          <w:sz w:val="16"/>
        </w:rPr>
      </w:pPr>
      <w:r>
        <w:rPr>
          <w:sz w:val="16"/>
        </w:rPr>
        <w:t>Barrett, T. and Y. Feng, “Content analysis of food safety </w:t>
      </w:r>
      <w:r>
        <w:rPr>
          <w:sz w:val="16"/>
        </w:rPr>
        <w:t>implications</w:t>
      </w:r>
      <w:r>
        <w:rPr>
          <w:spacing w:val="80"/>
          <w:sz w:val="16"/>
        </w:rPr>
        <w:t> </w:t>
      </w:r>
      <w:bookmarkStart w:name="_bookmark13" w:id="39"/>
      <w:bookmarkEnd w:id="39"/>
      <w:r>
        <w:rPr>
          <w:sz w:val="16"/>
        </w:rPr>
        <w:t>in</w:t>
      </w:r>
      <w:r>
        <w:rPr>
          <w:sz w:val="16"/>
        </w:rPr>
        <w:t> online flour-handling recipes,” *Br. Food J.*, in press.</w:t>
      </w:r>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CDC,</w:t>
      </w:r>
      <w:r>
        <w:rPr>
          <w:spacing w:val="40"/>
          <w:sz w:val="16"/>
        </w:rPr>
        <w:t> </w:t>
      </w:r>
      <w:r>
        <w:rPr>
          <w:sz w:val="16"/>
        </w:rPr>
        <w:t>“Multistate</w:t>
      </w:r>
      <w:r>
        <w:rPr>
          <w:spacing w:val="40"/>
          <w:sz w:val="16"/>
        </w:rPr>
        <w:t> </w:t>
      </w:r>
      <w:r>
        <w:rPr>
          <w:sz w:val="16"/>
        </w:rPr>
        <w:t>outbreak</w:t>
      </w:r>
      <w:r>
        <w:rPr>
          <w:spacing w:val="40"/>
          <w:sz w:val="16"/>
        </w:rPr>
        <w:t> </w:t>
      </w:r>
      <w:r>
        <w:rPr>
          <w:sz w:val="16"/>
        </w:rPr>
        <w:t>of</w:t>
      </w:r>
      <w:r>
        <w:rPr>
          <w:spacing w:val="40"/>
          <w:sz w:val="16"/>
        </w:rPr>
        <w:t> </w:t>
      </w:r>
      <w:r>
        <w:rPr>
          <w:sz w:val="16"/>
        </w:rPr>
        <w:t>Salmonella</w:t>
      </w:r>
      <w:r>
        <w:rPr>
          <w:spacing w:val="40"/>
          <w:sz w:val="16"/>
        </w:rPr>
        <w:t> </w:t>
      </w:r>
      <w:r>
        <w:rPr>
          <w:sz w:val="16"/>
        </w:rPr>
        <w:t>Stanley</w:t>
      </w:r>
      <w:r>
        <w:rPr>
          <w:spacing w:val="40"/>
          <w:sz w:val="16"/>
        </w:rPr>
        <w:t> </w:t>
      </w:r>
      <w:r>
        <w:rPr>
          <w:sz w:val="16"/>
        </w:rPr>
        <w:t>infections</w:t>
      </w:r>
      <w:r>
        <w:rPr>
          <w:spacing w:val="40"/>
          <w:sz w:val="16"/>
        </w:rPr>
        <w:t> </w:t>
      </w:r>
      <w:r>
        <w:rPr>
          <w:sz w:val="16"/>
        </w:rPr>
        <w:t>linked</w:t>
      </w:r>
      <w:r>
        <w:rPr>
          <w:spacing w:val="40"/>
          <w:sz w:val="16"/>
        </w:rPr>
        <w:t> </w:t>
      </w:r>
      <w:r>
        <w:rPr>
          <w:sz w:val="16"/>
        </w:rPr>
        <w:t>to raw cashew cheese,” Final update, 2014. [Online]. Available:</w:t>
      </w:r>
      <w:r>
        <w:rPr>
          <w:spacing w:val="40"/>
          <w:sz w:val="16"/>
        </w:rPr>
        <w:t> </w:t>
      </w:r>
      <w:bookmarkStart w:name="_bookmark14" w:id="40"/>
      <w:bookmarkEnd w:id="40"/>
      <w:r>
        <w:rPr>
          <w:w w:val="99"/>
          <w:sz w:val="16"/>
        </w:rPr>
      </w:r>
      <w:hyperlink r:id="rId15">
        <w:r>
          <w:rPr>
            <w:spacing w:val="-2"/>
            <w:sz w:val="16"/>
          </w:rPr>
          <w:t>http://www.cdc.gov/salmonella/stanley-01-14/</w:t>
        </w:r>
      </w:hyperlink>
    </w:p>
    <w:p>
      <w:pPr>
        <w:pStyle w:val="ListParagraph"/>
        <w:numPr>
          <w:ilvl w:val="0"/>
          <w:numId w:val="8"/>
        </w:numPr>
        <w:tabs>
          <w:tab w:pos="622" w:val="left" w:leader="none"/>
          <w:tab w:pos="624" w:val="left" w:leader="none"/>
        </w:tabs>
        <w:spacing w:line="232" w:lineRule="auto" w:before="5" w:after="0"/>
        <w:ind w:left="624" w:right="0" w:hanging="366"/>
        <w:jc w:val="both"/>
        <w:rPr>
          <w:sz w:val="16"/>
        </w:rPr>
      </w:pPr>
      <w:r>
        <w:rPr>
          <w:sz w:val="16"/>
        </w:rPr>
        <w:t>CDC,</w:t>
      </w:r>
      <w:r>
        <w:rPr>
          <w:spacing w:val="40"/>
          <w:sz w:val="16"/>
        </w:rPr>
        <w:t> </w:t>
      </w:r>
      <w:r>
        <w:rPr>
          <w:sz w:val="16"/>
        </w:rPr>
        <w:t>“Multistate</w:t>
      </w:r>
      <w:r>
        <w:rPr>
          <w:spacing w:val="40"/>
          <w:sz w:val="16"/>
        </w:rPr>
        <w:t> </w:t>
      </w:r>
      <w:r>
        <w:rPr>
          <w:sz w:val="16"/>
        </w:rPr>
        <w:t>outbreak</w:t>
      </w:r>
      <w:r>
        <w:rPr>
          <w:spacing w:val="40"/>
          <w:sz w:val="16"/>
        </w:rPr>
        <w:t> </w:t>
      </w:r>
      <w:r>
        <w:rPr>
          <w:sz w:val="16"/>
        </w:rPr>
        <w:t>of</w:t>
      </w:r>
      <w:r>
        <w:rPr>
          <w:spacing w:val="40"/>
          <w:sz w:val="16"/>
        </w:rPr>
        <w:t> </w:t>
      </w:r>
      <w:r>
        <w:rPr>
          <w:sz w:val="16"/>
        </w:rPr>
        <w:t>Salmonella</w:t>
      </w:r>
      <w:r>
        <w:rPr>
          <w:spacing w:val="40"/>
          <w:sz w:val="16"/>
        </w:rPr>
        <w:t> </w:t>
      </w:r>
      <w:r>
        <w:rPr>
          <w:sz w:val="16"/>
        </w:rPr>
        <w:t>infections</w:t>
      </w:r>
      <w:r>
        <w:rPr>
          <w:spacing w:val="40"/>
          <w:sz w:val="16"/>
        </w:rPr>
        <w:t> </w:t>
      </w:r>
      <w:r>
        <w:rPr>
          <w:sz w:val="16"/>
        </w:rPr>
        <w:t>linked</w:t>
      </w:r>
      <w:r>
        <w:rPr>
          <w:spacing w:val="40"/>
          <w:sz w:val="16"/>
        </w:rPr>
        <w:t> </w:t>
      </w:r>
      <w:r>
        <w:rPr>
          <w:sz w:val="16"/>
        </w:rPr>
        <w:t>to</w:t>
      </w:r>
      <w:r>
        <w:rPr>
          <w:spacing w:val="40"/>
          <w:sz w:val="16"/>
        </w:rPr>
        <w:t> </w:t>
      </w:r>
      <w:r>
        <w:rPr>
          <w:sz w:val="16"/>
        </w:rPr>
        <w:t>or-</w:t>
      </w:r>
      <w:r>
        <w:rPr>
          <w:spacing w:val="40"/>
          <w:sz w:val="16"/>
        </w:rPr>
        <w:t> </w:t>
      </w:r>
      <w:r>
        <w:rPr>
          <w:sz w:val="16"/>
        </w:rPr>
        <w:t>ganic sprouted chia powder,” Final update, 2014. [Online]. </w:t>
      </w:r>
      <w:r>
        <w:rPr>
          <w:sz w:val="16"/>
        </w:rPr>
        <w:t>Available:</w:t>
      </w:r>
      <w:r>
        <w:rPr>
          <w:spacing w:val="40"/>
          <w:sz w:val="16"/>
        </w:rPr>
        <w:t> </w:t>
      </w:r>
      <w:bookmarkStart w:name="_bookmark15" w:id="41"/>
      <w:bookmarkEnd w:id="41"/>
      <w:r>
        <w:rPr>
          <w:w w:val="99"/>
          <w:sz w:val="16"/>
        </w:rPr>
      </w:r>
      <w:hyperlink r:id="rId16">
        <w:r>
          <w:rPr>
            <w:spacing w:val="-2"/>
            <w:sz w:val="16"/>
          </w:rPr>
          <w:t>https://www.cdc.gov/salmonella/newport-05-14/</w:t>
        </w:r>
      </w:hyperlink>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CDC,</w:t>
      </w:r>
      <w:r>
        <w:rPr>
          <w:spacing w:val="80"/>
          <w:sz w:val="16"/>
        </w:rPr>
        <w:t> </w:t>
      </w:r>
      <w:r>
        <w:rPr>
          <w:sz w:val="16"/>
        </w:rPr>
        <w:t>“Multistate</w:t>
      </w:r>
      <w:r>
        <w:rPr>
          <w:spacing w:val="80"/>
          <w:sz w:val="16"/>
        </w:rPr>
        <w:t> </w:t>
      </w:r>
      <w:r>
        <w:rPr>
          <w:sz w:val="16"/>
        </w:rPr>
        <w:t>outbreak</w:t>
      </w:r>
      <w:r>
        <w:rPr>
          <w:spacing w:val="80"/>
          <w:sz w:val="16"/>
        </w:rPr>
        <w:t> </w:t>
      </w:r>
      <w:r>
        <w:rPr>
          <w:sz w:val="16"/>
        </w:rPr>
        <w:t>of</w:t>
      </w:r>
      <w:r>
        <w:rPr>
          <w:spacing w:val="80"/>
          <w:sz w:val="16"/>
        </w:rPr>
        <w:t> </w:t>
      </w:r>
      <w:r>
        <w:rPr>
          <w:sz w:val="16"/>
        </w:rPr>
        <w:t>Salmonella</w:t>
      </w:r>
      <w:r>
        <w:rPr>
          <w:spacing w:val="80"/>
          <w:sz w:val="16"/>
        </w:rPr>
        <w:t> </w:t>
      </w:r>
      <w:r>
        <w:rPr>
          <w:sz w:val="16"/>
        </w:rPr>
        <w:t>Paratyphi</w:t>
      </w:r>
      <w:r>
        <w:rPr>
          <w:spacing w:val="80"/>
          <w:sz w:val="16"/>
        </w:rPr>
        <w:t> </w:t>
      </w:r>
      <w:r>
        <w:rPr>
          <w:sz w:val="16"/>
        </w:rPr>
        <w:t>B</w:t>
      </w:r>
      <w:r>
        <w:rPr>
          <w:spacing w:val="80"/>
          <w:sz w:val="16"/>
        </w:rPr>
        <w:t> </w:t>
      </w:r>
      <w:r>
        <w:rPr>
          <w:sz w:val="16"/>
        </w:rPr>
        <w:t>variant</w:t>
      </w:r>
      <w:r>
        <w:rPr>
          <w:spacing w:val="40"/>
          <w:sz w:val="16"/>
        </w:rPr>
        <w:t> </w:t>
      </w:r>
      <w:r>
        <w:rPr>
          <w:sz w:val="16"/>
        </w:rPr>
        <w:t>L(+)</w:t>
      </w:r>
      <w:r>
        <w:rPr>
          <w:spacing w:val="80"/>
          <w:sz w:val="16"/>
        </w:rPr>
        <w:t> </w:t>
      </w:r>
      <w:r>
        <w:rPr>
          <w:sz w:val="16"/>
        </w:rPr>
        <w:t>tartrate(+)</w:t>
      </w:r>
      <w:r>
        <w:rPr>
          <w:spacing w:val="80"/>
          <w:sz w:val="16"/>
        </w:rPr>
        <w:t> </w:t>
      </w:r>
      <w:r>
        <w:rPr>
          <w:sz w:val="16"/>
        </w:rPr>
        <w:t>infections</w:t>
      </w:r>
      <w:r>
        <w:rPr>
          <w:spacing w:val="80"/>
          <w:sz w:val="16"/>
        </w:rPr>
        <w:t> </w:t>
      </w:r>
      <w:r>
        <w:rPr>
          <w:sz w:val="16"/>
        </w:rPr>
        <w:t>linked</w:t>
      </w:r>
      <w:r>
        <w:rPr>
          <w:spacing w:val="80"/>
          <w:sz w:val="16"/>
        </w:rPr>
        <w:t> </w:t>
      </w:r>
      <w:r>
        <w:rPr>
          <w:sz w:val="16"/>
        </w:rPr>
        <w:t>to</w:t>
      </w:r>
      <w:r>
        <w:rPr>
          <w:spacing w:val="80"/>
          <w:sz w:val="16"/>
        </w:rPr>
        <w:t> </w:t>
      </w:r>
      <w:r>
        <w:rPr>
          <w:sz w:val="16"/>
        </w:rPr>
        <w:t>JEM</w:t>
      </w:r>
      <w:r>
        <w:rPr>
          <w:spacing w:val="80"/>
          <w:sz w:val="16"/>
        </w:rPr>
        <w:t> </w:t>
      </w:r>
      <w:r>
        <w:rPr>
          <w:sz w:val="16"/>
        </w:rPr>
        <w:t>Raw</w:t>
      </w:r>
      <w:r>
        <w:rPr>
          <w:spacing w:val="80"/>
          <w:sz w:val="16"/>
        </w:rPr>
        <w:t> </w:t>
      </w:r>
      <w:r>
        <w:rPr>
          <w:sz w:val="16"/>
        </w:rPr>
        <w:t>brand</w:t>
      </w:r>
      <w:r>
        <w:rPr>
          <w:spacing w:val="80"/>
          <w:sz w:val="16"/>
        </w:rPr>
        <w:t> </w:t>
      </w:r>
      <w:r>
        <w:rPr>
          <w:sz w:val="16"/>
        </w:rPr>
        <w:t>sprouted</w:t>
      </w:r>
      <w:r>
        <w:rPr>
          <w:spacing w:val="40"/>
          <w:sz w:val="16"/>
        </w:rPr>
        <w:t> </w:t>
      </w:r>
      <w:r>
        <w:rPr>
          <w:sz w:val="16"/>
        </w:rPr>
        <w:t>nut butter spreads,” Final update, 2016. [Online]. Available:</w:t>
      </w:r>
      <w:r>
        <w:rPr>
          <w:spacing w:val="40"/>
          <w:sz w:val="16"/>
        </w:rPr>
        <w:t> </w:t>
      </w:r>
      <w:bookmarkStart w:name="_bookmark16" w:id="42"/>
      <w:bookmarkEnd w:id="42"/>
      <w:r>
        <w:rPr>
          <w:w w:val="99"/>
          <w:sz w:val="16"/>
        </w:rPr>
      </w:r>
      <w:hyperlink r:id="rId17">
        <w:r>
          <w:rPr>
            <w:spacing w:val="-2"/>
            <w:sz w:val="16"/>
          </w:rPr>
          <w:t>https://www.cdc.gov/salmonella/paratyphib-12-15/</w:t>
        </w:r>
      </w:hyperlink>
    </w:p>
    <w:p>
      <w:pPr>
        <w:pStyle w:val="ListParagraph"/>
        <w:numPr>
          <w:ilvl w:val="0"/>
          <w:numId w:val="8"/>
        </w:numPr>
        <w:tabs>
          <w:tab w:pos="622" w:val="left" w:leader="none"/>
          <w:tab w:pos="624" w:val="left" w:leader="none"/>
        </w:tabs>
        <w:spacing w:line="232" w:lineRule="auto" w:before="6" w:after="0"/>
        <w:ind w:left="624" w:right="0" w:hanging="366"/>
        <w:jc w:val="both"/>
        <w:rPr>
          <w:sz w:val="16"/>
        </w:rPr>
      </w:pPr>
      <w:r>
        <w:rPr>
          <w:sz w:val="16"/>
        </w:rPr>
        <w:t>Beuchat, L. R., “Thermal inactivation of microorganisms in </w:t>
      </w:r>
      <w:r>
        <w:rPr>
          <w:sz w:val="16"/>
        </w:rPr>
        <w:t>low-</w:t>
      </w:r>
      <w:r>
        <w:rPr>
          <w:spacing w:val="40"/>
          <w:sz w:val="16"/>
        </w:rPr>
        <w:t> </w:t>
      </w:r>
      <w:bookmarkStart w:name="_bookmark17" w:id="43"/>
      <w:bookmarkEnd w:id="43"/>
      <w:r>
        <w:rPr>
          <w:sz w:val="16"/>
        </w:rPr>
        <w:t>moisture</w:t>
      </w:r>
      <w:r>
        <w:rPr>
          <w:sz w:val="16"/>
        </w:rPr>
        <w:t> foods,” *J. Food Prot.*, vol. 69, pp. 233–245, 2006.</w:t>
      </w:r>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Alexa Internet, “How are Alexa’s traffic rankings determined?” </w:t>
      </w:r>
      <w:r>
        <w:rPr>
          <w:sz w:val="16"/>
        </w:rPr>
        <w:t>Alexa</w:t>
      </w:r>
      <w:r>
        <w:rPr>
          <w:spacing w:val="40"/>
          <w:sz w:val="16"/>
        </w:rPr>
        <w:t> </w:t>
      </w:r>
      <w:r>
        <w:rPr>
          <w:sz w:val="16"/>
        </w:rPr>
        <w:t>Support, 2020. [Online]. Available: https://support.alexa.com/hc/en-</w:t>
      </w:r>
      <w:r>
        <w:rPr>
          <w:spacing w:val="40"/>
          <w:sz w:val="16"/>
        </w:rPr>
        <w:t> </w:t>
      </w:r>
      <w:bookmarkStart w:name="_bookmark18" w:id="44"/>
      <w:bookmarkEnd w:id="44"/>
      <w:r>
        <w:rPr>
          <w:spacing w:val="-2"/>
          <w:sz w:val="16"/>
        </w:rPr>
        <w:t>us/articles/200449744</w:t>
      </w:r>
    </w:p>
    <w:p>
      <w:pPr>
        <w:pStyle w:val="ListParagraph"/>
        <w:numPr>
          <w:ilvl w:val="0"/>
          <w:numId w:val="8"/>
        </w:numPr>
        <w:tabs>
          <w:tab w:pos="622" w:val="left" w:leader="none"/>
          <w:tab w:pos="624" w:val="left" w:leader="none"/>
        </w:tabs>
        <w:spacing w:line="232" w:lineRule="auto" w:before="5" w:after="0"/>
        <w:ind w:left="624" w:right="0" w:hanging="366"/>
        <w:jc w:val="both"/>
        <w:rPr>
          <w:sz w:val="16"/>
        </w:rPr>
      </w:pPr>
      <w:r>
        <w:rPr>
          <w:sz w:val="16"/>
        </w:rPr>
        <w:t>Borda, D. et al., “Food safety communication in TV shows and digital</w:t>
      </w:r>
      <w:r>
        <w:rPr>
          <w:spacing w:val="40"/>
          <w:sz w:val="16"/>
        </w:rPr>
        <w:t> </w:t>
      </w:r>
      <w:bookmarkStart w:name="_bookmark19" w:id="45"/>
      <w:bookmarkEnd w:id="45"/>
      <w:r>
        <w:rPr>
          <w:sz w:val="16"/>
        </w:rPr>
        <w:t>media</w:t>
      </w:r>
      <w:r>
        <w:rPr>
          <w:sz w:val="16"/>
        </w:rPr>
        <w:t>,” *Br. Food J.*, vol. 116, no. 10, pp. 1652–1666, 2014.</w:t>
      </w:r>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Borda, D. and A. Nicolau, “A consumer-oriented approach to </w:t>
      </w:r>
      <w:r>
        <w:rPr>
          <w:sz w:val="16"/>
        </w:rPr>
        <w:t>food</w:t>
      </w:r>
      <w:r>
        <w:rPr>
          <w:spacing w:val="40"/>
          <w:sz w:val="16"/>
        </w:rPr>
        <w:t> </w:t>
      </w:r>
      <w:bookmarkStart w:name="_bookmark20" w:id="46"/>
      <w:bookmarkEnd w:id="46"/>
      <w:r>
        <w:rPr>
          <w:sz w:val="16"/>
        </w:rPr>
        <w:t>safet</w:t>
      </w:r>
      <w:r>
        <w:rPr>
          <w:sz w:val="16"/>
        </w:rPr>
        <w:t>y,” *J. Consum. Stud.*, vol. 29, no. 1, pp. 24–32, 2013.</w:t>
      </w:r>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Jordan, K. et al., “Food safety behaviors on food blogs,” *Int. J. </w:t>
      </w:r>
      <w:r>
        <w:rPr>
          <w:sz w:val="16"/>
        </w:rPr>
        <w:t>Food</w:t>
      </w:r>
      <w:r>
        <w:rPr>
          <w:spacing w:val="40"/>
          <w:sz w:val="16"/>
        </w:rPr>
        <w:t> </w:t>
      </w:r>
      <w:bookmarkStart w:name="_bookmark21" w:id="47"/>
      <w:bookmarkEnd w:id="47"/>
      <w:r>
        <w:rPr>
          <w:sz w:val="16"/>
        </w:rPr>
        <w:t>Sci.</w:t>
      </w:r>
      <w:r>
        <w:rPr>
          <w:sz w:val="16"/>
        </w:rPr>
        <w:t> Technol.*, vol. 49, pp. 195–203, 2014.</w:t>
      </w:r>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Langsrud, S. et al., “Microbial risks in digital recipe media,” *Br. Food</w:t>
      </w:r>
      <w:r>
        <w:rPr>
          <w:spacing w:val="40"/>
          <w:sz w:val="16"/>
        </w:rPr>
        <w:t> </w:t>
      </w:r>
      <w:bookmarkStart w:name="_bookmark22" w:id="48"/>
      <w:bookmarkEnd w:id="48"/>
      <w:r>
        <w:rPr>
          <w:sz w:val="16"/>
        </w:rPr>
        <w:t>J.*,</w:t>
      </w:r>
      <w:r>
        <w:rPr>
          <w:sz w:val="16"/>
        </w:rPr>
        <w:t> vol. 118, pp. 310–321, 2016.</w:t>
      </w:r>
    </w:p>
    <w:p>
      <w:pPr>
        <w:pStyle w:val="ListParagraph"/>
        <w:numPr>
          <w:ilvl w:val="0"/>
          <w:numId w:val="8"/>
        </w:numPr>
        <w:tabs>
          <w:tab w:pos="622" w:val="left" w:leader="none"/>
          <w:tab w:pos="624" w:val="left" w:leader="none"/>
        </w:tabs>
        <w:spacing w:line="232" w:lineRule="auto" w:before="4" w:after="0"/>
        <w:ind w:left="624" w:right="0" w:hanging="366"/>
        <w:jc w:val="both"/>
        <w:rPr>
          <w:sz w:val="16"/>
        </w:rPr>
      </w:pPr>
      <w:r>
        <w:rPr>
          <w:sz w:val="16"/>
        </w:rPr>
        <w:t>Alexa</w:t>
      </w:r>
      <w:r>
        <w:rPr>
          <w:spacing w:val="80"/>
          <w:sz w:val="16"/>
        </w:rPr>
        <w:t>  </w:t>
      </w:r>
      <w:r>
        <w:rPr>
          <w:sz w:val="16"/>
        </w:rPr>
        <w:t>Internet,</w:t>
      </w:r>
      <w:r>
        <w:rPr>
          <w:spacing w:val="80"/>
          <w:sz w:val="16"/>
        </w:rPr>
        <w:t>  </w:t>
      </w:r>
      <w:r>
        <w:rPr>
          <w:sz w:val="16"/>
        </w:rPr>
        <w:t>“Top</w:t>
      </w:r>
      <w:r>
        <w:rPr>
          <w:spacing w:val="80"/>
          <w:sz w:val="16"/>
        </w:rPr>
        <w:t>  </w:t>
      </w:r>
      <w:r>
        <w:rPr>
          <w:sz w:val="16"/>
        </w:rPr>
        <w:t>Sites</w:t>
      </w:r>
      <w:r>
        <w:rPr>
          <w:spacing w:val="80"/>
          <w:sz w:val="16"/>
        </w:rPr>
        <w:t>  </w:t>
      </w:r>
      <w:r>
        <w:rPr>
          <w:sz w:val="16"/>
        </w:rPr>
        <w:t>in</w:t>
      </w:r>
      <w:r>
        <w:rPr>
          <w:spacing w:val="80"/>
          <w:sz w:val="16"/>
        </w:rPr>
        <w:t>  </w:t>
      </w:r>
      <w:r>
        <w:rPr>
          <w:sz w:val="16"/>
        </w:rPr>
        <w:t>Food</w:t>
      </w:r>
      <w:r>
        <w:rPr>
          <w:spacing w:val="80"/>
          <w:sz w:val="16"/>
        </w:rPr>
        <w:t>  </w:t>
      </w:r>
      <w:r>
        <w:rPr>
          <w:sz w:val="16"/>
        </w:rPr>
        <w:t>and</w:t>
      </w:r>
      <w:r>
        <w:rPr>
          <w:spacing w:val="80"/>
          <w:sz w:val="16"/>
        </w:rPr>
        <w:t>  </w:t>
      </w:r>
      <w:r>
        <w:rPr>
          <w:sz w:val="16"/>
        </w:rPr>
        <w:t>Drink,”</w:t>
      </w:r>
      <w:r>
        <w:rPr>
          <w:spacing w:val="40"/>
          <w:sz w:val="16"/>
        </w:rPr>
        <w:t> </w:t>
      </w:r>
      <w:r>
        <w:rPr>
          <w:sz w:val="16"/>
        </w:rPr>
        <w:t>Alexa Web Rankings, 2020. [Online]. Available:</w:t>
      </w:r>
      <w:r>
        <w:rPr>
          <w:spacing w:val="40"/>
          <w:sz w:val="16"/>
        </w:rPr>
        <w:t> </w:t>
      </w:r>
      <w:bookmarkStart w:name="_bookmark23" w:id="49"/>
      <w:bookmarkEnd w:id="49"/>
      <w:r>
        <w:rPr>
          <w:w w:val="99"/>
          <w:sz w:val="16"/>
        </w:rPr>
      </w:r>
      <w:hyperlink r:id="rId18">
        <w:r>
          <w:rPr>
            <w:spacing w:val="-2"/>
            <w:sz w:val="16"/>
          </w:rPr>
          <w:t>https://www.alexa.com/topsites/category/Top/Food</w:t>
        </w:r>
        <w:r>
          <w:rPr>
            <w:spacing w:val="-1"/>
            <w:position w:val="-1"/>
            <w:sz w:val="16"/>
          </w:rPr>
          <w:drawing>
            <wp:inline distT="0" distB="0" distL="0" distR="0">
              <wp:extent cx="50609" cy="6324"/>
              <wp:effectExtent l="0" t="0" r="0" b="0"/>
              <wp:docPr id="4" name="Image 4"/>
              <wp:cNvGraphicFramePr>
                <a:graphicFrameLocks/>
              </wp:cNvGraphicFramePr>
              <a:graphic>
                <a:graphicData uri="http://schemas.openxmlformats.org/drawingml/2006/picture">
                  <pic:pic>
                    <pic:nvPicPr>
                      <pic:cNvPr id="4" name="Image 4"/>
                      <pic:cNvPicPr/>
                    </pic:nvPicPr>
                    <pic:blipFill>
                      <a:blip r:embed="rId19" cstate="print"/>
                      <a:stretch>
                        <a:fillRect/>
                      </a:stretch>
                    </pic:blipFill>
                    <pic:spPr>
                      <a:xfrm>
                        <a:off x="0" y="0"/>
                        <a:ext cx="50609" cy="6324"/>
                      </a:xfrm>
                      <a:prstGeom prst="rect">
                        <a:avLst/>
                      </a:prstGeom>
                    </pic:spPr>
                  </pic:pic>
                </a:graphicData>
              </a:graphic>
            </wp:inline>
          </w:drawing>
        </w:r>
        <w:r>
          <w:rPr>
            <w:spacing w:val="-1"/>
            <w:position w:val="-1"/>
            <w:sz w:val="16"/>
          </w:rPr>
        </w:r>
        <w:r>
          <w:rPr>
            <w:spacing w:val="-2"/>
            <w:sz w:val="16"/>
          </w:rPr>
          <w:t>and</w:t>
        </w:r>
        <w:r>
          <w:rPr>
            <w:position w:val="-1"/>
            <w:sz w:val="16"/>
          </w:rPr>
          <w:drawing>
            <wp:inline distT="0" distB="0" distL="0" distR="0">
              <wp:extent cx="50609" cy="6324"/>
              <wp:effectExtent l="0" t="0" r="0" b="0"/>
              <wp:docPr id="5" name="Image 5"/>
              <wp:cNvGraphicFramePr>
                <a:graphicFrameLocks/>
              </wp:cNvGraphicFramePr>
              <a:graphic>
                <a:graphicData uri="http://schemas.openxmlformats.org/drawingml/2006/picture">
                  <pic:pic>
                    <pic:nvPicPr>
                      <pic:cNvPr id="5" name="Image 5"/>
                      <pic:cNvPicPr/>
                    </pic:nvPicPr>
                    <pic:blipFill>
                      <a:blip r:embed="rId19" cstate="print"/>
                      <a:stretch>
                        <a:fillRect/>
                      </a:stretch>
                    </pic:blipFill>
                    <pic:spPr>
                      <a:xfrm>
                        <a:off x="0" y="0"/>
                        <a:ext cx="50609" cy="6324"/>
                      </a:xfrm>
                      <a:prstGeom prst="rect">
                        <a:avLst/>
                      </a:prstGeom>
                    </pic:spPr>
                  </pic:pic>
                </a:graphicData>
              </a:graphic>
            </wp:inline>
          </w:drawing>
        </w:r>
        <w:r>
          <w:rPr>
            <w:position w:val="-1"/>
            <w:sz w:val="16"/>
          </w:rPr>
        </w:r>
        <w:r>
          <w:rPr>
            <w:spacing w:val="-2"/>
            <w:sz w:val="16"/>
          </w:rPr>
          <w:t>Drink</w:t>
        </w:r>
      </w:hyperlink>
    </w:p>
    <w:p>
      <w:pPr>
        <w:pStyle w:val="ListParagraph"/>
        <w:numPr>
          <w:ilvl w:val="0"/>
          <w:numId w:val="8"/>
        </w:numPr>
        <w:tabs>
          <w:tab w:pos="622" w:val="left" w:leader="none"/>
          <w:tab w:pos="624" w:val="left" w:leader="none"/>
        </w:tabs>
        <w:spacing w:line="232" w:lineRule="auto" w:before="5" w:after="0"/>
        <w:ind w:left="624" w:right="0" w:hanging="366"/>
        <w:jc w:val="both"/>
        <w:rPr>
          <w:sz w:val="16"/>
        </w:rPr>
      </w:pPr>
      <w:r>
        <w:rPr>
          <w:sz w:val="16"/>
        </w:rPr>
        <w:t>Nicolau, A. I. et al., “Misconceptions about food safety in </w:t>
      </w:r>
      <w:r>
        <w:rPr>
          <w:sz w:val="16"/>
        </w:rPr>
        <w:t>European</w:t>
      </w:r>
      <w:r>
        <w:rPr>
          <w:spacing w:val="40"/>
          <w:sz w:val="16"/>
        </w:rPr>
        <w:t> </w:t>
      </w:r>
      <w:bookmarkStart w:name="_bookmark24" w:id="50"/>
      <w:bookmarkEnd w:id="50"/>
      <w:r>
        <w:rPr>
          <w:sz w:val="16"/>
        </w:rPr>
        <w:t>blogs</w:t>
      </w:r>
      <w:r>
        <w:rPr>
          <w:sz w:val="16"/>
        </w:rPr>
        <w:t>,” *Br. Food J.*, vol. 117, no. 9, pp. 2364–2380, 2015.</w:t>
      </w:r>
    </w:p>
    <w:p>
      <w:pPr>
        <w:pStyle w:val="ListParagraph"/>
        <w:numPr>
          <w:ilvl w:val="0"/>
          <w:numId w:val="8"/>
        </w:numPr>
        <w:tabs>
          <w:tab w:pos="622" w:val="left" w:leader="none"/>
          <w:tab w:pos="624" w:val="left" w:leader="none"/>
        </w:tabs>
        <w:spacing w:line="232" w:lineRule="auto" w:before="3" w:after="0"/>
        <w:ind w:left="624" w:right="0" w:hanging="366"/>
        <w:jc w:val="both"/>
        <w:rPr>
          <w:sz w:val="16"/>
        </w:rPr>
      </w:pPr>
      <w:r>
        <w:rPr>
          <w:sz w:val="16"/>
        </w:rPr>
        <w:t>Almond</w:t>
      </w:r>
      <w:r>
        <w:rPr>
          <w:spacing w:val="80"/>
          <w:sz w:val="16"/>
        </w:rPr>
        <w:t>  </w:t>
      </w:r>
      <w:r>
        <w:rPr>
          <w:sz w:val="16"/>
        </w:rPr>
        <w:t>Board</w:t>
      </w:r>
      <w:r>
        <w:rPr>
          <w:spacing w:val="80"/>
          <w:sz w:val="16"/>
        </w:rPr>
        <w:t>  </w:t>
      </w:r>
      <w:r>
        <w:rPr>
          <w:sz w:val="16"/>
        </w:rPr>
        <w:t>of</w:t>
      </w:r>
      <w:r>
        <w:rPr>
          <w:spacing w:val="80"/>
          <w:sz w:val="16"/>
        </w:rPr>
        <w:t>  </w:t>
      </w:r>
      <w:r>
        <w:rPr>
          <w:sz w:val="16"/>
        </w:rPr>
        <w:t>California,</w:t>
      </w:r>
      <w:r>
        <w:rPr>
          <w:spacing w:val="80"/>
          <w:sz w:val="16"/>
        </w:rPr>
        <w:t>  </w:t>
      </w:r>
      <w:r>
        <w:rPr>
          <w:sz w:val="16"/>
        </w:rPr>
        <w:t>“California</w:t>
      </w:r>
      <w:r>
        <w:rPr>
          <w:spacing w:val="80"/>
          <w:sz w:val="16"/>
        </w:rPr>
        <w:t>  </w:t>
      </w:r>
      <w:r>
        <w:rPr>
          <w:sz w:val="16"/>
        </w:rPr>
        <w:t>almonds</w:t>
      </w:r>
      <w:r>
        <w:rPr>
          <w:spacing w:val="40"/>
          <w:sz w:val="16"/>
        </w:rPr>
        <w:t> </w:t>
      </w:r>
      <w:r>
        <w:rPr>
          <w:sz w:val="16"/>
        </w:rPr>
        <w:t>technical</w:t>
      </w:r>
      <w:r>
        <w:rPr>
          <w:spacing w:val="80"/>
          <w:sz w:val="16"/>
        </w:rPr>
        <w:t>   </w:t>
      </w:r>
      <w:r>
        <w:rPr>
          <w:sz w:val="16"/>
        </w:rPr>
        <w:t>information,”</w:t>
      </w:r>
      <w:r>
        <w:rPr>
          <w:spacing w:val="80"/>
          <w:sz w:val="16"/>
        </w:rPr>
        <w:t>   </w:t>
      </w:r>
      <w:r>
        <w:rPr>
          <w:sz w:val="16"/>
        </w:rPr>
        <w:t>2015.</w:t>
      </w:r>
      <w:r>
        <w:rPr>
          <w:spacing w:val="80"/>
          <w:sz w:val="16"/>
        </w:rPr>
        <w:t>   </w:t>
      </w:r>
      <w:r>
        <w:rPr>
          <w:sz w:val="16"/>
        </w:rPr>
        <w:t>[Online].</w:t>
      </w:r>
      <w:r>
        <w:rPr>
          <w:spacing w:val="80"/>
          <w:sz w:val="16"/>
        </w:rPr>
        <w:t>   </w:t>
      </w:r>
      <w:r>
        <w:rPr>
          <w:sz w:val="16"/>
        </w:rPr>
        <w:t>Available:</w:t>
      </w:r>
    </w:p>
    <w:p>
      <w:pPr>
        <w:spacing w:line="232" w:lineRule="auto" w:before="73"/>
        <w:ind w:left="564" w:right="519" w:hanging="366"/>
        <w:jc w:val="left"/>
        <w:rPr>
          <w:sz w:val="16"/>
        </w:rPr>
      </w:pPr>
      <w:r>
        <w:rPr/>
        <w:br w:type="column"/>
      </w:r>
      <w:bookmarkStart w:name="_bookmark25" w:id="51"/>
      <w:bookmarkEnd w:id="51"/>
      <w:r>
        <w:rPr/>
      </w:r>
      <w:r>
        <w:rPr>
          <w:sz w:val="16"/>
        </w:rPr>
        <w:t>[39]</w:t>
      </w:r>
      <w:r>
        <w:rPr>
          <w:spacing w:val="40"/>
          <w:sz w:val="16"/>
        </w:rPr>
        <w:t> </w:t>
      </w:r>
      <w:r>
        <w:rPr>
          <w:sz w:val="16"/>
        </w:rPr>
        <w:t>Fallon, S. and Enig, M., *Nourishing Traditions*, NewTrends </w:t>
      </w:r>
      <w:r>
        <w:rPr>
          <w:sz w:val="16"/>
        </w:rPr>
        <w:t>Publish-</w:t>
      </w:r>
      <w:r>
        <w:rPr>
          <w:spacing w:val="40"/>
          <w:sz w:val="16"/>
        </w:rPr>
        <w:t> </w:t>
      </w:r>
      <w:r>
        <w:rPr>
          <w:sz w:val="16"/>
        </w:rPr>
        <w:t>ing, 2001.</w:t>
      </w:r>
    </w:p>
    <w:p>
      <w:pPr>
        <w:spacing w:after="0" w:line="232" w:lineRule="auto"/>
        <w:jc w:val="left"/>
        <w:rPr>
          <w:sz w:val="16"/>
        </w:rPr>
        <w:sectPr>
          <w:pgSz w:w="12240" w:h="15840"/>
          <w:pgMar w:top="960" w:bottom="280" w:left="720" w:right="360"/>
          <w:cols w:num="2" w:equalWidth="0">
            <w:col w:w="5281" w:space="40"/>
            <w:col w:w="5839"/>
          </w:cols>
        </w:sectPr>
      </w:pPr>
    </w:p>
    <w:p>
      <w:pPr>
        <w:spacing w:line="181" w:lineRule="exact" w:before="0"/>
        <w:ind w:left="624" w:right="0" w:firstLine="0"/>
        <w:jc w:val="both"/>
        <w:rPr>
          <w:sz w:val="16"/>
        </w:rPr>
      </w:pPr>
      <w:bookmarkStart w:name="_bookmark26" w:id="52"/>
      <w:bookmarkEnd w:id="52"/>
      <w:r>
        <w:rPr/>
      </w:r>
      <w:hyperlink r:id="rId20">
        <w:r>
          <w:rPr>
            <w:spacing w:val="-2"/>
            <w:sz w:val="16"/>
          </w:rPr>
          <w:t>http://www.almonds.com/sites/default/files/attachments/abc</w:t>
        </w:r>
        <w:r>
          <w:rPr>
            <w:spacing w:val="-1"/>
            <w:position w:val="-1"/>
            <w:sz w:val="16"/>
          </w:rPr>
          <w:drawing>
            <wp:inline distT="0" distB="0" distL="0" distR="0">
              <wp:extent cx="50609" cy="6324"/>
              <wp:effectExtent l="0" t="0" r="0" b="0"/>
              <wp:docPr id="6" name="Image 6"/>
              <wp:cNvGraphicFramePr>
                <a:graphicFrameLocks/>
              </wp:cNvGraphicFramePr>
              <a:graphic>
                <a:graphicData uri="http://schemas.openxmlformats.org/drawingml/2006/picture">
                  <pic:pic>
                    <pic:nvPicPr>
                      <pic:cNvPr id="6" name="Image 6"/>
                      <pic:cNvPicPr/>
                    </pic:nvPicPr>
                    <pic:blipFill>
                      <a:blip r:embed="rId21" cstate="print"/>
                      <a:stretch>
                        <a:fillRect/>
                      </a:stretch>
                    </pic:blipFill>
                    <pic:spPr>
                      <a:xfrm>
                        <a:off x="0" y="0"/>
                        <a:ext cx="50609" cy="6324"/>
                      </a:xfrm>
                      <a:prstGeom prst="rect">
                        <a:avLst/>
                      </a:prstGeom>
                    </pic:spPr>
                  </pic:pic>
                </a:graphicData>
              </a:graphic>
            </wp:inline>
          </w:drawing>
        </w:r>
        <w:r>
          <w:rPr>
            <w:spacing w:val="-1"/>
            <w:position w:val="-1"/>
            <w:sz w:val="16"/>
          </w:rPr>
        </w:r>
        <w:r>
          <w:rPr>
            <w:spacing w:val="-2"/>
            <w:sz w:val="16"/>
          </w:rPr>
          <w:t>technical</w:t>
        </w:r>
        <w:r>
          <w:rPr>
            <w:position w:val="-1"/>
            <w:sz w:val="16"/>
          </w:rPr>
          <w:drawing>
            <wp:inline distT="0" distB="0" distL="0" distR="0">
              <wp:extent cx="50609" cy="6324"/>
              <wp:effectExtent l="0" t="0" r="0" b="0"/>
              <wp:docPr id="7" name="Image 7"/>
              <wp:cNvGraphicFramePr>
                <a:graphicFrameLocks/>
              </wp:cNvGraphicFramePr>
              <a:graphic>
                <a:graphicData uri="http://schemas.openxmlformats.org/drawingml/2006/picture">
                  <pic:pic>
                    <pic:nvPicPr>
                      <pic:cNvPr id="7" name="Image 7"/>
                      <pic:cNvPicPr/>
                    </pic:nvPicPr>
                    <pic:blipFill>
                      <a:blip r:embed="rId19" cstate="print"/>
                      <a:stretch>
                        <a:fillRect/>
                      </a:stretch>
                    </pic:blipFill>
                    <pic:spPr>
                      <a:xfrm>
                        <a:off x="0" y="0"/>
                        <a:ext cx="50609" cy="6324"/>
                      </a:xfrm>
                      <a:prstGeom prst="rect">
                        <a:avLst/>
                      </a:prstGeom>
                    </pic:spPr>
                  </pic:pic>
                </a:graphicData>
              </a:graphic>
            </wp:inline>
          </w:drawing>
        </w:r>
        <w:r>
          <w:rPr>
            <w:position w:val="-1"/>
            <w:sz w:val="16"/>
          </w:rPr>
        </w:r>
        <w:r>
          <w:rPr>
            <w:spacing w:val="-2"/>
            <w:sz w:val="16"/>
          </w:rPr>
          <w:t>kit</w:t>
        </w:r>
        <w:r>
          <w:rPr>
            <w:position w:val="-1"/>
            <w:sz w:val="16"/>
          </w:rPr>
          <w:drawing>
            <wp:inline distT="0" distB="0" distL="0" distR="0">
              <wp:extent cx="50609" cy="6324"/>
              <wp:effectExtent l="0" t="0" r="0" b="0"/>
              <wp:docPr id="8" name="Image 8"/>
              <wp:cNvGraphicFramePr>
                <a:graphicFrameLocks/>
              </wp:cNvGraphicFramePr>
              <a:graphic>
                <a:graphicData uri="http://schemas.openxmlformats.org/drawingml/2006/picture">
                  <pic:pic>
                    <pic:nvPicPr>
                      <pic:cNvPr id="8" name="Image 8"/>
                      <pic:cNvPicPr/>
                    </pic:nvPicPr>
                    <pic:blipFill>
                      <a:blip r:embed="rId19" cstate="print"/>
                      <a:stretch>
                        <a:fillRect/>
                      </a:stretch>
                    </pic:blipFill>
                    <pic:spPr>
                      <a:xfrm>
                        <a:off x="0" y="0"/>
                        <a:ext cx="50609" cy="6324"/>
                      </a:xfrm>
                      <a:prstGeom prst="rect">
                        <a:avLst/>
                      </a:prstGeom>
                    </pic:spPr>
                  </pic:pic>
                </a:graphicData>
              </a:graphic>
            </wp:inline>
          </w:drawing>
        </w:r>
        <w:r>
          <w:rPr>
            <w:position w:val="-1"/>
            <w:sz w:val="16"/>
          </w:rPr>
        </w:r>
        <w:r>
          <w:rPr>
            <w:spacing w:val="-2"/>
            <w:sz w:val="16"/>
          </w:rPr>
          <w:t>2015.pdf</w:t>
        </w:r>
      </w:hyperlink>
    </w:p>
    <w:p>
      <w:pPr>
        <w:pStyle w:val="ListParagraph"/>
        <w:numPr>
          <w:ilvl w:val="0"/>
          <w:numId w:val="8"/>
        </w:numPr>
        <w:tabs>
          <w:tab w:pos="622" w:val="left" w:leader="none"/>
          <w:tab w:pos="624" w:val="left" w:leader="none"/>
        </w:tabs>
        <w:spacing w:line="232" w:lineRule="auto" w:before="3" w:after="0"/>
        <w:ind w:left="624" w:right="5877" w:hanging="366"/>
        <w:jc w:val="both"/>
        <w:rPr>
          <w:sz w:val="16"/>
        </w:rPr>
      </w:pPr>
      <w:r>
        <w:rPr>
          <w:sz w:val="16"/>
        </w:rPr>
        <w:t>Borda, D. and M. R. Thomas, “Coding criteria for evaluating online</w:t>
      </w:r>
      <w:r>
        <w:rPr>
          <w:spacing w:val="40"/>
          <w:sz w:val="16"/>
        </w:rPr>
        <w:t> </w:t>
      </w:r>
      <w:r>
        <w:rPr>
          <w:sz w:val="16"/>
        </w:rPr>
        <w:t>food safety content,” *Br. Food J.*, vol. 115, no. 9, pp. </w:t>
      </w:r>
      <w:r>
        <w:rPr>
          <w:sz w:val="16"/>
        </w:rPr>
        <w:t>1314–1328,</w:t>
      </w:r>
      <w:r>
        <w:rPr>
          <w:spacing w:val="40"/>
          <w:sz w:val="16"/>
        </w:rPr>
        <w:t> </w:t>
      </w:r>
      <w:bookmarkStart w:name="_bookmark27" w:id="53"/>
      <w:bookmarkEnd w:id="53"/>
      <w:r>
        <w:rPr>
          <w:spacing w:val="-2"/>
          <w:sz w:val="16"/>
        </w:rPr>
        <w:t>2013.</w:t>
      </w:r>
    </w:p>
    <w:p>
      <w:pPr>
        <w:pStyle w:val="ListParagraph"/>
        <w:numPr>
          <w:ilvl w:val="0"/>
          <w:numId w:val="8"/>
        </w:numPr>
        <w:tabs>
          <w:tab w:pos="622" w:val="left" w:leader="none"/>
          <w:tab w:pos="624" w:val="left" w:leader="none"/>
        </w:tabs>
        <w:spacing w:line="232" w:lineRule="auto" w:before="5" w:after="0"/>
        <w:ind w:left="624" w:right="5877" w:hanging="366"/>
        <w:jc w:val="both"/>
        <w:rPr>
          <w:sz w:val="16"/>
        </w:rPr>
      </w:pPr>
      <w:r>
        <w:rPr>
          <w:sz w:val="16"/>
        </w:rPr>
        <w:t>Jordan, K. and T. Barrett, “Online cooking videos and their impact on</w:t>
      </w:r>
      <w:r>
        <w:rPr>
          <w:spacing w:val="40"/>
          <w:sz w:val="16"/>
        </w:rPr>
        <w:t> </w:t>
      </w:r>
      <w:bookmarkStart w:name="_bookmark28" w:id="54"/>
      <w:bookmarkEnd w:id="54"/>
      <w:r>
        <w:rPr>
          <w:sz w:val="16"/>
        </w:rPr>
        <w:t>food</w:t>
      </w:r>
      <w:r>
        <w:rPr>
          <w:sz w:val="16"/>
        </w:rPr>
        <w:t> handling,” *Food Control*, vol. 77, pp. 42–50, 2017.</w:t>
      </w:r>
    </w:p>
    <w:p>
      <w:pPr>
        <w:pStyle w:val="ListParagraph"/>
        <w:numPr>
          <w:ilvl w:val="0"/>
          <w:numId w:val="8"/>
        </w:numPr>
        <w:tabs>
          <w:tab w:pos="622" w:val="left" w:leader="none"/>
          <w:tab w:pos="624" w:val="left" w:leader="none"/>
        </w:tabs>
        <w:spacing w:line="232" w:lineRule="auto" w:before="4" w:after="0"/>
        <w:ind w:left="624" w:right="5877" w:hanging="366"/>
        <w:jc w:val="both"/>
        <w:rPr>
          <w:sz w:val="16"/>
        </w:rPr>
      </w:pPr>
      <w:r>
        <w:rPr>
          <w:sz w:val="16"/>
        </w:rPr>
        <w:t>Nicolau, A. I., Borda, D., Rychli, K., and Thomas, M. R., “Digital</w:t>
      </w:r>
      <w:r>
        <w:rPr>
          <w:spacing w:val="40"/>
          <w:sz w:val="16"/>
        </w:rPr>
        <w:t> </w:t>
      </w:r>
      <w:r>
        <w:rPr>
          <w:sz w:val="16"/>
        </w:rPr>
        <w:t>outreach on food safety,” *Br. Food J.*, vol. 120, no. 7, pp. 1506–1522,</w:t>
      </w:r>
      <w:r>
        <w:rPr>
          <w:spacing w:val="40"/>
          <w:sz w:val="16"/>
        </w:rPr>
        <w:t> </w:t>
      </w:r>
      <w:bookmarkStart w:name="_bookmark29" w:id="55"/>
      <w:bookmarkEnd w:id="55"/>
      <w:r>
        <w:rPr>
          <w:spacing w:val="-2"/>
          <w:sz w:val="16"/>
        </w:rPr>
        <w:t>2018.</w:t>
      </w:r>
    </w:p>
    <w:p>
      <w:pPr>
        <w:pStyle w:val="ListParagraph"/>
        <w:numPr>
          <w:ilvl w:val="0"/>
          <w:numId w:val="8"/>
        </w:numPr>
        <w:tabs>
          <w:tab w:pos="622" w:val="left" w:leader="none"/>
          <w:tab w:pos="624" w:val="left" w:leader="none"/>
        </w:tabs>
        <w:spacing w:line="232" w:lineRule="auto" w:before="5" w:after="0"/>
        <w:ind w:left="624" w:right="5877" w:hanging="366"/>
        <w:jc w:val="both"/>
        <w:rPr>
          <w:sz w:val="16"/>
        </w:rPr>
      </w:pPr>
      <w:r>
        <w:rPr>
          <w:sz w:val="16"/>
        </w:rPr>
        <w:t>Feng,</w:t>
      </w:r>
      <w:r>
        <w:rPr>
          <w:spacing w:val="-2"/>
          <w:sz w:val="16"/>
        </w:rPr>
        <w:t> </w:t>
      </w:r>
      <w:r>
        <w:rPr>
          <w:sz w:val="16"/>
        </w:rPr>
        <w:t>Y.,</w:t>
      </w:r>
      <w:r>
        <w:rPr>
          <w:spacing w:val="-2"/>
          <w:sz w:val="16"/>
        </w:rPr>
        <w:t> </w:t>
      </w:r>
      <w:r>
        <w:rPr>
          <w:sz w:val="16"/>
        </w:rPr>
        <w:t>et</w:t>
      </w:r>
      <w:r>
        <w:rPr>
          <w:spacing w:val="-2"/>
          <w:sz w:val="16"/>
        </w:rPr>
        <w:t> </w:t>
      </w:r>
      <w:r>
        <w:rPr>
          <w:sz w:val="16"/>
        </w:rPr>
        <w:t>al.,</w:t>
      </w:r>
      <w:r>
        <w:rPr>
          <w:spacing w:val="-2"/>
          <w:sz w:val="16"/>
        </w:rPr>
        <w:t> </w:t>
      </w:r>
      <w:r>
        <w:rPr>
          <w:sz w:val="16"/>
        </w:rPr>
        <w:t>“Foodborne</w:t>
      </w:r>
      <w:r>
        <w:rPr>
          <w:spacing w:val="-2"/>
          <w:sz w:val="16"/>
        </w:rPr>
        <w:t> </w:t>
      </w:r>
      <w:r>
        <w:rPr>
          <w:sz w:val="16"/>
        </w:rPr>
        <w:t>pathogen</w:t>
      </w:r>
      <w:r>
        <w:rPr>
          <w:spacing w:val="-2"/>
          <w:sz w:val="16"/>
        </w:rPr>
        <w:t> </w:t>
      </w:r>
      <w:r>
        <w:rPr>
          <w:sz w:val="16"/>
        </w:rPr>
        <w:t>behavior</w:t>
      </w:r>
      <w:r>
        <w:rPr>
          <w:spacing w:val="-2"/>
          <w:sz w:val="16"/>
        </w:rPr>
        <w:t> </w:t>
      </w:r>
      <w:r>
        <w:rPr>
          <w:sz w:val="16"/>
        </w:rPr>
        <w:t>in</w:t>
      </w:r>
      <w:r>
        <w:rPr>
          <w:spacing w:val="-2"/>
          <w:sz w:val="16"/>
        </w:rPr>
        <w:t> </w:t>
      </w:r>
      <w:r>
        <w:rPr>
          <w:sz w:val="16"/>
        </w:rPr>
        <w:t>soaking</w:t>
      </w:r>
      <w:r>
        <w:rPr>
          <w:spacing w:val="-2"/>
          <w:sz w:val="16"/>
        </w:rPr>
        <w:t> </w:t>
      </w:r>
      <w:r>
        <w:rPr>
          <w:sz w:val="16"/>
        </w:rPr>
        <w:t>almonds,”</w:t>
      </w:r>
      <w:r>
        <w:rPr>
          <w:spacing w:val="-2"/>
          <w:sz w:val="16"/>
        </w:rPr>
        <w:t> </w:t>
      </w:r>
      <w:r>
        <w:rPr>
          <w:sz w:val="16"/>
        </w:rPr>
        <w:t>*J.</w:t>
      </w:r>
      <w:r>
        <w:rPr>
          <w:spacing w:val="40"/>
          <w:sz w:val="16"/>
        </w:rPr>
        <w:t> </w:t>
      </w:r>
      <w:r>
        <w:rPr>
          <w:sz w:val="16"/>
        </w:rPr>
        <w:t>Food Prot.*, vol. 83, no. 12, pp. 2122–2133, 2020.</w:t>
      </w:r>
    </w:p>
    <w:p>
      <w:pPr>
        <w:pStyle w:val="ListParagraph"/>
        <w:numPr>
          <w:ilvl w:val="0"/>
          <w:numId w:val="8"/>
        </w:numPr>
        <w:tabs>
          <w:tab w:pos="622" w:val="left" w:leader="none"/>
          <w:tab w:pos="624" w:val="left" w:leader="none"/>
        </w:tabs>
        <w:spacing w:line="232" w:lineRule="auto" w:before="3" w:after="0"/>
        <w:ind w:left="624" w:right="5877" w:hanging="366"/>
        <w:jc w:val="both"/>
        <w:rPr>
          <w:sz w:val="16"/>
        </w:rPr>
      </w:pPr>
      <w:r>
        <w:rPr>
          <w:sz w:val="16"/>
        </w:rPr>
        <w:t>CDC,</w:t>
      </w:r>
      <w:r>
        <w:rPr>
          <w:spacing w:val="40"/>
          <w:sz w:val="16"/>
        </w:rPr>
        <w:t>  </w:t>
      </w:r>
      <w:r>
        <w:rPr>
          <w:sz w:val="16"/>
        </w:rPr>
        <w:t>“Salmonella</w:t>
      </w:r>
      <w:r>
        <w:rPr>
          <w:spacing w:val="40"/>
          <w:sz w:val="16"/>
        </w:rPr>
        <w:t>  </w:t>
      </w:r>
      <w:r>
        <w:rPr>
          <w:sz w:val="16"/>
        </w:rPr>
        <w:t>outbreak</w:t>
      </w:r>
      <w:r>
        <w:rPr>
          <w:spacing w:val="40"/>
          <w:sz w:val="16"/>
        </w:rPr>
        <w:t>  </w:t>
      </w:r>
      <w:r>
        <w:rPr>
          <w:sz w:val="16"/>
        </w:rPr>
        <w:t>linked</w:t>
      </w:r>
      <w:r>
        <w:rPr>
          <w:spacing w:val="40"/>
          <w:sz w:val="16"/>
        </w:rPr>
        <w:t>  </w:t>
      </w:r>
      <w:r>
        <w:rPr>
          <w:sz w:val="16"/>
        </w:rPr>
        <w:t>to</w:t>
      </w:r>
      <w:r>
        <w:rPr>
          <w:spacing w:val="40"/>
          <w:sz w:val="16"/>
        </w:rPr>
        <w:t>  </w:t>
      </w:r>
      <w:r>
        <w:rPr>
          <w:sz w:val="16"/>
        </w:rPr>
        <w:t>sprouted</w:t>
      </w:r>
      <w:r>
        <w:rPr>
          <w:spacing w:val="40"/>
          <w:sz w:val="16"/>
        </w:rPr>
        <w:t>  </w:t>
      </w:r>
      <w:r>
        <w:rPr>
          <w:sz w:val="16"/>
        </w:rPr>
        <w:t>chia</w:t>
      </w:r>
      <w:r>
        <w:rPr>
          <w:spacing w:val="80"/>
          <w:sz w:val="16"/>
        </w:rPr>
        <w:t> </w:t>
      </w:r>
      <w:r>
        <w:rPr>
          <w:sz w:val="16"/>
        </w:rPr>
        <w:t>powder,” Final update, 2014. [Online]. Available:</w:t>
      </w:r>
      <w:r>
        <w:rPr>
          <w:spacing w:val="40"/>
          <w:sz w:val="16"/>
        </w:rPr>
        <w:t> </w:t>
      </w:r>
      <w:hyperlink r:id="rId22">
        <w:r>
          <w:rPr>
            <w:spacing w:val="-2"/>
            <w:sz w:val="16"/>
          </w:rPr>
          <w:t>https://www.cdc.gov/salmonella/newport-05-14/index.html</w:t>
        </w:r>
      </w:hyperlink>
    </w:p>
    <w:p>
      <w:pPr>
        <w:pStyle w:val="ListParagraph"/>
        <w:numPr>
          <w:ilvl w:val="0"/>
          <w:numId w:val="8"/>
        </w:numPr>
        <w:tabs>
          <w:tab w:pos="622" w:val="left" w:leader="none"/>
          <w:tab w:pos="624" w:val="left" w:leader="none"/>
        </w:tabs>
        <w:spacing w:line="232" w:lineRule="auto" w:before="5" w:after="0"/>
        <w:ind w:left="624" w:right="5877" w:hanging="366"/>
        <w:jc w:val="both"/>
        <w:rPr>
          <w:sz w:val="16"/>
        </w:rPr>
      </w:pPr>
      <w:r>
        <w:rPr>
          <w:sz w:val="16"/>
        </w:rPr>
        <w:t>Beuchat, L. R., “Survival of pathogenic bacteria in dry foods,” *J. Food</w:t>
      </w:r>
      <w:r>
        <w:rPr>
          <w:spacing w:val="40"/>
          <w:sz w:val="16"/>
        </w:rPr>
        <w:t> </w:t>
      </w:r>
      <w:bookmarkStart w:name="_bookmark30" w:id="56"/>
      <w:bookmarkEnd w:id="56"/>
      <w:r>
        <w:rPr>
          <w:sz w:val="16"/>
        </w:rPr>
        <w:t>Prot.*,</w:t>
      </w:r>
      <w:r>
        <w:rPr>
          <w:sz w:val="16"/>
        </w:rPr>
        <w:t> vol. 69, pp. 233–241, 2006.</w:t>
      </w:r>
    </w:p>
    <w:p>
      <w:pPr>
        <w:pStyle w:val="ListParagraph"/>
        <w:numPr>
          <w:ilvl w:val="0"/>
          <w:numId w:val="8"/>
        </w:numPr>
        <w:tabs>
          <w:tab w:pos="622" w:val="left" w:leader="none"/>
          <w:tab w:pos="624" w:val="left" w:leader="none"/>
        </w:tabs>
        <w:spacing w:line="232" w:lineRule="auto" w:before="4" w:after="0"/>
        <w:ind w:left="624" w:right="5877" w:hanging="366"/>
        <w:jc w:val="both"/>
        <w:rPr>
          <w:sz w:val="16"/>
        </w:rPr>
      </w:pPr>
      <w:r>
        <w:rPr>
          <w:sz w:val="16"/>
        </w:rPr>
        <w:t>Blessington,</w:t>
      </w:r>
      <w:r>
        <w:rPr>
          <w:spacing w:val="-8"/>
          <w:sz w:val="16"/>
        </w:rPr>
        <w:t> </w:t>
      </w:r>
      <w:r>
        <w:rPr>
          <w:sz w:val="16"/>
        </w:rPr>
        <w:t>T.,</w:t>
      </w:r>
      <w:r>
        <w:rPr>
          <w:spacing w:val="-8"/>
          <w:sz w:val="16"/>
        </w:rPr>
        <w:t> </w:t>
      </w:r>
      <w:r>
        <w:rPr>
          <w:sz w:val="16"/>
        </w:rPr>
        <w:t>Theofel,</w:t>
      </w:r>
      <w:r>
        <w:rPr>
          <w:spacing w:val="-8"/>
          <w:sz w:val="16"/>
        </w:rPr>
        <w:t> </w:t>
      </w:r>
      <w:r>
        <w:rPr>
          <w:sz w:val="16"/>
        </w:rPr>
        <w:t>C.</w:t>
      </w:r>
      <w:r>
        <w:rPr>
          <w:spacing w:val="-8"/>
          <w:sz w:val="16"/>
        </w:rPr>
        <w:t> </w:t>
      </w:r>
      <w:r>
        <w:rPr>
          <w:sz w:val="16"/>
        </w:rPr>
        <w:t>G.,</w:t>
      </w:r>
      <w:r>
        <w:rPr>
          <w:spacing w:val="-8"/>
          <w:sz w:val="16"/>
        </w:rPr>
        <w:t> </w:t>
      </w:r>
      <w:r>
        <w:rPr>
          <w:sz w:val="16"/>
        </w:rPr>
        <w:t>and</w:t>
      </w:r>
      <w:r>
        <w:rPr>
          <w:spacing w:val="-8"/>
          <w:sz w:val="16"/>
        </w:rPr>
        <w:t> </w:t>
      </w:r>
      <w:r>
        <w:rPr>
          <w:sz w:val="16"/>
        </w:rPr>
        <w:t>Harris,</w:t>
      </w:r>
      <w:r>
        <w:rPr>
          <w:spacing w:val="-8"/>
          <w:sz w:val="16"/>
        </w:rPr>
        <w:t> </w:t>
      </w:r>
      <w:r>
        <w:rPr>
          <w:sz w:val="16"/>
        </w:rPr>
        <w:t>L.</w:t>
      </w:r>
      <w:r>
        <w:rPr>
          <w:spacing w:val="-8"/>
          <w:sz w:val="16"/>
        </w:rPr>
        <w:t> </w:t>
      </w:r>
      <w:r>
        <w:rPr>
          <w:sz w:val="16"/>
        </w:rPr>
        <w:t>J.,</w:t>
      </w:r>
      <w:r>
        <w:rPr>
          <w:spacing w:val="-8"/>
          <w:sz w:val="16"/>
        </w:rPr>
        <w:t> </w:t>
      </w:r>
      <w:r>
        <w:rPr>
          <w:sz w:val="16"/>
        </w:rPr>
        <w:t>“A</w:t>
      </w:r>
      <w:r>
        <w:rPr>
          <w:spacing w:val="-8"/>
          <w:sz w:val="16"/>
        </w:rPr>
        <w:t> </w:t>
      </w:r>
      <w:r>
        <w:rPr>
          <w:sz w:val="16"/>
        </w:rPr>
        <w:t>dry</w:t>
      </w:r>
      <w:r>
        <w:rPr>
          <w:spacing w:val="-8"/>
          <w:sz w:val="16"/>
        </w:rPr>
        <w:t> </w:t>
      </w:r>
      <w:r>
        <w:rPr>
          <w:sz w:val="16"/>
        </w:rPr>
        <w:t>heat</w:t>
      </w:r>
      <w:r>
        <w:rPr>
          <w:spacing w:val="-8"/>
          <w:sz w:val="16"/>
        </w:rPr>
        <w:t> </w:t>
      </w:r>
      <w:r>
        <w:rPr>
          <w:sz w:val="16"/>
        </w:rPr>
        <w:t>treatment</w:t>
      </w:r>
      <w:r>
        <w:rPr>
          <w:spacing w:val="-8"/>
          <w:sz w:val="16"/>
        </w:rPr>
        <w:t> </w:t>
      </w:r>
      <w:r>
        <w:rPr>
          <w:sz w:val="16"/>
        </w:rPr>
        <w:t>to</w:t>
      </w:r>
      <w:r>
        <w:rPr>
          <w:spacing w:val="40"/>
          <w:sz w:val="16"/>
        </w:rPr>
        <w:t> </w:t>
      </w:r>
      <w:r>
        <w:rPr>
          <w:sz w:val="16"/>
        </w:rPr>
        <w:t>reduce</w:t>
      </w:r>
      <w:r>
        <w:rPr>
          <w:spacing w:val="-9"/>
          <w:sz w:val="16"/>
        </w:rPr>
        <w:t> </w:t>
      </w:r>
      <w:r>
        <w:rPr>
          <w:sz w:val="16"/>
        </w:rPr>
        <w:t>Salmonella</w:t>
      </w:r>
      <w:r>
        <w:rPr>
          <w:spacing w:val="-9"/>
          <w:sz w:val="16"/>
        </w:rPr>
        <w:t> </w:t>
      </w:r>
      <w:r>
        <w:rPr>
          <w:sz w:val="16"/>
        </w:rPr>
        <w:t>on</w:t>
      </w:r>
      <w:r>
        <w:rPr>
          <w:spacing w:val="-9"/>
          <w:sz w:val="16"/>
        </w:rPr>
        <w:t> </w:t>
      </w:r>
      <w:r>
        <w:rPr>
          <w:sz w:val="16"/>
        </w:rPr>
        <w:t>almonds,”</w:t>
      </w:r>
      <w:r>
        <w:rPr>
          <w:spacing w:val="-9"/>
          <w:sz w:val="16"/>
        </w:rPr>
        <w:t> </w:t>
      </w:r>
      <w:r>
        <w:rPr>
          <w:sz w:val="16"/>
        </w:rPr>
        <w:t>*J.</w:t>
      </w:r>
      <w:r>
        <w:rPr>
          <w:spacing w:val="-9"/>
          <w:sz w:val="16"/>
        </w:rPr>
        <w:t> </w:t>
      </w:r>
      <w:r>
        <w:rPr>
          <w:sz w:val="16"/>
        </w:rPr>
        <w:t>Food</w:t>
      </w:r>
      <w:r>
        <w:rPr>
          <w:spacing w:val="-9"/>
          <w:sz w:val="16"/>
        </w:rPr>
        <w:t> </w:t>
      </w:r>
      <w:r>
        <w:rPr>
          <w:sz w:val="16"/>
        </w:rPr>
        <w:t>Prot.*,</w:t>
      </w:r>
      <w:r>
        <w:rPr>
          <w:spacing w:val="-9"/>
          <w:sz w:val="16"/>
        </w:rPr>
        <w:t> </w:t>
      </w:r>
      <w:r>
        <w:rPr>
          <w:sz w:val="16"/>
        </w:rPr>
        <w:t>vol.</w:t>
      </w:r>
      <w:r>
        <w:rPr>
          <w:spacing w:val="-9"/>
          <w:sz w:val="16"/>
        </w:rPr>
        <w:t> </w:t>
      </w:r>
      <w:r>
        <w:rPr>
          <w:sz w:val="16"/>
        </w:rPr>
        <w:t>75,</w:t>
      </w:r>
      <w:r>
        <w:rPr>
          <w:spacing w:val="-9"/>
          <w:sz w:val="16"/>
        </w:rPr>
        <w:t> </w:t>
      </w:r>
      <w:r>
        <w:rPr>
          <w:sz w:val="16"/>
        </w:rPr>
        <w:t>pp.</w:t>
      </w:r>
      <w:r>
        <w:rPr>
          <w:spacing w:val="-9"/>
          <w:sz w:val="16"/>
        </w:rPr>
        <w:t> </w:t>
      </w:r>
      <w:r>
        <w:rPr>
          <w:sz w:val="16"/>
        </w:rPr>
        <w:t>1930–1938,</w:t>
      </w:r>
      <w:r>
        <w:rPr>
          <w:spacing w:val="40"/>
          <w:sz w:val="16"/>
        </w:rPr>
        <w:t> </w:t>
      </w:r>
      <w:bookmarkStart w:name="_bookmark31" w:id="57"/>
      <w:bookmarkEnd w:id="57"/>
      <w:r>
        <w:rPr>
          <w:spacing w:val="-2"/>
          <w:sz w:val="16"/>
        </w:rPr>
        <w:t>2012.</w:t>
      </w:r>
    </w:p>
    <w:p>
      <w:pPr>
        <w:pStyle w:val="ListParagraph"/>
        <w:numPr>
          <w:ilvl w:val="0"/>
          <w:numId w:val="8"/>
        </w:numPr>
        <w:tabs>
          <w:tab w:pos="622" w:val="left" w:leader="none"/>
          <w:tab w:pos="624" w:val="left" w:leader="none"/>
        </w:tabs>
        <w:spacing w:line="232" w:lineRule="auto" w:before="5" w:after="0"/>
        <w:ind w:left="624" w:right="5877" w:hanging="366"/>
        <w:jc w:val="both"/>
        <w:rPr>
          <w:sz w:val="16"/>
        </w:rPr>
      </w:pPr>
      <w:r>
        <w:rPr>
          <w:sz w:val="16"/>
        </w:rPr>
        <w:t>Beuchat,</w:t>
      </w:r>
      <w:r>
        <w:rPr>
          <w:spacing w:val="-5"/>
          <w:sz w:val="16"/>
        </w:rPr>
        <w:t> </w:t>
      </w:r>
      <w:r>
        <w:rPr>
          <w:sz w:val="16"/>
        </w:rPr>
        <w:t>L.</w:t>
      </w:r>
      <w:r>
        <w:rPr>
          <w:spacing w:val="-5"/>
          <w:sz w:val="16"/>
        </w:rPr>
        <w:t> </w:t>
      </w:r>
      <w:r>
        <w:rPr>
          <w:sz w:val="16"/>
        </w:rPr>
        <w:t>R.,</w:t>
      </w:r>
      <w:r>
        <w:rPr>
          <w:spacing w:val="-5"/>
          <w:sz w:val="16"/>
        </w:rPr>
        <w:t> </w:t>
      </w:r>
      <w:r>
        <w:rPr>
          <w:sz w:val="16"/>
        </w:rPr>
        <w:t>“Survival</w:t>
      </w:r>
      <w:r>
        <w:rPr>
          <w:spacing w:val="-5"/>
          <w:sz w:val="16"/>
        </w:rPr>
        <w:t> </w:t>
      </w:r>
      <w:r>
        <w:rPr>
          <w:sz w:val="16"/>
        </w:rPr>
        <w:t>and</w:t>
      </w:r>
      <w:r>
        <w:rPr>
          <w:spacing w:val="-5"/>
          <w:sz w:val="16"/>
        </w:rPr>
        <w:t> </w:t>
      </w:r>
      <w:r>
        <w:rPr>
          <w:sz w:val="16"/>
        </w:rPr>
        <w:t>growth</w:t>
      </w:r>
      <w:r>
        <w:rPr>
          <w:spacing w:val="-5"/>
          <w:sz w:val="16"/>
        </w:rPr>
        <w:t> </w:t>
      </w:r>
      <w:r>
        <w:rPr>
          <w:sz w:val="16"/>
        </w:rPr>
        <w:t>of</w:t>
      </w:r>
      <w:r>
        <w:rPr>
          <w:spacing w:val="-5"/>
          <w:sz w:val="16"/>
        </w:rPr>
        <w:t> </w:t>
      </w:r>
      <w:r>
        <w:rPr>
          <w:sz w:val="16"/>
        </w:rPr>
        <w:t>pathogens</w:t>
      </w:r>
      <w:r>
        <w:rPr>
          <w:spacing w:val="-5"/>
          <w:sz w:val="16"/>
        </w:rPr>
        <w:t> </w:t>
      </w:r>
      <w:r>
        <w:rPr>
          <w:sz w:val="16"/>
        </w:rPr>
        <w:t>on</w:t>
      </w:r>
      <w:r>
        <w:rPr>
          <w:spacing w:val="-5"/>
          <w:sz w:val="16"/>
        </w:rPr>
        <w:t> </w:t>
      </w:r>
      <w:r>
        <w:rPr>
          <w:sz w:val="16"/>
        </w:rPr>
        <w:t>raw</w:t>
      </w:r>
      <w:r>
        <w:rPr>
          <w:spacing w:val="-5"/>
          <w:sz w:val="16"/>
        </w:rPr>
        <w:t> </w:t>
      </w:r>
      <w:r>
        <w:rPr>
          <w:sz w:val="16"/>
        </w:rPr>
        <w:t>and</w:t>
      </w:r>
      <w:r>
        <w:rPr>
          <w:spacing w:val="-5"/>
          <w:sz w:val="16"/>
        </w:rPr>
        <w:t> </w:t>
      </w:r>
      <w:r>
        <w:rPr>
          <w:sz w:val="16"/>
        </w:rPr>
        <w:t>processed</w:t>
      </w:r>
      <w:r>
        <w:rPr>
          <w:spacing w:val="40"/>
          <w:sz w:val="16"/>
        </w:rPr>
        <w:t> </w:t>
      </w:r>
      <w:r>
        <w:rPr>
          <w:sz w:val="16"/>
        </w:rPr>
        <w:t>nuts,” *J. Food Prot.*, vol. 64, no. 6, pp. 946–952, 2001.</w:t>
      </w:r>
    </w:p>
    <w:p>
      <w:pPr>
        <w:pStyle w:val="ListParagraph"/>
        <w:numPr>
          <w:ilvl w:val="0"/>
          <w:numId w:val="8"/>
        </w:numPr>
        <w:tabs>
          <w:tab w:pos="622" w:val="left" w:leader="none"/>
          <w:tab w:pos="624" w:val="left" w:leader="none"/>
        </w:tabs>
        <w:spacing w:line="232" w:lineRule="auto" w:before="4" w:after="0"/>
        <w:ind w:left="624" w:right="5877" w:hanging="366"/>
        <w:jc w:val="both"/>
        <w:rPr>
          <w:sz w:val="16"/>
        </w:rPr>
      </w:pPr>
      <w:r>
        <w:rPr>
          <w:sz w:val="16"/>
        </w:rPr>
        <w:t>Baranyi, J., and T. A. Roberts, “A dynamic approach to predicting</w:t>
      </w:r>
      <w:r>
        <w:rPr>
          <w:spacing w:val="40"/>
          <w:sz w:val="16"/>
        </w:rPr>
        <w:t> </w:t>
      </w:r>
      <w:r>
        <w:rPr>
          <w:sz w:val="16"/>
        </w:rPr>
        <w:t>bacterial growth in food,” *Int. J. Food Microbiol.*, vol. 23, </w:t>
      </w:r>
      <w:r>
        <w:rPr>
          <w:sz w:val="16"/>
        </w:rPr>
        <w:t>pp.</w:t>
      </w:r>
      <w:r>
        <w:rPr>
          <w:spacing w:val="40"/>
          <w:sz w:val="16"/>
        </w:rPr>
        <w:t> </w:t>
      </w:r>
      <w:r>
        <w:rPr>
          <w:sz w:val="16"/>
        </w:rPr>
        <w:t>277–294, 1994.</w:t>
      </w:r>
    </w:p>
    <w:sectPr>
      <w:type w:val="continuous"/>
      <w:pgSz w:w="12240" w:h="15840"/>
      <w:pgMar w:top="90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Verdana">
    <w:altName w:val="Verdana"/>
    <w:charset w:val="1"/>
    <w:family w:val="swiss"/>
    <w:pitch w:val="variable"/>
  </w:font>
  <w:font w:name="Century Gothic">
    <w:altName w:val="Century Gothic"/>
    <w:charset w:val="1"/>
    <w:family w:val="swiss"/>
    <w:pitch w:val="variable"/>
  </w:font>
  <w:font w:name="Bookman Old Style">
    <w:altName w:val="Bookman Old Style"/>
    <w:charset w:val="1"/>
    <w:family w:val="roman"/>
    <w:pitch w:val="variable"/>
  </w:font>
  <w:font w:name="Calibri">
    <w:altName w:val="Calibri"/>
    <w:charset w:val="1"/>
    <w:family w:val="swiss"/>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564" w:hanging="286"/>
        <w:jc w:val="right"/>
      </w:pPr>
      <w:rPr>
        <w:rFonts w:hint="default" w:ascii="Times New Roman" w:hAnsi="Times New Roman" w:eastAsia="Times New Roman" w:cs="Times New Roman"/>
        <w:b w:val="0"/>
        <w:bCs w:val="0"/>
        <w:i w:val="0"/>
        <w:iCs w:val="0"/>
        <w:spacing w:val="0"/>
        <w:w w:val="99"/>
        <w:sz w:val="16"/>
        <w:szCs w:val="16"/>
        <w:lang w:val="en-US" w:eastAsia="en-US" w:bidi="ar-SA"/>
      </w:rPr>
    </w:lvl>
    <w:lvl w:ilvl="1">
      <w:start w:val="0"/>
      <w:numFmt w:val="bullet"/>
      <w:lvlText w:val="•"/>
      <w:lvlJc w:val="left"/>
      <w:pPr>
        <w:ind w:left="1087" w:hanging="286"/>
      </w:pPr>
      <w:rPr>
        <w:rFonts w:hint="default"/>
        <w:lang w:val="en-US" w:eastAsia="en-US" w:bidi="ar-SA"/>
      </w:rPr>
    </w:lvl>
    <w:lvl w:ilvl="2">
      <w:start w:val="0"/>
      <w:numFmt w:val="bullet"/>
      <w:lvlText w:val="•"/>
      <w:lvlJc w:val="left"/>
      <w:pPr>
        <w:ind w:left="1615" w:hanging="286"/>
      </w:pPr>
      <w:rPr>
        <w:rFonts w:hint="default"/>
        <w:lang w:val="en-US" w:eastAsia="en-US" w:bidi="ar-SA"/>
      </w:rPr>
    </w:lvl>
    <w:lvl w:ilvl="3">
      <w:start w:val="0"/>
      <w:numFmt w:val="bullet"/>
      <w:lvlText w:val="•"/>
      <w:lvlJc w:val="left"/>
      <w:pPr>
        <w:ind w:left="2143" w:hanging="286"/>
      </w:pPr>
      <w:rPr>
        <w:rFonts w:hint="default"/>
        <w:lang w:val="en-US" w:eastAsia="en-US" w:bidi="ar-SA"/>
      </w:rPr>
    </w:lvl>
    <w:lvl w:ilvl="4">
      <w:start w:val="0"/>
      <w:numFmt w:val="bullet"/>
      <w:lvlText w:val="•"/>
      <w:lvlJc w:val="left"/>
      <w:pPr>
        <w:ind w:left="2671" w:hanging="286"/>
      </w:pPr>
      <w:rPr>
        <w:rFonts w:hint="default"/>
        <w:lang w:val="en-US" w:eastAsia="en-US" w:bidi="ar-SA"/>
      </w:rPr>
    </w:lvl>
    <w:lvl w:ilvl="5">
      <w:start w:val="0"/>
      <w:numFmt w:val="bullet"/>
      <w:lvlText w:val="•"/>
      <w:lvlJc w:val="left"/>
      <w:pPr>
        <w:ind w:left="3199" w:hanging="286"/>
      </w:pPr>
      <w:rPr>
        <w:rFonts w:hint="default"/>
        <w:lang w:val="en-US" w:eastAsia="en-US" w:bidi="ar-SA"/>
      </w:rPr>
    </w:lvl>
    <w:lvl w:ilvl="6">
      <w:start w:val="0"/>
      <w:numFmt w:val="bullet"/>
      <w:lvlText w:val="•"/>
      <w:lvlJc w:val="left"/>
      <w:pPr>
        <w:ind w:left="3727" w:hanging="286"/>
      </w:pPr>
      <w:rPr>
        <w:rFonts w:hint="default"/>
        <w:lang w:val="en-US" w:eastAsia="en-US" w:bidi="ar-SA"/>
      </w:rPr>
    </w:lvl>
    <w:lvl w:ilvl="7">
      <w:start w:val="0"/>
      <w:numFmt w:val="bullet"/>
      <w:lvlText w:val="•"/>
      <w:lvlJc w:val="left"/>
      <w:pPr>
        <w:ind w:left="4255" w:hanging="286"/>
      </w:pPr>
      <w:rPr>
        <w:rFonts w:hint="default"/>
        <w:lang w:val="en-US" w:eastAsia="en-US" w:bidi="ar-SA"/>
      </w:rPr>
    </w:lvl>
    <w:lvl w:ilvl="8">
      <w:start w:val="0"/>
      <w:numFmt w:val="bullet"/>
      <w:lvlText w:val="•"/>
      <w:lvlJc w:val="left"/>
      <w:pPr>
        <w:ind w:left="4783" w:hanging="286"/>
      </w:pPr>
      <w:rPr>
        <w:rFonts w:hint="default"/>
        <w:lang w:val="en-US" w:eastAsia="en-US" w:bidi="ar-SA"/>
      </w:rPr>
    </w:lvl>
  </w:abstractNum>
  <w:abstractNum w:abstractNumId="6">
    <w:multiLevelType w:val="hybridMultilevel"/>
    <w:lvl w:ilvl="0">
      <w:start w:val="0"/>
      <w:numFmt w:val="bullet"/>
      <w:lvlText w:val="•"/>
      <w:lvlJc w:val="left"/>
      <w:pPr>
        <w:ind w:left="597" w:hanging="182"/>
      </w:pPr>
      <w:rPr>
        <w:rFonts w:hint="default" w:ascii="Arial" w:hAnsi="Arial" w:eastAsia="Arial" w:cs="Arial"/>
        <w:b w:val="0"/>
        <w:bCs w:val="0"/>
        <w:i/>
        <w:iCs/>
        <w:spacing w:val="0"/>
        <w:w w:val="166"/>
        <w:sz w:val="14"/>
        <w:szCs w:val="14"/>
        <w:lang w:val="en-US" w:eastAsia="en-US" w:bidi="ar-SA"/>
      </w:rPr>
    </w:lvl>
    <w:lvl w:ilvl="1">
      <w:start w:val="0"/>
      <w:numFmt w:val="bullet"/>
      <w:lvlText w:val="•"/>
      <w:lvlJc w:val="left"/>
      <w:pPr>
        <w:ind w:left="1123" w:hanging="182"/>
      </w:pPr>
      <w:rPr>
        <w:rFonts w:hint="default"/>
        <w:lang w:val="en-US" w:eastAsia="en-US" w:bidi="ar-SA"/>
      </w:rPr>
    </w:lvl>
    <w:lvl w:ilvl="2">
      <w:start w:val="0"/>
      <w:numFmt w:val="bullet"/>
      <w:lvlText w:val="•"/>
      <w:lvlJc w:val="left"/>
      <w:pPr>
        <w:ind w:left="1647" w:hanging="182"/>
      </w:pPr>
      <w:rPr>
        <w:rFonts w:hint="default"/>
        <w:lang w:val="en-US" w:eastAsia="en-US" w:bidi="ar-SA"/>
      </w:rPr>
    </w:lvl>
    <w:lvl w:ilvl="3">
      <w:start w:val="0"/>
      <w:numFmt w:val="bullet"/>
      <w:lvlText w:val="•"/>
      <w:lvlJc w:val="left"/>
      <w:pPr>
        <w:ind w:left="2171" w:hanging="182"/>
      </w:pPr>
      <w:rPr>
        <w:rFonts w:hint="default"/>
        <w:lang w:val="en-US" w:eastAsia="en-US" w:bidi="ar-SA"/>
      </w:rPr>
    </w:lvl>
    <w:lvl w:ilvl="4">
      <w:start w:val="0"/>
      <w:numFmt w:val="bullet"/>
      <w:lvlText w:val="•"/>
      <w:lvlJc w:val="left"/>
      <w:pPr>
        <w:ind w:left="2695" w:hanging="182"/>
      </w:pPr>
      <w:rPr>
        <w:rFonts w:hint="default"/>
        <w:lang w:val="en-US" w:eastAsia="en-US" w:bidi="ar-SA"/>
      </w:rPr>
    </w:lvl>
    <w:lvl w:ilvl="5">
      <w:start w:val="0"/>
      <w:numFmt w:val="bullet"/>
      <w:lvlText w:val="•"/>
      <w:lvlJc w:val="left"/>
      <w:pPr>
        <w:ind w:left="3219" w:hanging="182"/>
      </w:pPr>
      <w:rPr>
        <w:rFonts w:hint="default"/>
        <w:lang w:val="en-US" w:eastAsia="en-US" w:bidi="ar-SA"/>
      </w:rPr>
    </w:lvl>
    <w:lvl w:ilvl="6">
      <w:start w:val="0"/>
      <w:numFmt w:val="bullet"/>
      <w:lvlText w:val="•"/>
      <w:lvlJc w:val="left"/>
      <w:pPr>
        <w:ind w:left="3743" w:hanging="182"/>
      </w:pPr>
      <w:rPr>
        <w:rFonts w:hint="default"/>
        <w:lang w:val="en-US" w:eastAsia="en-US" w:bidi="ar-SA"/>
      </w:rPr>
    </w:lvl>
    <w:lvl w:ilvl="7">
      <w:start w:val="0"/>
      <w:numFmt w:val="bullet"/>
      <w:lvlText w:val="•"/>
      <w:lvlJc w:val="left"/>
      <w:pPr>
        <w:ind w:left="4267" w:hanging="182"/>
      </w:pPr>
      <w:rPr>
        <w:rFonts w:hint="default"/>
        <w:lang w:val="en-US" w:eastAsia="en-US" w:bidi="ar-SA"/>
      </w:rPr>
    </w:lvl>
    <w:lvl w:ilvl="8">
      <w:start w:val="0"/>
      <w:numFmt w:val="bullet"/>
      <w:lvlText w:val="•"/>
      <w:lvlJc w:val="left"/>
      <w:pPr>
        <w:ind w:left="4791" w:hanging="182"/>
      </w:pPr>
      <w:rPr>
        <w:rFonts w:hint="default"/>
        <w:lang w:val="en-US" w:eastAsia="en-US" w:bidi="ar-SA"/>
      </w:rPr>
    </w:lvl>
  </w:abstractNum>
  <w:abstractNum w:abstractNumId="5">
    <w:multiLevelType w:val="hybridMultilevel"/>
    <w:lvl w:ilvl="0">
      <w:start w:val="1"/>
      <w:numFmt w:val="upperLetter"/>
      <w:lvlText w:val="%1."/>
      <w:lvlJc w:val="left"/>
      <w:pPr>
        <w:ind w:left="530" w:hanging="272"/>
        <w:jc w:val="left"/>
      </w:pPr>
      <w:rPr>
        <w:rFonts w:hint="default" w:ascii="Times New Roman" w:hAnsi="Times New Roman" w:eastAsia="Times New Roman" w:cs="Times New Roman"/>
        <w:b w:val="0"/>
        <w:bCs w:val="0"/>
        <w:i/>
        <w:iCs/>
        <w:spacing w:val="0"/>
        <w:w w:val="99"/>
        <w:sz w:val="20"/>
        <w:szCs w:val="20"/>
        <w:lang w:val="en-US" w:eastAsia="en-US" w:bidi="ar-SA"/>
      </w:rPr>
    </w:lvl>
    <w:lvl w:ilvl="1">
      <w:start w:val="0"/>
      <w:numFmt w:val="bullet"/>
      <w:lvlText w:val="•"/>
      <w:lvlJc w:val="left"/>
      <w:pPr>
        <w:ind w:left="1014" w:hanging="272"/>
      </w:pPr>
      <w:rPr>
        <w:rFonts w:hint="default"/>
        <w:lang w:val="en-US" w:eastAsia="en-US" w:bidi="ar-SA"/>
      </w:rPr>
    </w:lvl>
    <w:lvl w:ilvl="2">
      <w:start w:val="0"/>
      <w:numFmt w:val="bullet"/>
      <w:lvlText w:val="•"/>
      <w:lvlJc w:val="left"/>
      <w:pPr>
        <w:ind w:left="1488" w:hanging="272"/>
      </w:pPr>
      <w:rPr>
        <w:rFonts w:hint="default"/>
        <w:lang w:val="en-US" w:eastAsia="en-US" w:bidi="ar-SA"/>
      </w:rPr>
    </w:lvl>
    <w:lvl w:ilvl="3">
      <w:start w:val="0"/>
      <w:numFmt w:val="bullet"/>
      <w:lvlText w:val="•"/>
      <w:lvlJc w:val="left"/>
      <w:pPr>
        <w:ind w:left="1962" w:hanging="272"/>
      </w:pPr>
      <w:rPr>
        <w:rFonts w:hint="default"/>
        <w:lang w:val="en-US" w:eastAsia="en-US" w:bidi="ar-SA"/>
      </w:rPr>
    </w:lvl>
    <w:lvl w:ilvl="4">
      <w:start w:val="0"/>
      <w:numFmt w:val="bullet"/>
      <w:lvlText w:val="•"/>
      <w:lvlJc w:val="left"/>
      <w:pPr>
        <w:ind w:left="2436" w:hanging="272"/>
      </w:pPr>
      <w:rPr>
        <w:rFonts w:hint="default"/>
        <w:lang w:val="en-US" w:eastAsia="en-US" w:bidi="ar-SA"/>
      </w:rPr>
    </w:lvl>
    <w:lvl w:ilvl="5">
      <w:start w:val="0"/>
      <w:numFmt w:val="bullet"/>
      <w:lvlText w:val="•"/>
      <w:lvlJc w:val="left"/>
      <w:pPr>
        <w:ind w:left="2910" w:hanging="272"/>
      </w:pPr>
      <w:rPr>
        <w:rFonts w:hint="default"/>
        <w:lang w:val="en-US" w:eastAsia="en-US" w:bidi="ar-SA"/>
      </w:rPr>
    </w:lvl>
    <w:lvl w:ilvl="6">
      <w:start w:val="0"/>
      <w:numFmt w:val="bullet"/>
      <w:lvlText w:val="•"/>
      <w:lvlJc w:val="left"/>
      <w:pPr>
        <w:ind w:left="3384" w:hanging="272"/>
      </w:pPr>
      <w:rPr>
        <w:rFonts w:hint="default"/>
        <w:lang w:val="en-US" w:eastAsia="en-US" w:bidi="ar-SA"/>
      </w:rPr>
    </w:lvl>
    <w:lvl w:ilvl="7">
      <w:start w:val="0"/>
      <w:numFmt w:val="bullet"/>
      <w:lvlText w:val="•"/>
      <w:lvlJc w:val="left"/>
      <w:pPr>
        <w:ind w:left="3858" w:hanging="272"/>
      </w:pPr>
      <w:rPr>
        <w:rFonts w:hint="default"/>
        <w:lang w:val="en-US" w:eastAsia="en-US" w:bidi="ar-SA"/>
      </w:rPr>
    </w:lvl>
    <w:lvl w:ilvl="8">
      <w:start w:val="0"/>
      <w:numFmt w:val="bullet"/>
      <w:lvlText w:val="•"/>
      <w:lvlJc w:val="left"/>
      <w:pPr>
        <w:ind w:left="4332" w:hanging="272"/>
      </w:pPr>
      <w:rPr>
        <w:rFonts w:hint="default"/>
        <w:lang w:val="en-US" w:eastAsia="en-US" w:bidi="ar-SA"/>
      </w:rPr>
    </w:lvl>
  </w:abstractNum>
  <w:abstractNum w:abstractNumId="4">
    <w:multiLevelType w:val="hybridMultilevel"/>
    <w:lvl w:ilvl="0">
      <w:start w:val="1"/>
      <w:numFmt w:val="upperLetter"/>
      <w:lvlText w:val="%1."/>
      <w:lvlJc w:val="left"/>
      <w:pPr>
        <w:ind w:left="470" w:hanging="272"/>
        <w:jc w:val="left"/>
      </w:pPr>
      <w:rPr>
        <w:rFonts w:hint="default" w:ascii="Times New Roman" w:hAnsi="Times New Roman" w:eastAsia="Times New Roman" w:cs="Times New Roman"/>
        <w:b w:val="0"/>
        <w:bCs w:val="0"/>
        <w:i/>
        <w:iCs/>
        <w:spacing w:val="0"/>
        <w:w w:val="99"/>
        <w:sz w:val="20"/>
        <w:szCs w:val="20"/>
        <w:lang w:val="en-US" w:eastAsia="en-US" w:bidi="ar-SA"/>
      </w:rPr>
    </w:lvl>
    <w:lvl w:ilvl="1">
      <w:start w:val="0"/>
      <w:numFmt w:val="bullet"/>
      <w:lvlText w:val="•"/>
      <w:lvlJc w:val="left"/>
      <w:pPr>
        <w:ind w:left="1015" w:hanging="272"/>
      </w:pPr>
      <w:rPr>
        <w:rFonts w:hint="default"/>
        <w:lang w:val="en-US" w:eastAsia="en-US" w:bidi="ar-SA"/>
      </w:rPr>
    </w:lvl>
    <w:lvl w:ilvl="2">
      <w:start w:val="0"/>
      <w:numFmt w:val="bullet"/>
      <w:lvlText w:val="•"/>
      <w:lvlJc w:val="left"/>
      <w:pPr>
        <w:ind w:left="1551" w:hanging="272"/>
      </w:pPr>
      <w:rPr>
        <w:rFonts w:hint="default"/>
        <w:lang w:val="en-US" w:eastAsia="en-US" w:bidi="ar-SA"/>
      </w:rPr>
    </w:lvl>
    <w:lvl w:ilvl="3">
      <w:start w:val="0"/>
      <w:numFmt w:val="bullet"/>
      <w:lvlText w:val="•"/>
      <w:lvlJc w:val="left"/>
      <w:pPr>
        <w:ind w:left="2087" w:hanging="272"/>
      </w:pPr>
      <w:rPr>
        <w:rFonts w:hint="default"/>
        <w:lang w:val="en-US" w:eastAsia="en-US" w:bidi="ar-SA"/>
      </w:rPr>
    </w:lvl>
    <w:lvl w:ilvl="4">
      <w:start w:val="0"/>
      <w:numFmt w:val="bullet"/>
      <w:lvlText w:val="•"/>
      <w:lvlJc w:val="left"/>
      <w:pPr>
        <w:ind w:left="2623" w:hanging="272"/>
      </w:pPr>
      <w:rPr>
        <w:rFonts w:hint="default"/>
        <w:lang w:val="en-US" w:eastAsia="en-US" w:bidi="ar-SA"/>
      </w:rPr>
    </w:lvl>
    <w:lvl w:ilvl="5">
      <w:start w:val="0"/>
      <w:numFmt w:val="bullet"/>
      <w:lvlText w:val="•"/>
      <w:lvlJc w:val="left"/>
      <w:pPr>
        <w:ind w:left="3159" w:hanging="272"/>
      </w:pPr>
      <w:rPr>
        <w:rFonts w:hint="default"/>
        <w:lang w:val="en-US" w:eastAsia="en-US" w:bidi="ar-SA"/>
      </w:rPr>
    </w:lvl>
    <w:lvl w:ilvl="6">
      <w:start w:val="0"/>
      <w:numFmt w:val="bullet"/>
      <w:lvlText w:val="•"/>
      <w:lvlJc w:val="left"/>
      <w:pPr>
        <w:ind w:left="3695" w:hanging="272"/>
      </w:pPr>
      <w:rPr>
        <w:rFonts w:hint="default"/>
        <w:lang w:val="en-US" w:eastAsia="en-US" w:bidi="ar-SA"/>
      </w:rPr>
    </w:lvl>
    <w:lvl w:ilvl="7">
      <w:start w:val="0"/>
      <w:numFmt w:val="bullet"/>
      <w:lvlText w:val="•"/>
      <w:lvlJc w:val="left"/>
      <w:pPr>
        <w:ind w:left="4231" w:hanging="272"/>
      </w:pPr>
      <w:rPr>
        <w:rFonts w:hint="default"/>
        <w:lang w:val="en-US" w:eastAsia="en-US" w:bidi="ar-SA"/>
      </w:rPr>
    </w:lvl>
    <w:lvl w:ilvl="8">
      <w:start w:val="0"/>
      <w:numFmt w:val="bullet"/>
      <w:lvlText w:val="•"/>
      <w:lvlJc w:val="left"/>
      <w:pPr>
        <w:ind w:left="4767" w:hanging="272"/>
      </w:pPr>
      <w:rPr>
        <w:rFonts w:hint="default"/>
        <w:lang w:val="en-US" w:eastAsia="en-US" w:bidi="ar-SA"/>
      </w:rPr>
    </w:lvl>
  </w:abstractNum>
  <w:abstractNum w:abstractNumId="3">
    <w:multiLevelType w:val="hybridMultilevel"/>
    <w:lvl w:ilvl="0">
      <w:start w:val="1"/>
      <w:numFmt w:val="upperLetter"/>
      <w:lvlText w:val="%1."/>
      <w:lvlJc w:val="left"/>
      <w:pPr>
        <w:ind w:left="530" w:hanging="272"/>
        <w:jc w:val="left"/>
      </w:pPr>
      <w:rPr>
        <w:rFonts w:hint="default" w:ascii="Times New Roman" w:hAnsi="Times New Roman" w:eastAsia="Times New Roman" w:cs="Times New Roman"/>
        <w:b w:val="0"/>
        <w:bCs w:val="0"/>
        <w:i/>
        <w:iCs/>
        <w:spacing w:val="0"/>
        <w:w w:val="99"/>
        <w:sz w:val="20"/>
        <w:szCs w:val="20"/>
        <w:lang w:val="en-US" w:eastAsia="en-US" w:bidi="ar-SA"/>
      </w:rPr>
    </w:lvl>
    <w:lvl w:ilvl="1">
      <w:start w:val="0"/>
      <w:numFmt w:val="bullet"/>
      <w:lvlText w:val="•"/>
      <w:lvlJc w:val="left"/>
      <w:pPr>
        <w:ind w:left="1014" w:hanging="272"/>
      </w:pPr>
      <w:rPr>
        <w:rFonts w:hint="default"/>
        <w:lang w:val="en-US" w:eastAsia="en-US" w:bidi="ar-SA"/>
      </w:rPr>
    </w:lvl>
    <w:lvl w:ilvl="2">
      <w:start w:val="0"/>
      <w:numFmt w:val="bullet"/>
      <w:lvlText w:val="•"/>
      <w:lvlJc w:val="left"/>
      <w:pPr>
        <w:ind w:left="1488" w:hanging="272"/>
      </w:pPr>
      <w:rPr>
        <w:rFonts w:hint="default"/>
        <w:lang w:val="en-US" w:eastAsia="en-US" w:bidi="ar-SA"/>
      </w:rPr>
    </w:lvl>
    <w:lvl w:ilvl="3">
      <w:start w:val="0"/>
      <w:numFmt w:val="bullet"/>
      <w:lvlText w:val="•"/>
      <w:lvlJc w:val="left"/>
      <w:pPr>
        <w:ind w:left="1962" w:hanging="272"/>
      </w:pPr>
      <w:rPr>
        <w:rFonts w:hint="default"/>
        <w:lang w:val="en-US" w:eastAsia="en-US" w:bidi="ar-SA"/>
      </w:rPr>
    </w:lvl>
    <w:lvl w:ilvl="4">
      <w:start w:val="0"/>
      <w:numFmt w:val="bullet"/>
      <w:lvlText w:val="•"/>
      <w:lvlJc w:val="left"/>
      <w:pPr>
        <w:ind w:left="2436" w:hanging="272"/>
      </w:pPr>
      <w:rPr>
        <w:rFonts w:hint="default"/>
        <w:lang w:val="en-US" w:eastAsia="en-US" w:bidi="ar-SA"/>
      </w:rPr>
    </w:lvl>
    <w:lvl w:ilvl="5">
      <w:start w:val="0"/>
      <w:numFmt w:val="bullet"/>
      <w:lvlText w:val="•"/>
      <w:lvlJc w:val="left"/>
      <w:pPr>
        <w:ind w:left="2910" w:hanging="272"/>
      </w:pPr>
      <w:rPr>
        <w:rFonts w:hint="default"/>
        <w:lang w:val="en-US" w:eastAsia="en-US" w:bidi="ar-SA"/>
      </w:rPr>
    </w:lvl>
    <w:lvl w:ilvl="6">
      <w:start w:val="0"/>
      <w:numFmt w:val="bullet"/>
      <w:lvlText w:val="•"/>
      <w:lvlJc w:val="left"/>
      <w:pPr>
        <w:ind w:left="3384" w:hanging="272"/>
      </w:pPr>
      <w:rPr>
        <w:rFonts w:hint="default"/>
        <w:lang w:val="en-US" w:eastAsia="en-US" w:bidi="ar-SA"/>
      </w:rPr>
    </w:lvl>
    <w:lvl w:ilvl="7">
      <w:start w:val="0"/>
      <w:numFmt w:val="bullet"/>
      <w:lvlText w:val="•"/>
      <w:lvlJc w:val="left"/>
      <w:pPr>
        <w:ind w:left="3858" w:hanging="272"/>
      </w:pPr>
      <w:rPr>
        <w:rFonts w:hint="default"/>
        <w:lang w:val="en-US" w:eastAsia="en-US" w:bidi="ar-SA"/>
      </w:rPr>
    </w:lvl>
    <w:lvl w:ilvl="8">
      <w:start w:val="0"/>
      <w:numFmt w:val="bullet"/>
      <w:lvlText w:val="•"/>
      <w:lvlJc w:val="left"/>
      <w:pPr>
        <w:ind w:left="4332" w:hanging="272"/>
      </w:pPr>
      <w:rPr>
        <w:rFonts w:hint="default"/>
        <w:lang w:val="en-US" w:eastAsia="en-US" w:bidi="ar-SA"/>
      </w:rPr>
    </w:lvl>
  </w:abstractNum>
  <w:abstractNum w:abstractNumId="2">
    <w:multiLevelType w:val="hybridMultilevel"/>
    <w:lvl w:ilvl="0">
      <w:start w:val="1"/>
      <w:numFmt w:val="upperLetter"/>
      <w:lvlText w:val="%1."/>
      <w:lvlJc w:val="left"/>
      <w:pPr>
        <w:ind w:left="470" w:hanging="272"/>
        <w:jc w:val="right"/>
      </w:pPr>
      <w:rPr>
        <w:rFonts w:hint="default" w:ascii="Times New Roman" w:hAnsi="Times New Roman" w:eastAsia="Times New Roman" w:cs="Times New Roman"/>
        <w:b w:val="0"/>
        <w:bCs w:val="0"/>
        <w:i/>
        <w:iCs/>
        <w:spacing w:val="0"/>
        <w:w w:val="99"/>
        <w:sz w:val="20"/>
        <w:szCs w:val="20"/>
        <w:lang w:val="en-US" w:eastAsia="en-US" w:bidi="ar-SA"/>
      </w:rPr>
    </w:lvl>
    <w:lvl w:ilvl="1">
      <w:start w:val="0"/>
      <w:numFmt w:val="bullet"/>
      <w:lvlText w:val="•"/>
      <w:lvlJc w:val="left"/>
      <w:pPr>
        <w:ind w:left="1015" w:hanging="272"/>
      </w:pPr>
      <w:rPr>
        <w:rFonts w:hint="default"/>
        <w:lang w:val="en-US" w:eastAsia="en-US" w:bidi="ar-SA"/>
      </w:rPr>
    </w:lvl>
    <w:lvl w:ilvl="2">
      <w:start w:val="0"/>
      <w:numFmt w:val="bullet"/>
      <w:lvlText w:val="•"/>
      <w:lvlJc w:val="left"/>
      <w:pPr>
        <w:ind w:left="1551" w:hanging="272"/>
      </w:pPr>
      <w:rPr>
        <w:rFonts w:hint="default"/>
        <w:lang w:val="en-US" w:eastAsia="en-US" w:bidi="ar-SA"/>
      </w:rPr>
    </w:lvl>
    <w:lvl w:ilvl="3">
      <w:start w:val="0"/>
      <w:numFmt w:val="bullet"/>
      <w:lvlText w:val="•"/>
      <w:lvlJc w:val="left"/>
      <w:pPr>
        <w:ind w:left="2087" w:hanging="272"/>
      </w:pPr>
      <w:rPr>
        <w:rFonts w:hint="default"/>
        <w:lang w:val="en-US" w:eastAsia="en-US" w:bidi="ar-SA"/>
      </w:rPr>
    </w:lvl>
    <w:lvl w:ilvl="4">
      <w:start w:val="0"/>
      <w:numFmt w:val="bullet"/>
      <w:lvlText w:val="•"/>
      <w:lvlJc w:val="left"/>
      <w:pPr>
        <w:ind w:left="2623" w:hanging="272"/>
      </w:pPr>
      <w:rPr>
        <w:rFonts w:hint="default"/>
        <w:lang w:val="en-US" w:eastAsia="en-US" w:bidi="ar-SA"/>
      </w:rPr>
    </w:lvl>
    <w:lvl w:ilvl="5">
      <w:start w:val="0"/>
      <w:numFmt w:val="bullet"/>
      <w:lvlText w:val="•"/>
      <w:lvlJc w:val="left"/>
      <w:pPr>
        <w:ind w:left="3159" w:hanging="272"/>
      </w:pPr>
      <w:rPr>
        <w:rFonts w:hint="default"/>
        <w:lang w:val="en-US" w:eastAsia="en-US" w:bidi="ar-SA"/>
      </w:rPr>
    </w:lvl>
    <w:lvl w:ilvl="6">
      <w:start w:val="0"/>
      <w:numFmt w:val="bullet"/>
      <w:lvlText w:val="•"/>
      <w:lvlJc w:val="left"/>
      <w:pPr>
        <w:ind w:left="3695" w:hanging="272"/>
      </w:pPr>
      <w:rPr>
        <w:rFonts w:hint="default"/>
        <w:lang w:val="en-US" w:eastAsia="en-US" w:bidi="ar-SA"/>
      </w:rPr>
    </w:lvl>
    <w:lvl w:ilvl="7">
      <w:start w:val="0"/>
      <w:numFmt w:val="bullet"/>
      <w:lvlText w:val="•"/>
      <w:lvlJc w:val="left"/>
      <w:pPr>
        <w:ind w:left="4231" w:hanging="272"/>
      </w:pPr>
      <w:rPr>
        <w:rFonts w:hint="default"/>
        <w:lang w:val="en-US" w:eastAsia="en-US" w:bidi="ar-SA"/>
      </w:rPr>
    </w:lvl>
    <w:lvl w:ilvl="8">
      <w:start w:val="0"/>
      <w:numFmt w:val="bullet"/>
      <w:lvlText w:val="•"/>
      <w:lvlJc w:val="left"/>
      <w:pPr>
        <w:ind w:left="4767" w:hanging="272"/>
      </w:pPr>
      <w:rPr>
        <w:rFonts w:hint="default"/>
        <w:lang w:val="en-US" w:eastAsia="en-US" w:bidi="ar-SA"/>
      </w:rPr>
    </w:lvl>
  </w:abstractNum>
  <w:abstractNum w:abstractNumId="1">
    <w:multiLevelType w:val="hybridMultilevel"/>
    <w:lvl w:ilvl="0">
      <w:start w:val="0"/>
      <w:numFmt w:val="bullet"/>
      <w:lvlText w:val="•"/>
      <w:lvlJc w:val="left"/>
      <w:pPr>
        <w:ind w:left="597" w:hanging="182"/>
      </w:pPr>
      <w:rPr>
        <w:rFonts w:hint="default" w:ascii="Arial" w:hAnsi="Arial" w:eastAsia="Arial" w:cs="Arial"/>
        <w:b w:val="0"/>
        <w:bCs w:val="0"/>
        <w:i/>
        <w:iCs/>
        <w:spacing w:val="0"/>
        <w:w w:val="166"/>
        <w:sz w:val="14"/>
        <w:szCs w:val="14"/>
        <w:lang w:val="en-US" w:eastAsia="en-US" w:bidi="ar-SA"/>
      </w:rPr>
    </w:lvl>
    <w:lvl w:ilvl="1">
      <w:start w:val="0"/>
      <w:numFmt w:val="bullet"/>
      <w:lvlText w:val="•"/>
      <w:lvlJc w:val="left"/>
      <w:pPr>
        <w:ind w:left="1123" w:hanging="182"/>
      </w:pPr>
      <w:rPr>
        <w:rFonts w:hint="default"/>
        <w:lang w:val="en-US" w:eastAsia="en-US" w:bidi="ar-SA"/>
      </w:rPr>
    </w:lvl>
    <w:lvl w:ilvl="2">
      <w:start w:val="0"/>
      <w:numFmt w:val="bullet"/>
      <w:lvlText w:val="•"/>
      <w:lvlJc w:val="left"/>
      <w:pPr>
        <w:ind w:left="1647" w:hanging="182"/>
      </w:pPr>
      <w:rPr>
        <w:rFonts w:hint="default"/>
        <w:lang w:val="en-US" w:eastAsia="en-US" w:bidi="ar-SA"/>
      </w:rPr>
    </w:lvl>
    <w:lvl w:ilvl="3">
      <w:start w:val="0"/>
      <w:numFmt w:val="bullet"/>
      <w:lvlText w:val="•"/>
      <w:lvlJc w:val="left"/>
      <w:pPr>
        <w:ind w:left="2171" w:hanging="182"/>
      </w:pPr>
      <w:rPr>
        <w:rFonts w:hint="default"/>
        <w:lang w:val="en-US" w:eastAsia="en-US" w:bidi="ar-SA"/>
      </w:rPr>
    </w:lvl>
    <w:lvl w:ilvl="4">
      <w:start w:val="0"/>
      <w:numFmt w:val="bullet"/>
      <w:lvlText w:val="•"/>
      <w:lvlJc w:val="left"/>
      <w:pPr>
        <w:ind w:left="2695" w:hanging="182"/>
      </w:pPr>
      <w:rPr>
        <w:rFonts w:hint="default"/>
        <w:lang w:val="en-US" w:eastAsia="en-US" w:bidi="ar-SA"/>
      </w:rPr>
    </w:lvl>
    <w:lvl w:ilvl="5">
      <w:start w:val="0"/>
      <w:numFmt w:val="bullet"/>
      <w:lvlText w:val="•"/>
      <w:lvlJc w:val="left"/>
      <w:pPr>
        <w:ind w:left="3219" w:hanging="182"/>
      </w:pPr>
      <w:rPr>
        <w:rFonts w:hint="default"/>
        <w:lang w:val="en-US" w:eastAsia="en-US" w:bidi="ar-SA"/>
      </w:rPr>
    </w:lvl>
    <w:lvl w:ilvl="6">
      <w:start w:val="0"/>
      <w:numFmt w:val="bullet"/>
      <w:lvlText w:val="•"/>
      <w:lvlJc w:val="left"/>
      <w:pPr>
        <w:ind w:left="3743" w:hanging="182"/>
      </w:pPr>
      <w:rPr>
        <w:rFonts w:hint="default"/>
        <w:lang w:val="en-US" w:eastAsia="en-US" w:bidi="ar-SA"/>
      </w:rPr>
    </w:lvl>
    <w:lvl w:ilvl="7">
      <w:start w:val="0"/>
      <w:numFmt w:val="bullet"/>
      <w:lvlText w:val="•"/>
      <w:lvlJc w:val="left"/>
      <w:pPr>
        <w:ind w:left="4267" w:hanging="182"/>
      </w:pPr>
      <w:rPr>
        <w:rFonts w:hint="default"/>
        <w:lang w:val="en-US" w:eastAsia="en-US" w:bidi="ar-SA"/>
      </w:rPr>
    </w:lvl>
    <w:lvl w:ilvl="8">
      <w:start w:val="0"/>
      <w:numFmt w:val="bullet"/>
      <w:lvlText w:val="•"/>
      <w:lvlJc w:val="left"/>
      <w:pPr>
        <w:ind w:left="4791" w:hanging="182"/>
      </w:pPr>
      <w:rPr>
        <w:rFonts w:hint="default"/>
        <w:lang w:val="en-US" w:eastAsia="en-US" w:bidi="ar-SA"/>
      </w:rPr>
    </w:lvl>
  </w:abstractNum>
  <w:abstractNum w:abstractNumId="0">
    <w:multiLevelType w:val="hybridMultilevel"/>
    <w:lvl w:ilvl="0">
      <w:start w:val="1"/>
      <w:numFmt w:val="upperRoman"/>
      <w:lvlText w:val="%1."/>
      <w:lvlJc w:val="left"/>
      <w:pPr>
        <w:ind w:left="2228" w:hanging="236"/>
        <w:jc w:val="righ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2526" w:hanging="236"/>
      </w:pPr>
      <w:rPr>
        <w:rFonts w:hint="default"/>
        <w:lang w:val="en-US" w:eastAsia="en-US" w:bidi="ar-SA"/>
      </w:rPr>
    </w:lvl>
    <w:lvl w:ilvl="2">
      <w:start w:val="0"/>
      <w:numFmt w:val="bullet"/>
      <w:lvlText w:val="•"/>
      <w:lvlJc w:val="left"/>
      <w:pPr>
        <w:ind w:left="2832" w:hanging="236"/>
      </w:pPr>
      <w:rPr>
        <w:rFonts w:hint="default"/>
        <w:lang w:val="en-US" w:eastAsia="en-US" w:bidi="ar-SA"/>
      </w:rPr>
    </w:lvl>
    <w:lvl w:ilvl="3">
      <w:start w:val="0"/>
      <w:numFmt w:val="bullet"/>
      <w:lvlText w:val="•"/>
      <w:lvlJc w:val="left"/>
      <w:pPr>
        <w:ind w:left="3138" w:hanging="236"/>
      </w:pPr>
      <w:rPr>
        <w:rFonts w:hint="default"/>
        <w:lang w:val="en-US" w:eastAsia="en-US" w:bidi="ar-SA"/>
      </w:rPr>
    </w:lvl>
    <w:lvl w:ilvl="4">
      <w:start w:val="0"/>
      <w:numFmt w:val="bullet"/>
      <w:lvlText w:val="•"/>
      <w:lvlJc w:val="left"/>
      <w:pPr>
        <w:ind w:left="3444" w:hanging="236"/>
      </w:pPr>
      <w:rPr>
        <w:rFonts w:hint="default"/>
        <w:lang w:val="en-US" w:eastAsia="en-US" w:bidi="ar-SA"/>
      </w:rPr>
    </w:lvl>
    <w:lvl w:ilvl="5">
      <w:start w:val="0"/>
      <w:numFmt w:val="bullet"/>
      <w:lvlText w:val="•"/>
      <w:lvlJc w:val="left"/>
      <w:pPr>
        <w:ind w:left="3750" w:hanging="236"/>
      </w:pPr>
      <w:rPr>
        <w:rFonts w:hint="default"/>
        <w:lang w:val="en-US" w:eastAsia="en-US" w:bidi="ar-SA"/>
      </w:rPr>
    </w:lvl>
    <w:lvl w:ilvl="6">
      <w:start w:val="0"/>
      <w:numFmt w:val="bullet"/>
      <w:lvlText w:val="•"/>
      <w:lvlJc w:val="left"/>
      <w:pPr>
        <w:ind w:left="4056" w:hanging="236"/>
      </w:pPr>
      <w:rPr>
        <w:rFonts w:hint="default"/>
        <w:lang w:val="en-US" w:eastAsia="en-US" w:bidi="ar-SA"/>
      </w:rPr>
    </w:lvl>
    <w:lvl w:ilvl="7">
      <w:start w:val="0"/>
      <w:numFmt w:val="bullet"/>
      <w:lvlText w:val="•"/>
      <w:lvlJc w:val="left"/>
      <w:pPr>
        <w:ind w:left="4362" w:hanging="236"/>
      </w:pPr>
      <w:rPr>
        <w:rFonts w:hint="default"/>
        <w:lang w:val="en-US" w:eastAsia="en-US" w:bidi="ar-SA"/>
      </w:rPr>
    </w:lvl>
    <w:lvl w:ilvl="8">
      <w:start w:val="0"/>
      <w:numFmt w:val="bullet"/>
      <w:lvlText w:val="•"/>
      <w:lvlJc w:val="left"/>
      <w:pPr>
        <w:ind w:left="4668" w:hanging="236"/>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99"/>
      <w:jc w:val="both"/>
    </w:pPr>
    <w:rPr>
      <w:rFonts w:ascii="Times New Roman" w:hAnsi="Times New Roman" w:eastAsia="Times New Roman" w:cs="Times New Roman"/>
      <w:sz w:val="20"/>
      <w:szCs w:val="20"/>
      <w:lang w:val="en-US" w:eastAsia="en-US" w:bidi="ar-SA"/>
    </w:rPr>
  </w:style>
  <w:style w:styleId="Title" w:type="paragraph">
    <w:name w:val="Title"/>
    <w:basedOn w:val="Normal"/>
    <w:uiPriority w:val="1"/>
    <w:qFormat/>
    <w:pPr>
      <w:spacing w:before="1"/>
      <w:ind w:left="1" w:right="359"/>
      <w:jc w:val="center"/>
    </w:pPr>
    <w:rPr>
      <w:rFonts w:ascii="Times New Roman" w:hAnsi="Times New Roman" w:eastAsia="Times New Roman" w:cs="Times New Roman"/>
      <w:sz w:val="48"/>
      <w:szCs w:val="48"/>
      <w:lang w:val="en-US" w:eastAsia="en-US" w:bidi="ar-SA"/>
    </w:rPr>
  </w:style>
  <w:style w:styleId="ListParagraph" w:type="paragraph">
    <w:name w:val="List Paragraph"/>
    <w:basedOn w:val="Normal"/>
    <w:uiPriority w:val="1"/>
    <w:qFormat/>
    <w:pPr>
      <w:spacing w:before="4"/>
      <w:ind w:left="624" w:hanging="366"/>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line="159" w:lineRule="exact"/>
      <w:ind w:left="7"/>
      <w:jc w:val="center"/>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harisannamuri0@gmail.com" TargetMode="External"/><Relationship Id="rId6" Type="http://schemas.openxmlformats.org/officeDocument/2006/relationships/hyperlink" Target="https://www.cdc.gov/salmonella/newport-05-14/index.html" TargetMode="External"/><Relationship Id="rId7" Type="http://schemas.openxmlformats.org/officeDocument/2006/relationships/hyperlink" Target="https://support.alexa.com/hc/en-us/articles/200449744-How-are-Alexa-s-traffic-rankings-determined" TargetMode="External"/><Relationship Id="rId8" Type="http://schemas.openxmlformats.org/officeDocument/2006/relationships/hyperlink" Target="http://www.almonds.com/sites/default/files/attachments/abc_technical_kit_2015.pdf" TargetMode="External"/><Relationship Id="rId9" Type="http://schemas.openxmlformats.org/officeDocument/2006/relationships/image" Target="media/image1.png"/><Relationship Id="rId10" Type="http://schemas.openxmlformats.org/officeDocument/2006/relationships/hyperlink" Target="http://www.cdc.gov/salmonella/stanley-01-14/index.html" TargetMode="External"/><Relationship Id="rId11" Type="http://schemas.openxmlformats.org/officeDocument/2006/relationships/hyperlink" Target="https://www.cdc.gov/salmonella/paratyphi-b-12-15/" TargetMode="External"/><Relationship Id="rId12" Type="http://schemas.openxmlformats.org/officeDocument/2006/relationships/hyperlink" Target="http://www.cdc.gov/fdoss/" TargetMode="External"/><Relationship Id="rId13" Type="http://schemas.openxmlformats.org/officeDocument/2006/relationships/hyperlink" Target="http://www.cdc.gov/salmonella/" TargetMode="External"/><Relationship Id="rId14" Type="http://schemas.openxmlformats.org/officeDocument/2006/relationships/hyperlink" Target="http://www.fda.gov/safety/recalls-market-withdrawals-safety-alerts" TargetMode="External"/><Relationship Id="rId15" Type="http://schemas.openxmlformats.org/officeDocument/2006/relationships/hyperlink" Target="http://www.cdc.gov/salmonella/stanley-01-14/" TargetMode="External"/><Relationship Id="rId16" Type="http://schemas.openxmlformats.org/officeDocument/2006/relationships/hyperlink" Target="http://www.cdc.gov/salmonella/newport-05-14/" TargetMode="External"/><Relationship Id="rId17" Type="http://schemas.openxmlformats.org/officeDocument/2006/relationships/hyperlink" Target="http://www.cdc.gov/salmonella/paratyphib-12-15/" TargetMode="External"/><Relationship Id="rId18" Type="http://schemas.openxmlformats.org/officeDocument/2006/relationships/hyperlink" Target="http://www.alexa.com/topsites/category/Top/Food" TargetMode="External"/><Relationship Id="rId19" Type="http://schemas.openxmlformats.org/officeDocument/2006/relationships/image" Target="media/image2.png"/><Relationship Id="rId20" Type="http://schemas.openxmlformats.org/officeDocument/2006/relationships/hyperlink" Target="http://www.almonds.com/sites/default/files/attachments/abc" TargetMode="External"/><Relationship Id="rId21" Type="http://schemas.openxmlformats.org/officeDocument/2006/relationships/image" Target="media/image3.png"/><Relationship Id="rId22" Type="http://schemas.openxmlformats.org/officeDocument/2006/relationships/hyperlink" Target="http://www.cdc.gov/salmonella/newport-05-14/index.html" TargetMode="External"/><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2025-07-24T02:16:43Z</dcterms:created>
  <dcterms:modified xsi:type="dcterms:W3CDTF">2025-07-24T02:16:43Z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2025-06-23T00:00:00Z</vt:filetime>
  </property>
  <property fmtid="{D5CDD505-2E9C-101B-9397-08002B2CF9AE}" pid="3" name="Creator">
    <vt:lpwstr>LaTeX with hyperref</vt:lpwstr>
  </property>
  <property fmtid="{D5CDD505-2E9C-101B-9397-08002B2CF9AE}" pid="4" name="LastSaved">
    <vt:filetime>2025-07-24T00:00:00Z</vt:filetime>
  </property>
  <property fmtid="{D5CDD505-2E9C-101B-9397-08002B2CF9AE}" pid="5" name="PTEX.Fullbanner">
    <vt:lpwstr>This is pdfTeX, Version 3.141592653-2.6-1.40.26 (TeX Live 2024) kpathsea version 6.4.0</vt:lpwstr>
  </property>
  <property fmtid="{D5CDD505-2E9C-101B-9397-08002B2CF9AE}" pid="6" name="Producer">
    <vt:lpwstr>3-Heights(TM) PDF Security Shell 4.8.25.2 (http://www.pdf-tools.com)</vt:lpwstr>
  </property>
</Properties>
</file>