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196A" w14:textId="31425F09" w:rsidR="005174B9" w:rsidRDefault="00E47B2E" w:rsidP="00E47B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7B2E">
        <w:rPr>
          <w:rFonts w:ascii="Times New Roman" w:hAnsi="Times New Roman" w:cs="Times New Roman"/>
          <w:b/>
          <w:bCs/>
          <w:sz w:val="28"/>
          <w:szCs w:val="28"/>
        </w:rPr>
        <w:t>Tracking the Microbiological Traits and Genomic Patterns of Carbapenem-Resistant</w:t>
      </w:r>
      <w:r w:rsidR="002A33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3340" w:rsidRPr="002A334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Klebsiella </w:t>
      </w:r>
      <w:r w:rsidR="002A3340" w:rsidRPr="002A33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pneumoniae</w:t>
      </w:r>
      <w:r w:rsidR="002A3340" w:rsidRPr="00E47B2E">
        <w:rPr>
          <w:rFonts w:ascii="Times New Roman" w:hAnsi="Times New Roman" w:cs="Times New Roman"/>
          <w:b/>
          <w:bCs/>
          <w:sz w:val="28"/>
          <w:szCs w:val="28"/>
        </w:rPr>
        <w:t xml:space="preserve"> in</w:t>
      </w:r>
      <w:r w:rsidRPr="00E47B2E">
        <w:rPr>
          <w:rFonts w:ascii="Times New Roman" w:hAnsi="Times New Roman" w:cs="Times New Roman"/>
          <w:b/>
          <w:bCs/>
          <w:sz w:val="28"/>
          <w:szCs w:val="28"/>
        </w:rPr>
        <w:t xml:space="preserve"> Clinical Settings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9EC4E1" w14:textId="67F5D23E" w:rsidR="00E47B2E" w:rsidRDefault="00F94DB7" w:rsidP="00E47B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Dr. </w:t>
      </w:r>
      <w:r w:rsidR="00E47B2E" w:rsidRPr="00E47B2E">
        <w:rPr>
          <w:rFonts w:ascii="Times New Roman" w:hAnsi="Times New Roman" w:cs="Times New Roman"/>
          <w:b/>
          <w:bCs/>
          <w:sz w:val="28"/>
          <w:szCs w:val="28"/>
        </w:rPr>
        <w:t>Mehwish Rizvi</w:t>
      </w:r>
    </w:p>
    <w:p w14:paraId="5BCB510D" w14:textId="0A4EE8FD" w:rsidR="00E47B2E" w:rsidRDefault="00E47B2E" w:rsidP="00E47B2E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B2E">
        <w:rPr>
          <w:rFonts w:ascii="Times New Roman" w:hAnsi="Times New Roman" w:cs="Times New Roman"/>
          <w:sz w:val="24"/>
          <w:szCs w:val="24"/>
        </w:rPr>
        <w:t>Department of Pharmaceutics, Faculty of Pharmaceutical Sciences, Dow College of Pharmacy, Dow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B2E">
        <w:rPr>
          <w:rFonts w:ascii="Times New Roman" w:hAnsi="Times New Roman" w:cs="Times New Roman"/>
          <w:sz w:val="24"/>
          <w:szCs w:val="24"/>
        </w:rPr>
        <w:t>University of Health Sciences, Karachi 75280, Pakistan</w:t>
      </w:r>
      <w:r w:rsidR="002A3340">
        <w:rPr>
          <w:rFonts w:ascii="Times New Roman" w:hAnsi="Times New Roman" w:cs="Times New Roman"/>
          <w:sz w:val="24"/>
          <w:szCs w:val="24"/>
        </w:rPr>
        <w:t xml:space="preserve">; </w:t>
      </w:r>
      <w:hyperlink r:id="rId4" w:history="1">
        <w:r w:rsidR="002A3340" w:rsidRPr="009B2C8B">
          <w:rPr>
            <w:rStyle w:val="Hyperlink"/>
            <w:rFonts w:ascii="Times New Roman" w:hAnsi="Times New Roman" w:cs="Times New Roman"/>
            <w:sz w:val="24"/>
            <w:szCs w:val="24"/>
          </w:rPr>
          <w:t>mehwish.rizvi@duhs.edu.pk</w:t>
        </w:r>
      </w:hyperlink>
      <w:r w:rsidR="002A3340">
        <w:rPr>
          <w:rFonts w:ascii="Times New Roman" w:hAnsi="Times New Roman" w:cs="Times New Roman"/>
          <w:sz w:val="24"/>
          <w:szCs w:val="24"/>
        </w:rPr>
        <w:t>.</w:t>
      </w:r>
    </w:p>
    <w:p w14:paraId="2FA195B7" w14:textId="4F92FFBC" w:rsidR="002A3340" w:rsidRPr="002A3340" w:rsidRDefault="002A3340" w:rsidP="002A334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A3340">
        <w:rPr>
          <w:rFonts w:ascii="Times New Roman" w:hAnsi="Times New Roman" w:cs="Times New Roman"/>
          <w:b/>
          <w:bCs/>
          <w:sz w:val="28"/>
          <w:szCs w:val="28"/>
          <w:u w:val="single"/>
        </w:rPr>
        <w:t>Abstract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3BE0F0F3" w14:textId="6DB7870E" w:rsidR="002A3340" w:rsidRPr="002A3340" w:rsidRDefault="002A3340" w:rsidP="002A3340">
      <w:pPr>
        <w:jc w:val="both"/>
        <w:rPr>
          <w:rFonts w:ascii="Times New Roman" w:hAnsi="Times New Roman" w:cs="Times New Roman"/>
          <w:sz w:val="24"/>
          <w:szCs w:val="24"/>
          <w:lang w:val="en-PK"/>
        </w:rPr>
      </w:pPr>
      <w:r w:rsidRPr="002A3340">
        <w:rPr>
          <w:rFonts w:ascii="Times New Roman" w:hAnsi="Times New Roman" w:cs="Times New Roman"/>
          <w:sz w:val="24"/>
          <w:szCs w:val="24"/>
          <w:lang w:val="en-PK"/>
        </w:rPr>
        <w:t>Carbapenem-</w:t>
      </w:r>
      <w:r w:rsidR="00E84265" w:rsidRPr="002A3340">
        <w:rPr>
          <w:rFonts w:ascii="Times New Roman" w:hAnsi="Times New Roman" w:cs="Times New Roman"/>
          <w:sz w:val="24"/>
          <w:szCs w:val="24"/>
          <w:lang w:val="en-PK"/>
        </w:rPr>
        <w:t>resistant (</w:t>
      </w:r>
      <w:r w:rsidRPr="002A3340">
        <w:rPr>
          <w:rFonts w:ascii="Times New Roman" w:hAnsi="Times New Roman" w:cs="Times New Roman"/>
          <w:sz w:val="24"/>
          <w:szCs w:val="24"/>
          <w:lang w:val="en-PK"/>
        </w:rPr>
        <w:t>CRKP) has become a serious concern in hospitals worldwide, known for causing life-threatening bloodstream infections and quickly adapting to resist multiple antibiotics.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 xml:space="preserve">This study characterizes phenotypic and genomic features of </w:t>
      </w:r>
      <w:r w:rsidRPr="00F94DB7">
        <w:rPr>
          <w:rFonts w:ascii="Times New Roman" w:hAnsi="Times New Roman" w:cs="Times New Roman"/>
          <w:i/>
          <w:iCs/>
          <w:sz w:val="24"/>
          <w:szCs w:val="24"/>
        </w:rPr>
        <w:t>K. pneumoniae</w:t>
      </w:r>
      <w:r w:rsidRPr="002A3340">
        <w:rPr>
          <w:rFonts w:ascii="Times New Roman" w:hAnsi="Times New Roman" w:cs="Times New Roman"/>
          <w:sz w:val="24"/>
          <w:szCs w:val="24"/>
        </w:rPr>
        <w:t xml:space="preserve"> isolates from clinical samples in Karachi, Pakistan. Among 507 isolates, 213 (42%) were carbapenem-resistant based on disk diffusion and MIC testing. Urine (29.7%) and blood (28.3%) were the most common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 xml:space="preserve">sources, with infections predominantly affecting males (64.7%) and individuals aged 50–70 years. Colistin was the only antibiotic showing consistent activity against these isolates. The whole-genome sequencing of 24 carbapenem-resistant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 xml:space="preserve">K. pneumoniae </w:t>
      </w:r>
      <w:r w:rsidRPr="002A3340">
        <w:rPr>
          <w:rFonts w:ascii="Times New Roman" w:hAnsi="Times New Roman" w:cs="Times New Roman"/>
          <w:sz w:val="24"/>
          <w:szCs w:val="24"/>
        </w:rPr>
        <w:t xml:space="preserve">(CR KP) isolates revealed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blaNDM-5</w:t>
      </w:r>
      <w:r w:rsidRPr="002A3340">
        <w:rPr>
          <w:rFonts w:ascii="Times New Roman" w:hAnsi="Times New Roman" w:cs="Times New Roman"/>
          <w:sz w:val="24"/>
          <w:szCs w:val="24"/>
        </w:rPr>
        <w:t xml:space="preserve"> (45.8%) as the dominant carbapenemase gene, followed by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blaNDM-1</w:t>
      </w:r>
      <w:r w:rsidRPr="002A3340">
        <w:rPr>
          <w:rFonts w:ascii="Times New Roman" w:hAnsi="Times New Roman" w:cs="Times New Roman"/>
          <w:sz w:val="24"/>
          <w:szCs w:val="24"/>
        </w:rPr>
        <w:t xml:space="preserve"> (12.5%) and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blaOXA-232</w:t>
      </w:r>
      <w:r w:rsidRPr="002A3340">
        <w:rPr>
          <w:rFonts w:ascii="Times New Roman" w:hAnsi="Times New Roman" w:cs="Times New Roman"/>
          <w:sz w:val="24"/>
          <w:szCs w:val="24"/>
        </w:rPr>
        <w:t xml:space="preserve"> (54.2%). Other detected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 xml:space="preserve">blaOXA </w:t>
      </w:r>
      <w:r w:rsidRPr="002A3340">
        <w:rPr>
          <w:rFonts w:ascii="Times New Roman" w:hAnsi="Times New Roman" w:cs="Times New Roman"/>
          <w:sz w:val="24"/>
          <w:szCs w:val="24"/>
        </w:rPr>
        <w:t xml:space="preserve">variants included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blaOXA-1, blaOXA-4, blaOXA-10,</w:t>
      </w:r>
      <w:r w:rsidRPr="002A3340">
        <w:rPr>
          <w:rFonts w:ascii="Times New Roman" w:hAnsi="Times New Roman" w:cs="Times New Roman"/>
          <w:sz w:val="24"/>
          <w:szCs w:val="24"/>
        </w:rPr>
        <w:t xml:space="preserve"> and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blaOXA-18</w:t>
      </w:r>
      <w:r w:rsidRPr="002A3340">
        <w:rPr>
          <w:rFonts w:ascii="Times New Roman" w:hAnsi="Times New Roman" w:cs="Times New Roman"/>
          <w:sz w:val="24"/>
          <w:szCs w:val="24"/>
        </w:rPr>
        <w:t xml:space="preserve">. The predominant beta-lactamase gene was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blaCTX-M-15</w:t>
      </w:r>
      <w:r w:rsidRPr="002A3340">
        <w:rPr>
          <w:rFonts w:ascii="Times New Roman" w:hAnsi="Times New Roman" w:cs="Times New Roman"/>
          <w:sz w:val="24"/>
          <w:szCs w:val="24"/>
        </w:rPr>
        <w:t xml:space="preserve"> (91.6%), followed by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blaCTX-M-163, blaCTX-M-186,</w:t>
      </w:r>
      <w:r w:rsidRPr="002A3340">
        <w:rPr>
          <w:rFonts w:ascii="Times New Roman" w:hAnsi="Times New Roman" w:cs="Times New Roman"/>
          <w:sz w:val="24"/>
          <w:szCs w:val="24"/>
        </w:rPr>
        <w:t xml:space="preserve"> and </w:t>
      </w:r>
      <w:r w:rsidRPr="00E84265">
        <w:rPr>
          <w:rFonts w:ascii="Times New Roman" w:hAnsi="Times New Roman" w:cs="Times New Roman"/>
          <w:i/>
          <w:iCs/>
          <w:sz w:val="24"/>
          <w:szCs w:val="24"/>
        </w:rPr>
        <w:t>blaCTX-M-194</w:t>
      </w:r>
      <w:r w:rsidRPr="002A3340">
        <w:rPr>
          <w:rFonts w:ascii="Times New Roman" w:hAnsi="Times New Roman" w:cs="Times New Roman"/>
          <w:sz w:val="24"/>
          <w:szCs w:val="24"/>
        </w:rPr>
        <w:t>. Sequence types ST147, ST231, ST29, and ST11 were associated with resistance. Plasmid profiling revealed IncR (61.5%), IncL (15.4%), and IncC (7.7%) as common plasmid types. Importantly, resistance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driven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not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acquired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genes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chromosomal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mutations. Porin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mutations in OmpK36</w:t>
      </w:r>
      <w:r w:rsidR="00E84265"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and</w:t>
      </w:r>
      <w:r w:rsidR="00E84265"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OmpK37(e.g., P170M, I128M, N230G, A217S) reduced drug influx, while acrR and ramR mutations (e.g., P161R, G164A, P157) led to efflux pump overexpression, enhancing resistance to fluoroquinolones and tigecycline. These results reveal a challenging and multifaceted resistance profile shaped by a wide array of carbapenemases and ESBLs, emphasizing the critical need for stronger antibiotic stewardship and ongoing genomic surveillance.</w:t>
      </w:r>
    </w:p>
    <w:p w14:paraId="28B0AB43" w14:textId="202526DE" w:rsidR="002A3340" w:rsidRPr="00E47B2E" w:rsidRDefault="002A3340" w:rsidP="002A3340">
      <w:pPr>
        <w:jc w:val="both"/>
        <w:rPr>
          <w:rFonts w:ascii="Times New Roman" w:hAnsi="Times New Roman" w:cs="Times New Roman"/>
          <w:sz w:val="24"/>
          <w:szCs w:val="24"/>
        </w:rPr>
      </w:pPr>
      <w:r w:rsidRPr="002A3340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2A3340">
        <w:rPr>
          <w:rFonts w:ascii="Times New Roman" w:hAnsi="Times New Roman" w:cs="Times New Roman"/>
          <w:sz w:val="24"/>
          <w:szCs w:val="24"/>
        </w:rPr>
        <w:t xml:space="preserve"> molecular epidemiology; whole genome sequencing; carbapenem resistant </w:t>
      </w:r>
      <w:r w:rsidR="00F94DB7" w:rsidRPr="00F94DB7">
        <w:rPr>
          <w:rFonts w:ascii="Times New Roman" w:hAnsi="Times New Roman" w:cs="Times New Roman"/>
          <w:i/>
          <w:iCs/>
          <w:sz w:val="24"/>
          <w:szCs w:val="24"/>
        </w:rPr>
        <w:t>K.pneumoniae</w:t>
      </w:r>
      <w:r w:rsidR="00F94DB7">
        <w:rPr>
          <w:rFonts w:ascii="Times New Roman" w:hAnsi="Times New Roman" w:cs="Times New Roman"/>
          <w:sz w:val="24"/>
          <w:szCs w:val="24"/>
        </w:rPr>
        <w:t xml:space="preserve"> </w:t>
      </w:r>
      <w:r w:rsidRPr="002A3340">
        <w:rPr>
          <w:rFonts w:ascii="Times New Roman" w:hAnsi="Times New Roman" w:cs="Times New Roman"/>
          <w:sz w:val="24"/>
          <w:szCs w:val="24"/>
        </w:rPr>
        <w:t>; antimicrobial resistance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A3340" w:rsidRPr="00E47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2E"/>
    <w:rsid w:val="002A3340"/>
    <w:rsid w:val="00450355"/>
    <w:rsid w:val="005174B9"/>
    <w:rsid w:val="007B11DC"/>
    <w:rsid w:val="00A9461C"/>
    <w:rsid w:val="00E11189"/>
    <w:rsid w:val="00E47B2E"/>
    <w:rsid w:val="00E84265"/>
    <w:rsid w:val="00F759C6"/>
    <w:rsid w:val="00F9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EF038"/>
  <w15:chartTrackingRefBased/>
  <w15:docId w15:val="{4C7004D8-9236-4E29-A1BC-5E60E71B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B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B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B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B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B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B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B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B2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33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4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09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hwish.rizvi@duhs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 rizvi</dc:creator>
  <cp:keywords/>
  <dc:description/>
  <cp:lastModifiedBy>mehwish rizvi</cp:lastModifiedBy>
  <cp:revision>3</cp:revision>
  <dcterms:created xsi:type="dcterms:W3CDTF">2025-07-13T10:10:00Z</dcterms:created>
  <dcterms:modified xsi:type="dcterms:W3CDTF">2025-07-13T10:28:00Z</dcterms:modified>
</cp:coreProperties>
</file>