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34F8" w:rsidRPr="008D34F8" w:rsidRDefault="008D34F8" w:rsidP="008D34F8">
      <w:pPr>
        <w:spacing w:after="0" w:line="240" w:lineRule="auto"/>
        <w:jc w:val="center"/>
        <w:rPr>
          <w:b/>
          <w:szCs w:val="24"/>
        </w:rPr>
      </w:pPr>
      <w:r w:rsidRPr="008D34F8">
        <w:rPr>
          <w:rFonts w:ascii="Bell MT" w:hAnsi="Bell MT" w:cs="Times New Roman"/>
          <w:b/>
          <w:i/>
          <w:szCs w:val="24"/>
        </w:rPr>
        <w:t xml:space="preserve">Shelf life study </w:t>
      </w:r>
      <w:r w:rsidRPr="008D34F8">
        <w:rPr>
          <w:rFonts w:ascii="Bell MT" w:hAnsi="Bell MT" w:cs="Times New Roman"/>
          <w:b/>
          <w:i/>
          <w:szCs w:val="24"/>
        </w:rPr>
        <w:t xml:space="preserve">of </w:t>
      </w:r>
      <w:r w:rsidRPr="008D34F8">
        <w:rPr>
          <w:rFonts w:ascii="Bell MT" w:hAnsi="Bell MT" w:cs="Times New Roman"/>
          <w:b/>
          <w:szCs w:val="24"/>
        </w:rPr>
        <w:t xml:space="preserve">vegetables using probiotic Lactic Acid Bacteria isolated from Ethiopian traditional fermented foods and beverages </w:t>
      </w:r>
      <w:bookmarkStart w:id="0" w:name="_GoBack"/>
      <w:bookmarkEnd w:id="0"/>
    </w:p>
    <w:p w:rsidR="008D34F8" w:rsidRPr="008D34F8" w:rsidRDefault="008D34F8" w:rsidP="008D34F8">
      <w:pPr>
        <w:spacing w:after="0" w:line="240" w:lineRule="auto"/>
        <w:rPr>
          <w:b/>
          <w:sz w:val="20"/>
        </w:rPr>
      </w:pPr>
      <w:r w:rsidRPr="008D34F8">
        <w:rPr>
          <w:b/>
          <w:sz w:val="20"/>
        </w:rPr>
        <w:t>Desalegn Amenu Delesa (PhD candidate) and Ketema Bacha (Professor of Food Microbiology)</w:t>
      </w:r>
    </w:p>
    <w:p w:rsidR="008D34F8" w:rsidRPr="008D34F8" w:rsidRDefault="008D34F8" w:rsidP="008D34F8">
      <w:pPr>
        <w:spacing w:after="0" w:line="240" w:lineRule="auto"/>
        <w:rPr>
          <w:sz w:val="20"/>
        </w:rPr>
      </w:pPr>
    </w:p>
    <w:p w:rsidR="008D34F8" w:rsidRPr="008D34F8" w:rsidRDefault="008D34F8" w:rsidP="008D34F8">
      <w:pPr>
        <w:spacing w:after="0" w:line="240" w:lineRule="auto"/>
        <w:jc w:val="both"/>
        <w:rPr>
          <w:rFonts w:ascii="Candara" w:hAnsi="Candara" w:cs="Times New Roman"/>
          <w:b/>
          <w:sz w:val="18"/>
          <w:szCs w:val="24"/>
        </w:rPr>
      </w:pPr>
      <w:r w:rsidRPr="008D34F8">
        <w:rPr>
          <w:rFonts w:ascii="Candara" w:hAnsi="Candara" w:cs="Times New Roman"/>
          <w:b/>
          <w:sz w:val="18"/>
          <w:szCs w:val="24"/>
        </w:rPr>
        <w:t xml:space="preserve">Abstract </w:t>
      </w:r>
    </w:p>
    <w:p w:rsidR="008D34F8" w:rsidRPr="008D34F8" w:rsidRDefault="008D34F8" w:rsidP="008D34F8">
      <w:pPr>
        <w:spacing w:after="0" w:line="240" w:lineRule="auto"/>
        <w:jc w:val="both"/>
        <w:rPr>
          <w:rFonts w:ascii="Candara" w:hAnsi="Candara" w:cs="Times New Roman"/>
          <w:i/>
          <w:sz w:val="18"/>
          <w:szCs w:val="24"/>
        </w:rPr>
      </w:pPr>
      <w:r w:rsidRPr="008D34F8">
        <w:rPr>
          <w:rFonts w:ascii="Candara" w:hAnsi="Candara" w:cs="Times New Roman"/>
          <w:b/>
          <w:sz w:val="18"/>
          <w:szCs w:val="24"/>
        </w:rPr>
        <w:t xml:space="preserve"> </w:t>
      </w:r>
      <w:r w:rsidRPr="008D34F8">
        <w:rPr>
          <w:rFonts w:ascii="Candara" w:hAnsi="Candara" w:cs="Times New Roman"/>
          <w:i/>
          <w:sz w:val="18"/>
          <w:szCs w:val="24"/>
        </w:rPr>
        <w:t xml:space="preserve">Lactic acid bacteria (LAB) are widely used to </w:t>
      </w:r>
      <w:r>
        <w:rPr>
          <w:rFonts w:ascii="Candara" w:hAnsi="Candara" w:cs="Times New Roman"/>
          <w:i/>
          <w:sz w:val="18"/>
          <w:szCs w:val="24"/>
        </w:rPr>
        <w:t>preserver the foods, and</w:t>
      </w:r>
      <w:r w:rsidRPr="008D34F8">
        <w:rPr>
          <w:rFonts w:ascii="Candara" w:hAnsi="Candara" w:cs="Times New Roman"/>
          <w:i/>
          <w:sz w:val="18"/>
          <w:szCs w:val="24"/>
        </w:rPr>
        <w:t xml:space="preserve"> extend the foods shelf life </w:t>
      </w:r>
      <w:r>
        <w:rPr>
          <w:rFonts w:ascii="Candara" w:hAnsi="Candara" w:cs="Times New Roman"/>
          <w:i/>
          <w:sz w:val="18"/>
          <w:szCs w:val="24"/>
        </w:rPr>
        <w:t xml:space="preserve">to </w:t>
      </w:r>
      <w:r w:rsidRPr="008D34F8">
        <w:rPr>
          <w:rFonts w:ascii="Candara" w:hAnsi="Candara" w:cs="Times New Roman"/>
          <w:i/>
          <w:sz w:val="18"/>
          <w:szCs w:val="24"/>
        </w:rPr>
        <w:t>provide</w:t>
      </w:r>
      <w:r>
        <w:rPr>
          <w:rFonts w:ascii="Candara" w:hAnsi="Candara" w:cs="Times New Roman"/>
          <w:i/>
          <w:sz w:val="18"/>
          <w:szCs w:val="24"/>
        </w:rPr>
        <w:t xml:space="preserve"> better quality and safety. </w:t>
      </w:r>
      <w:r w:rsidRPr="008D34F8">
        <w:rPr>
          <w:rFonts w:ascii="Candara" w:hAnsi="Candara" w:cs="Times New Roman"/>
          <w:i/>
          <w:sz w:val="18"/>
          <w:szCs w:val="24"/>
        </w:rPr>
        <w:t>Hence the main objective of this study is focus on the use of lactic acid bacteria as a potential food preservative to inhibit vegetables spoilage microorganisms for better shelf life enhancement</w:t>
      </w:r>
      <w:r>
        <w:rPr>
          <w:rFonts w:ascii="Candara" w:hAnsi="Candara" w:cs="Times New Roman"/>
          <w:i/>
          <w:sz w:val="18"/>
          <w:szCs w:val="24"/>
        </w:rPr>
        <w:t>.</w:t>
      </w:r>
      <w:r w:rsidRPr="008D34F8">
        <w:rPr>
          <w:rFonts w:ascii="Candara" w:hAnsi="Candara" w:cs="Times New Roman"/>
          <w:i/>
          <w:sz w:val="18"/>
          <w:szCs w:val="24"/>
        </w:rPr>
        <w:t xml:space="preserve"> A total of 120 LAB isolates were isolated from different Ethiopian traditiona</w:t>
      </w:r>
      <w:r>
        <w:rPr>
          <w:rFonts w:ascii="Candara" w:hAnsi="Candara" w:cs="Times New Roman"/>
          <w:i/>
          <w:sz w:val="18"/>
          <w:szCs w:val="24"/>
        </w:rPr>
        <w:t xml:space="preserve">l fermented foods and beverages and </w:t>
      </w:r>
      <w:r w:rsidRPr="008D34F8">
        <w:rPr>
          <w:rFonts w:ascii="Candara" w:hAnsi="Candara" w:cs="Times New Roman"/>
          <w:i/>
          <w:sz w:val="18"/>
          <w:szCs w:val="24"/>
        </w:rPr>
        <w:t xml:space="preserve">characterized for various morphological, biochemical, fermentation, antimicrobial activities and probiotic properties. Based on their potential antimicrobial activities and their promising probiotic potential, for this activities only four LAB isolates (LABB01, LABB16, LABB35 and LABBr33) were selected and applied on various vegetables both as bio protective </w:t>
      </w:r>
      <w:r>
        <w:rPr>
          <w:rFonts w:ascii="Candara" w:hAnsi="Candara" w:cs="Times New Roman"/>
          <w:i/>
          <w:sz w:val="18"/>
          <w:szCs w:val="24"/>
        </w:rPr>
        <w:t xml:space="preserve">   </w:t>
      </w:r>
      <w:r w:rsidRPr="008D34F8">
        <w:rPr>
          <w:rFonts w:ascii="Candara" w:hAnsi="Candara" w:cs="Times New Roman"/>
          <w:i/>
          <w:sz w:val="18"/>
          <w:szCs w:val="24"/>
        </w:rPr>
        <w:t xml:space="preserve">agents and bio preservative to prolong the fruits and vegetables shelf life.  To evaluate the efficiency of the LAB isolates as bio protective, they were tested under in-vitro conditions agonists four selected pathogens isolated from the vegetables viz., E.coli, S.aureus, L.monocytogenes and S.pyogens. So, the isolates which were promising against spoilage microorganisms under </w:t>
      </w:r>
      <w:r w:rsidRPr="008D34F8">
        <w:rPr>
          <w:rFonts w:ascii="Candara" w:hAnsi="Candara" w:cs="Times New Roman"/>
          <w:i/>
          <w:iCs/>
          <w:sz w:val="18"/>
          <w:szCs w:val="24"/>
        </w:rPr>
        <w:t xml:space="preserve">in </w:t>
      </w:r>
      <w:r w:rsidRPr="008D34F8">
        <w:rPr>
          <w:rFonts w:ascii="Candara" w:hAnsi="Candara" w:cs="Times New Roman"/>
          <w:i/>
          <w:sz w:val="18"/>
          <w:szCs w:val="24"/>
        </w:rPr>
        <w:t>-</w:t>
      </w:r>
      <w:r w:rsidRPr="008D34F8">
        <w:rPr>
          <w:rFonts w:ascii="Candara" w:hAnsi="Candara" w:cs="Times New Roman"/>
          <w:i/>
          <w:iCs/>
          <w:sz w:val="18"/>
          <w:szCs w:val="24"/>
        </w:rPr>
        <w:t xml:space="preserve">vitro </w:t>
      </w:r>
      <w:r w:rsidRPr="008D34F8">
        <w:rPr>
          <w:rFonts w:ascii="Candara" w:hAnsi="Candara" w:cs="Times New Roman"/>
          <w:i/>
          <w:sz w:val="18"/>
          <w:szCs w:val="24"/>
        </w:rPr>
        <w:t xml:space="preserve">conditions were chosen for shelf life enhancement study of fruits and vegetables under incentive condition. Out of four selected isolates, LABB16 was more effective in controlling the spoilage and enhancing the shelf-life of all the fruits and vegetables with the minimum of three weeks. The isolate did not produce any undesirable effects on fruits and vegetables, such as browning and off odours.  As the result of the present study. It can be possible to conclude that LAB can be used effectively to increase the shelf life of fruits and vegetables decreasing the percent of spoilage. </w:t>
      </w:r>
    </w:p>
    <w:p w:rsidR="008D34F8" w:rsidRDefault="008D34F8" w:rsidP="008D34F8">
      <w:pPr>
        <w:spacing w:after="0" w:line="240" w:lineRule="auto"/>
        <w:jc w:val="both"/>
        <w:rPr>
          <w:rFonts w:ascii="Candara" w:hAnsi="Candara" w:cs="Times New Roman"/>
          <w:i/>
          <w:sz w:val="18"/>
          <w:szCs w:val="24"/>
        </w:rPr>
      </w:pPr>
      <w:r w:rsidRPr="00752C3A">
        <w:rPr>
          <w:rFonts w:ascii="Bell MT" w:hAnsi="Bell MT" w:cs="Times New Roman"/>
          <w:noProof/>
          <w:sz w:val="18"/>
          <w:szCs w:val="18"/>
        </w:rPr>
        <w:drawing>
          <wp:anchor distT="0" distB="0" distL="114300" distR="114300" simplePos="0" relativeHeight="251658240" behindDoc="0" locked="0" layoutInCell="1" allowOverlap="1" wp14:anchorId="693482A2" wp14:editId="1E8478AA">
            <wp:simplePos x="0" y="0"/>
            <wp:positionH relativeFrom="column">
              <wp:posOffset>-238760</wp:posOffset>
            </wp:positionH>
            <wp:positionV relativeFrom="paragraph">
              <wp:posOffset>513715</wp:posOffset>
            </wp:positionV>
            <wp:extent cx="3324225" cy="1800225"/>
            <wp:effectExtent l="0" t="0" r="9525" b="9525"/>
            <wp:wrapTopAndBottom/>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14:sizeRelH relativeFrom="page">
              <wp14:pctWidth>0</wp14:pctWidth>
            </wp14:sizeRelH>
            <wp14:sizeRelV relativeFrom="page">
              <wp14:pctHeight>0</wp14:pctHeight>
            </wp14:sizeRelV>
          </wp:anchor>
        </w:drawing>
      </w:r>
      <w:r w:rsidRPr="008D34F8">
        <w:rPr>
          <w:rFonts w:ascii="Candara" w:hAnsi="Candara" w:cs="Times New Roman"/>
          <w:i/>
          <w:sz w:val="18"/>
          <w:szCs w:val="24"/>
        </w:rPr>
        <w:t>Key words:  Bio preservative, Food preservation, Fruits and vegetables, LAB, Shelf life enhancements and Spoilage</w:t>
      </w:r>
    </w:p>
    <w:p w:rsidR="008D34F8" w:rsidRDefault="008D34F8" w:rsidP="008D34F8">
      <w:pPr>
        <w:spacing w:after="0" w:line="240" w:lineRule="auto"/>
        <w:jc w:val="both"/>
        <w:rPr>
          <w:rFonts w:ascii="Candara" w:hAnsi="Candara" w:cs="Times New Roman"/>
          <w:i/>
          <w:sz w:val="18"/>
          <w:szCs w:val="24"/>
        </w:rPr>
      </w:pPr>
    </w:p>
    <w:p w:rsidR="008D34F8" w:rsidRDefault="008D34F8" w:rsidP="008D34F8">
      <w:pPr>
        <w:pStyle w:val="Caption"/>
        <w:spacing w:after="0"/>
        <w:rPr>
          <w:rFonts w:ascii="Bell MT" w:hAnsi="Bell MT" w:cs="Times New Roman"/>
          <w:i w:val="0"/>
        </w:rPr>
      </w:pPr>
      <w:r>
        <w:rPr>
          <w:rFonts w:ascii="Bell MT" w:hAnsi="Bell MT" w:cs="Times New Roman"/>
          <w:i w:val="0"/>
        </w:rPr>
        <w:t>Figure. Shelf</w:t>
      </w:r>
      <w:r>
        <w:rPr>
          <w:rFonts w:ascii="Bell MT" w:hAnsi="Bell MT" w:cs="Times New Roman"/>
          <w:i w:val="0"/>
        </w:rPr>
        <w:t xml:space="preserve"> life study of </w:t>
      </w:r>
      <w:r w:rsidRPr="00752C3A">
        <w:rPr>
          <w:rFonts w:ascii="Bell MT" w:hAnsi="Bell MT" w:cs="Times New Roman"/>
          <w:i w:val="0"/>
        </w:rPr>
        <w:t>vegetables using probiotic LAB isolate (Vegetables)</w:t>
      </w:r>
    </w:p>
    <w:p w:rsidR="008D34F8" w:rsidRDefault="008D34F8" w:rsidP="008D34F8">
      <w:pPr>
        <w:spacing w:after="0" w:line="240" w:lineRule="auto"/>
        <w:rPr>
          <w:rFonts w:asciiTheme="majorHAnsi" w:hAnsiTheme="majorHAnsi" w:cstheme="majorHAnsi"/>
          <w:b/>
          <w:sz w:val="20"/>
        </w:rPr>
      </w:pPr>
      <w:r>
        <w:t xml:space="preserve">  </w:t>
      </w:r>
      <w:r w:rsidRPr="008D34F8">
        <w:rPr>
          <w:rFonts w:asciiTheme="majorHAnsi" w:hAnsiTheme="majorHAnsi" w:cstheme="majorHAnsi"/>
          <w:b/>
          <w:sz w:val="20"/>
        </w:rPr>
        <w:t xml:space="preserve">Recent Publication </w:t>
      </w:r>
    </w:p>
    <w:p w:rsidR="008D34F8" w:rsidRPr="008D34F8" w:rsidRDefault="008D34F8" w:rsidP="008D34F8">
      <w:pPr>
        <w:pStyle w:val="Default"/>
        <w:numPr>
          <w:ilvl w:val="0"/>
          <w:numId w:val="2"/>
        </w:numPr>
        <w:spacing w:line="276" w:lineRule="auto"/>
        <w:jc w:val="both"/>
        <w:rPr>
          <w:sz w:val="18"/>
          <w:szCs w:val="20"/>
        </w:rPr>
      </w:pPr>
      <w:r w:rsidRPr="008D34F8">
        <w:rPr>
          <w:sz w:val="16"/>
          <w:szCs w:val="20"/>
        </w:rPr>
        <w:t>T</w:t>
      </w:r>
      <w:r w:rsidRPr="008D34F8">
        <w:rPr>
          <w:sz w:val="18"/>
          <w:szCs w:val="20"/>
        </w:rPr>
        <w:t xml:space="preserve">emesgen </w:t>
      </w:r>
      <w:proofErr w:type="spellStart"/>
      <w:r w:rsidRPr="008D34F8">
        <w:rPr>
          <w:sz w:val="18"/>
          <w:szCs w:val="20"/>
        </w:rPr>
        <w:t>Tafesee</w:t>
      </w:r>
      <w:proofErr w:type="spellEnd"/>
      <w:r w:rsidRPr="008D34F8">
        <w:rPr>
          <w:sz w:val="18"/>
          <w:szCs w:val="20"/>
        </w:rPr>
        <w:t xml:space="preserve">, Fekadu </w:t>
      </w:r>
      <w:proofErr w:type="spellStart"/>
      <w:r w:rsidRPr="008D34F8">
        <w:rPr>
          <w:sz w:val="18"/>
          <w:szCs w:val="20"/>
        </w:rPr>
        <w:t>Beyeneand</w:t>
      </w:r>
      <w:proofErr w:type="spellEnd"/>
      <w:r w:rsidRPr="008D34F8">
        <w:rPr>
          <w:sz w:val="18"/>
          <w:szCs w:val="20"/>
        </w:rPr>
        <w:t xml:space="preserve"> Desalegn Amenu(2020).Evaluation of Lactic Acid Bacteria </w:t>
      </w:r>
      <w:proofErr w:type="spellStart"/>
      <w:r w:rsidRPr="008D34F8">
        <w:rPr>
          <w:sz w:val="18"/>
          <w:szCs w:val="20"/>
        </w:rPr>
        <w:t>Isolatedfrom</w:t>
      </w:r>
      <w:proofErr w:type="spellEnd"/>
      <w:r w:rsidRPr="008D34F8">
        <w:rPr>
          <w:sz w:val="18"/>
          <w:szCs w:val="20"/>
        </w:rPr>
        <w:t xml:space="preserve">  Ethiopian  traditional  fermented  food  (“</w:t>
      </w:r>
      <w:proofErr w:type="spellStart"/>
      <w:r w:rsidRPr="008D34F8">
        <w:rPr>
          <w:sz w:val="18"/>
          <w:szCs w:val="20"/>
        </w:rPr>
        <w:t>Borde</w:t>
      </w:r>
      <w:proofErr w:type="spellEnd"/>
      <w:r w:rsidRPr="008D34F8">
        <w:rPr>
          <w:sz w:val="18"/>
          <w:szCs w:val="20"/>
        </w:rPr>
        <w:t>”)and  beverage  (“</w:t>
      </w:r>
      <w:proofErr w:type="spellStart"/>
      <w:r w:rsidRPr="008D34F8">
        <w:rPr>
          <w:sz w:val="18"/>
          <w:szCs w:val="20"/>
        </w:rPr>
        <w:t>Ititu</w:t>
      </w:r>
      <w:proofErr w:type="spellEnd"/>
      <w:r w:rsidRPr="008D34F8">
        <w:rPr>
          <w:sz w:val="18"/>
          <w:szCs w:val="20"/>
        </w:rPr>
        <w:t xml:space="preserve">”)  as  a  Starter  Culture  for  </w:t>
      </w:r>
      <w:proofErr w:type="spellStart"/>
      <w:r w:rsidRPr="008D34F8">
        <w:rPr>
          <w:sz w:val="18"/>
          <w:szCs w:val="20"/>
        </w:rPr>
        <w:t>AyibProduction.w.Int</w:t>
      </w:r>
      <w:proofErr w:type="spellEnd"/>
      <w:r w:rsidRPr="008D34F8">
        <w:rPr>
          <w:sz w:val="18"/>
          <w:szCs w:val="20"/>
        </w:rPr>
        <w:t xml:space="preserve">. J. Adv. Res. Biol. Sci.7(9):42-52 </w:t>
      </w:r>
    </w:p>
    <w:p w:rsidR="008D34F8" w:rsidRPr="008D34F8" w:rsidRDefault="008D34F8" w:rsidP="008D34F8">
      <w:pPr>
        <w:pStyle w:val="Default"/>
        <w:numPr>
          <w:ilvl w:val="0"/>
          <w:numId w:val="2"/>
        </w:numPr>
        <w:spacing w:line="276" w:lineRule="auto"/>
        <w:jc w:val="both"/>
        <w:rPr>
          <w:sz w:val="18"/>
          <w:szCs w:val="20"/>
        </w:rPr>
      </w:pPr>
      <w:r w:rsidRPr="008D34F8">
        <w:rPr>
          <w:sz w:val="18"/>
          <w:szCs w:val="20"/>
        </w:rPr>
        <w:t>Desalegn   Amenu</w:t>
      </w:r>
      <w:r>
        <w:rPr>
          <w:sz w:val="18"/>
          <w:szCs w:val="20"/>
        </w:rPr>
        <w:t xml:space="preserve"> </w:t>
      </w:r>
      <w:r w:rsidRPr="008D34F8">
        <w:rPr>
          <w:sz w:val="18"/>
          <w:szCs w:val="20"/>
        </w:rPr>
        <w:t>and</w:t>
      </w:r>
      <w:r>
        <w:rPr>
          <w:sz w:val="18"/>
          <w:szCs w:val="20"/>
        </w:rPr>
        <w:t xml:space="preserve"> </w:t>
      </w:r>
      <w:r w:rsidRPr="008D34F8">
        <w:rPr>
          <w:sz w:val="18"/>
          <w:szCs w:val="20"/>
        </w:rPr>
        <w:t xml:space="preserve">Temesgen   </w:t>
      </w:r>
      <w:proofErr w:type="spellStart"/>
      <w:r w:rsidRPr="008D34F8">
        <w:rPr>
          <w:sz w:val="18"/>
          <w:szCs w:val="20"/>
        </w:rPr>
        <w:t>Tafeese</w:t>
      </w:r>
      <w:proofErr w:type="spellEnd"/>
      <w:r>
        <w:rPr>
          <w:sz w:val="18"/>
          <w:szCs w:val="20"/>
        </w:rPr>
        <w:t xml:space="preserve"> </w:t>
      </w:r>
      <w:r w:rsidRPr="008D34F8">
        <w:rPr>
          <w:sz w:val="18"/>
          <w:szCs w:val="20"/>
        </w:rPr>
        <w:t xml:space="preserve">(2020).Assessing   </w:t>
      </w:r>
      <w:proofErr w:type="spellStart"/>
      <w:r w:rsidRPr="008D34F8">
        <w:rPr>
          <w:sz w:val="18"/>
          <w:szCs w:val="20"/>
        </w:rPr>
        <w:t>theContamination</w:t>
      </w:r>
      <w:proofErr w:type="spellEnd"/>
      <w:r w:rsidRPr="008D34F8">
        <w:rPr>
          <w:sz w:val="18"/>
          <w:szCs w:val="20"/>
        </w:rPr>
        <w:t xml:space="preserve">   Level   of   water   and</w:t>
      </w:r>
      <w:r>
        <w:rPr>
          <w:sz w:val="18"/>
          <w:szCs w:val="20"/>
        </w:rPr>
        <w:t xml:space="preserve"> </w:t>
      </w:r>
      <w:r w:rsidRPr="008D34F8">
        <w:rPr>
          <w:sz w:val="18"/>
          <w:szCs w:val="20"/>
        </w:rPr>
        <w:t xml:space="preserve">Determination of the Major Sources of Contaminants among Rural Community of </w:t>
      </w:r>
      <w:r w:rsidRPr="008D34F8">
        <w:rPr>
          <w:sz w:val="18"/>
          <w:szCs w:val="20"/>
        </w:rPr>
        <w:lastRenderedPageBreak/>
        <w:t xml:space="preserve">Dire </w:t>
      </w:r>
      <w:proofErr w:type="spellStart"/>
      <w:r w:rsidRPr="008D34F8">
        <w:rPr>
          <w:sz w:val="18"/>
          <w:szCs w:val="20"/>
        </w:rPr>
        <w:t>Dawa</w:t>
      </w:r>
      <w:proofErr w:type="spellEnd"/>
      <w:r w:rsidRPr="008D34F8">
        <w:rPr>
          <w:sz w:val="18"/>
          <w:szCs w:val="20"/>
        </w:rPr>
        <w:t xml:space="preserve"> Administrative</w:t>
      </w:r>
      <w:r>
        <w:rPr>
          <w:sz w:val="18"/>
          <w:szCs w:val="20"/>
        </w:rPr>
        <w:t xml:space="preserve"> </w:t>
      </w:r>
      <w:proofErr w:type="spellStart"/>
      <w:r w:rsidRPr="008D34F8">
        <w:rPr>
          <w:sz w:val="18"/>
          <w:szCs w:val="20"/>
        </w:rPr>
        <w:t>Council.Int</w:t>
      </w:r>
      <w:proofErr w:type="spellEnd"/>
      <w:r w:rsidRPr="008D34F8">
        <w:rPr>
          <w:sz w:val="18"/>
          <w:szCs w:val="20"/>
        </w:rPr>
        <w:t xml:space="preserve">. J. Adv. Res. Biol. Sci.7(9):74-83 </w:t>
      </w:r>
    </w:p>
    <w:p w:rsidR="008D34F8" w:rsidRPr="008D34F8" w:rsidRDefault="008D34F8" w:rsidP="008D34F8">
      <w:pPr>
        <w:pStyle w:val="Default"/>
        <w:numPr>
          <w:ilvl w:val="0"/>
          <w:numId w:val="2"/>
        </w:numPr>
        <w:spacing w:line="276" w:lineRule="auto"/>
        <w:jc w:val="both"/>
        <w:rPr>
          <w:sz w:val="18"/>
          <w:szCs w:val="20"/>
        </w:rPr>
      </w:pPr>
      <w:r w:rsidRPr="008D34F8">
        <w:rPr>
          <w:sz w:val="18"/>
          <w:szCs w:val="20"/>
        </w:rPr>
        <w:t>(PDF) Evaluation of Lactic Acid Bacteria Isolated from Ethiopian traditional fermented food ("</w:t>
      </w:r>
      <w:proofErr w:type="spellStart"/>
      <w:r w:rsidRPr="008D34F8">
        <w:rPr>
          <w:sz w:val="18"/>
          <w:szCs w:val="20"/>
        </w:rPr>
        <w:t>Borde</w:t>
      </w:r>
      <w:proofErr w:type="spellEnd"/>
      <w:r w:rsidRPr="008D34F8">
        <w:rPr>
          <w:sz w:val="18"/>
          <w:szCs w:val="20"/>
        </w:rPr>
        <w:t>") and beverage ("</w:t>
      </w:r>
      <w:proofErr w:type="spellStart"/>
      <w:r w:rsidRPr="008D34F8">
        <w:rPr>
          <w:sz w:val="18"/>
          <w:szCs w:val="20"/>
        </w:rPr>
        <w:t>Ititu</w:t>
      </w:r>
      <w:proofErr w:type="spellEnd"/>
      <w:r w:rsidRPr="008D34F8">
        <w:rPr>
          <w:sz w:val="18"/>
          <w:szCs w:val="20"/>
        </w:rPr>
        <w:t xml:space="preserve">") as a Starter Culture for </w:t>
      </w:r>
      <w:proofErr w:type="spellStart"/>
      <w:r w:rsidRPr="008D34F8">
        <w:rPr>
          <w:sz w:val="18"/>
          <w:szCs w:val="20"/>
        </w:rPr>
        <w:t>Ayib</w:t>
      </w:r>
      <w:proofErr w:type="spellEnd"/>
      <w:r w:rsidRPr="008D34F8">
        <w:rPr>
          <w:sz w:val="18"/>
          <w:szCs w:val="20"/>
        </w:rPr>
        <w:t xml:space="preserve"> Production. Available from: https://www.researchgate.net/publication/345157753_Evaluation_of_Lactic_Acid_Bacteria_Isolated_from_Ethiopian_traditional_fermented_food_Borde_and_beverage_Ititu_as_a_Starter_Culture_for_Ayib_Production [accessed Mar 22 2021].</w:t>
      </w:r>
    </w:p>
    <w:p w:rsidR="008D34F8" w:rsidRPr="008D34F8" w:rsidRDefault="008D34F8" w:rsidP="008D34F8">
      <w:pPr>
        <w:pStyle w:val="Default"/>
        <w:numPr>
          <w:ilvl w:val="0"/>
          <w:numId w:val="2"/>
        </w:numPr>
        <w:spacing w:line="276" w:lineRule="auto"/>
        <w:rPr>
          <w:sz w:val="18"/>
          <w:szCs w:val="20"/>
        </w:rPr>
      </w:pPr>
      <w:r w:rsidRPr="008D34F8">
        <w:rPr>
          <w:b/>
          <w:bCs/>
          <w:sz w:val="18"/>
          <w:szCs w:val="20"/>
        </w:rPr>
        <w:t>Delesa, D.A</w:t>
      </w:r>
      <w:r w:rsidRPr="008D34F8">
        <w:rPr>
          <w:sz w:val="18"/>
          <w:szCs w:val="20"/>
        </w:rPr>
        <w:t xml:space="preserve">., 2018. Traditional Medicinal Plants for Industrial Application as Natural Food Preservatives. </w:t>
      </w:r>
      <w:r w:rsidRPr="008D34F8">
        <w:rPr>
          <w:i/>
          <w:iCs/>
          <w:sz w:val="18"/>
          <w:szCs w:val="20"/>
        </w:rPr>
        <w:t>International journal of Advanced Biological and Biomedical Research, 6(1), 1-1</w:t>
      </w:r>
      <w:r w:rsidRPr="008D34F8">
        <w:rPr>
          <w:i/>
          <w:iCs/>
          <w:sz w:val="18"/>
          <w:szCs w:val="20"/>
        </w:rPr>
        <w:t>0.</w:t>
      </w:r>
    </w:p>
    <w:p w:rsidR="008D34F8" w:rsidRPr="008D34F8" w:rsidRDefault="008D34F8" w:rsidP="008D34F8">
      <w:pPr>
        <w:pStyle w:val="Default"/>
        <w:numPr>
          <w:ilvl w:val="0"/>
          <w:numId w:val="2"/>
        </w:numPr>
        <w:spacing w:line="276" w:lineRule="auto"/>
        <w:rPr>
          <w:sz w:val="18"/>
          <w:szCs w:val="20"/>
        </w:rPr>
      </w:pPr>
      <w:r w:rsidRPr="008D34F8">
        <w:rPr>
          <w:b/>
          <w:bCs/>
          <w:sz w:val="18"/>
          <w:szCs w:val="20"/>
        </w:rPr>
        <w:t xml:space="preserve">Desalegn Amenu Delesa. </w:t>
      </w:r>
      <w:r w:rsidRPr="008D34F8">
        <w:rPr>
          <w:sz w:val="18"/>
          <w:szCs w:val="20"/>
        </w:rPr>
        <w:t xml:space="preserve">(2018). LAB as remedy for health problems: review paper. Int. J. Compr. Res. Biol. Sci. 5(4): 1-5. DOI: http://dx.doi.org/10.22192/ijcrbs.2018.05.04.001 </w:t>
      </w:r>
    </w:p>
    <w:p w:rsidR="008D34F8" w:rsidRPr="008D34F8" w:rsidRDefault="008D34F8" w:rsidP="008D34F8">
      <w:pPr>
        <w:pStyle w:val="Default"/>
        <w:numPr>
          <w:ilvl w:val="0"/>
          <w:numId w:val="2"/>
        </w:numPr>
        <w:spacing w:line="276" w:lineRule="auto"/>
        <w:rPr>
          <w:sz w:val="18"/>
          <w:szCs w:val="20"/>
        </w:rPr>
      </w:pPr>
      <w:r w:rsidRPr="008D34F8">
        <w:rPr>
          <w:b/>
          <w:bCs/>
          <w:sz w:val="18"/>
          <w:szCs w:val="20"/>
        </w:rPr>
        <w:t xml:space="preserve">Desalegn Amenu Delesa. </w:t>
      </w:r>
      <w:r w:rsidRPr="008D34F8">
        <w:rPr>
          <w:sz w:val="18"/>
          <w:szCs w:val="20"/>
        </w:rPr>
        <w:t xml:space="preserve">(2017). Bacteriocin as an advanced technology in food industry. Int. J. Adv. Res. Biol. Sci. 4(12): 178-190. </w:t>
      </w:r>
    </w:p>
    <w:p w:rsidR="008D34F8" w:rsidRPr="008D34F8" w:rsidRDefault="008D34F8" w:rsidP="008D34F8">
      <w:pPr>
        <w:pStyle w:val="Default"/>
        <w:numPr>
          <w:ilvl w:val="0"/>
          <w:numId w:val="2"/>
        </w:numPr>
        <w:spacing w:line="276" w:lineRule="auto"/>
        <w:rPr>
          <w:sz w:val="18"/>
          <w:szCs w:val="20"/>
        </w:rPr>
      </w:pPr>
      <w:r w:rsidRPr="008D34F8">
        <w:rPr>
          <w:b/>
          <w:bCs/>
          <w:sz w:val="18"/>
          <w:szCs w:val="20"/>
        </w:rPr>
        <w:t xml:space="preserve"> Desalegn Amenu Delesa. </w:t>
      </w:r>
      <w:r w:rsidRPr="008D34F8">
        <w:rPr>
          <w:sz w:val="18"/>
          <w:szCs w:val="20"/>
        </w:rPr>
        <w:t xml:space="preserve">(2017). Overview of Anticancer activity of Lactic Acid bacteria. Int. J. Adv. Res. Biol. Sci. 4(12): 166-177. </w:t>
      </w:r>
    </w:p>
    <w:p w:rsidR="008D34F8" w:rsidRPr="008D34F8" w:rsidRDefault="008D34F8" w:rsidP="008D34F8">
      <w:pPr>
        <w:pStyle w:val="Default"/>
        <w:numPr>
          <w:ilvl w:val="0"/>
          <w:numId w:val="2"/>
        </w:numPr>
        <w:spacing w:line="276" w:lineRule="auto"/>
        <w:ind w:right="270"/>
        <w:rPr>
          <w:sz w:val="18"/>
          <w:szCs w:val="20"/>
        </w:rPr>
      </w:pPr>
      <w:r w:rsidRPr="008D34F8">
        <w:rPr>
          <w:b/>
          <w:bCs/>
          <w:sz w:val="18"/>
          <w:szCs w:val="20"/>
        </w:rPr>
        <w:t xml:space="preserve">Desalegn Amenu Delesa. </w:t>
      </w:r>
      <w:r w:rsidRPr="008D34F8">
        <w:rPr>
          <w:sz w:val="18"/>
          <w:szCs w:val="20"/>
        </w:rPr>
        <w:t xml:space="preserve">(2017). Standards related foods and food products. Int. J. Adv. Res. Biol. Sci. 4(12): 201-206. DOI: http://dx.doi.org/10.22192/ijarbs.2017.04.12.020 </w:t>
      </w:r>
    </w:p>
    <w:p w:rsidR="008D34F8" w:rsidRPr="008D34F8" w:rsidRDefault="008D34F8" w:rsidP="008D34F8">
      <w:pPr>
        <w:pStyle w:val="Default"/>
        <w:numPr>
          <w:ilvl w:val="0"/>
          <w:numId w:val="2"/>
        </w:numPr>
        <w:spacing w:line="276" w:lineRule="auto"/>
        <w:rPr>
          <w:sz w:val="18"/>
          <w:szCs w:val="20"/>
        </w:rPr>
      </w:pPr>
      <w:r w:rsidRPr="008D34F8">
        <w:rPr>
          <w:b/>
          <w:bCs/>
          <w:sz w:val="18"/>
          <w:szCs w:val="20"/>
        </w:rPr>
        <w:t>Desalegn Amenu Delesa</w:t>
      </w:r>
      <w:r w:rsidRPr="008D34F8">
        <w:rPr>
          <w:sz w:val="18"/>
          <w:szCs w:val="20"/>
        </w:rPr>
        <w:t xml:space="preserve">. (2017). Intestinal Parasitic and Bacteriological Contamination of Raw Vegetables from Selected Farms and Markets in Nekemte, Ethiopia. Int. J. Adv. Res. Biol. Sci. 4(12): 191-200. DOI: http://dx.doi.org/10.22192/ijarbs.2017.04.12.019 </w:t>
      </w:r>
    </w:p>
    <w:p w:rsidR="008D34F8" w:rsidRPr="008D34F8" w:rsidRDefault="008D34F8" w:rsidP="008D34F8">
      <w:pPr>
        <w:pStyle w:val="Default"/>
        <w:numPr>
          <w:ilvl w:val="0"/>
          <w:numId w:val="2"/>
        </w:numPr>
        <w:spacing w:line="276" w:lineRule="auto"/>
        <w:rPr>
          <w:sz w:val="18"/>
          <w:szCs w:val="20"/>
        </w:rPr>
      </w:pPr>
      <w:r w:rsidRPr="008D34F8">
        <w:rPr>
          <w:b/>
          <w:bCs/>
          <w:sz w:val="18"/>
          <w:szCs w:val="20"/>
        </w:rPr>
        <w:t xml:space="preserve"> </w:t>
      </w:r>
      <w:proofErr w:type="spellStart"/>
      <w:r w:rsidRPr="008D34F8">
        <w:rPr>
          <w:sz w:val="18"/>
          <w:szCs w:val="20"/>
        </w:rPr>
        <w:t>Misganu</w:t>
      </w:r>
      <w:proofErr w:type="spellEnd"/>
      <w:r w:rsidRPr="008D34F8">
        <w:rPr>
          <w:sz w:val="18"/>
          <w:szCs w:val="20"/>
        </w:rPr>
        <w:t xml:space="preserve"> </w:t>
      </w:r>
      <w:proofErr w:type="spellStart"/>
      <w:r w:rsidRPr="008D34F8">
        <w:rPr>
          <w:sz w:val="18"/>
          <w:szCs w:val="20"/>
        </w:rPr>
        <w:t>Mamo</w:t>
      </w:r>
      <w:proofErr w:type="spellEnd"/>
      <w:r w:rsidRPr="008D34F8">
        <w:rPr>
          <w:sz w:val="18"/>
          <w:szCs w:val="20"/>
        </w:rPr>
        <w:t xml:space="preserve"> and </w:t>
      </w:r>
      <w:r w:rsidRPr="008D34F8">
        <w:rPr>
          <w:b/>
          <w:bCs/>
          <w:sz w:val="18"/>
          <w:szCs w:val="20"/>
        </w:rPr>
        <w:t xml:space="preserve">Desalegn Amenu, </w:t>
      </w:r>
      <w:r w:rsidRPr="008D34F8">
        <w:rPr>
          <w:sz w:val="18"/>
          <w:szCs w:val="20"/>
        </w:rPr>
        <w:t xml:space="preserve">2016. Assessment of Prevalence of Sexually Transmitted Disease (STDs) at </w:t>
      </w:r>
      <w:proofErr w:type="spellStart"/>
      <w:r w:rsidRPr="008D34F8">
        <w:rPr>
          <w:sz w:val="18"/>
          <w:szCs w:val="20"/>
        </w:rPr>
        <w:t>Darimu</w:t>
      </w:r>
      <w:proofErr w:type="spellEnd"/>
      <w:r w:rsidRPr="008D34F8">
        <w:rPr>
          <w:sz w:val="18"/>
          <w:szCs w:val="20"/>
        </w:rPr>
        <w:t xml:space="preserve"> </w:t>
      </w:r>
      <w:proofErr w:type="spellStart"/>
      <w:r w:rsidRPr="008D34F8">
        <w:rPr>
          <w:sz w:val="18"/>
          <w:szCs w:val="20"/>
        </w:rPr>
        <w:t>Dupa</w:t>
      </w:r>
      <w:proofErr w:type="spellEnd"/>
      <w:r w:rsidRPr="008D34F8">
        <w:rPr>
          <w:sz w:val="18"/>
          <w:szCs w:val="20"/>
        </w:rPr>
        <w:t xml:space="preserve"> Health Center. </w:t>
      </w:r>
      <w:r w:rsidRPr="008D34F8">
        <w:rPr>
          <w:i/>
          <w:iCs/>
          <w:sz w:val="18"/>
          <w:szCs w:val="20"/>
        </w:rPr>
        <w:t xml:space="preserve">World Journal of Biology and Medical </w:t>
      </w:r>
      <w:proofErr w:type="spellStart"/>
      <w:r w:rsidRPr="008D34F8">
        <w:rPr>
          <w:i/>
          <w:iCs/>
          <w:sz w:val="18"/>
          <w:szCs w:val="20"/>
        </w:rPr>
        <w:t>Sciences</w:t>
      </w:r>
      <w:r w:rsidRPr="008D34F8">
        <w:rPr>
          <w:sz w:val="18"/>
          <w:szCs w:val="20"/>
        </w:rPr>
        <w:t>.</w:t>
      </w:r>
      <w:r w:rsidRPr="008D34F8">
        <w:rPr>
          <w:b/>
          <w:bCs/>
          <w:sz w:val="18"/>
          <w:szCs w:val="20"/>
        </w:rPr>
        <w:t>Volume</w:t>
      </w:r>
      <w:proofErr w:type="spellEnd"/>
      <w:r w:rsidRPr="008D34F8">
        <w:rPr>
          <w:b/>
          <w:bCs/>
          <w:sz w:val="18"/>
          <w:szCs w:val="20"/>
        </w:rPr>
        <w:t xml:space="preserve"> 3, Issue- 2</w:t>
      </w:r>
      <w:r w:rsidRPr="008D34F8">
        <w:rPr>
          <w:sz w:val="18"/>
          <w:szCs w:val="20"/>
        </w:rPr>
        <w:t xml:space="preserve">, 7-14, April to June, 2016. </w:t>
      </w:r>
    </w:p>
    <w:p w:rsidR="008D34F8" w:rsidRPr="008D34F8" w:rsidRDefault="008D34F8" w:rsidP="008D34F8">
      <w:pPr>
        <w:pStyle w:val="Default"/>
        <w:numPr>
          <w:ilvl w:val="0"/>
          <w:numId w:val="2"/>
        </w:numPr>
        <w:spacing w:line="276" w:lineRule="auto"/>
        <w:ind w:right="-360"/>
        <w:rPr>
          <w:sz w:val="18"/>
          <w:szCs w:val="20"/>
        </w:rPr>
      </w:pPr>
      <w:proofErr w:type="spellStart"/>
      <w:r w:rsidRPr="008D34F8">
        <w:rPr>
          <w:sz w:val="18"/>
          <w:szCs w:val="20"/>
        </w:rPr>
        <w:t>Alelign</w:t>
      </w:r>
      <w:proofErr w:type="spellEnd"/>
      <w:r w:rsidRPr="008D34F8">
        <w:rPr>
          <w:sz w:val="18"/>
          <w:szCs w:val="20"/>
        </w:rPr>
        <w:t xml:space="preserve"> </w:t>
      </w:r>
      <w:proofErr w:type="spellStart"/>
      <w:r w:rsidRPr="008D34F8">
        <w:rPr>
          <w:sz w:val="18"/>
          <w:szCs w:val="20"/>
        </w:rPr>
        <w:t>Alemu</w:t>
      </w:r>
      <w:proofErr w:type="spellEnd"/>
      <w:r w:rsidRPr="008D34F8">
        <w:rPr>
          <w:sz w:val="18"/>
          <w:szCs w:val="20"/>
        </w:rPr>
        <w:t xml:space="preserve"> and </w:t>
      </w:r>
      <w:r w:rsidRPr="008D34F8">
        <w:rPr>
          <w:b/>
          <w:bCs/>
          <w:sz w:val="18"/>
          <w:szCs w:val="20"/>
        </w:rPr>
        <w:t xml:space="preserve">Desalegn Amenu, </w:t>
      </w:r>
      <w:r w:rsidRPr="008D34F8">
        <w:rPr>
          <w:sz w:val="18"/>
          <w:szCs w:val="20"/>
        </w:rPr>
        <w:t xml:space="preserve">2016. Use of Bed Net in Controlling of Malaria Prevalence and Community Awareness toward its Application in </w:t>
      </w:r>
      <w:proofErr w:type="spellStart"/>
      <w:r w:rsidRPr="008D34F8">
        <w:rPr>
          <w:sz w:val="18"/>
          <w:szCs w:val="20"/>
        </w:rPr>
        <w:t>Diga</w:t>
      </w:r>
      <w:proofErr w:type="spellEnd"/>
      <w:r w:rsidRPr="008D34F8">
        <w:rPr>
          <w:sz w:val="18"/>
          <w:szCs w:val="20"/>
        </w:rPr>
        <w:t xml:space="preserve"> Woreda in the Case of </w:t>
      </w:r>
      <w:proofErr w:type="spellStart"/>
      <w:r w:rsidRPr="008D34F8">
        <w:rPr>
          <w:sz w:val="18"/>
          <w:szCs w:val="20"/>
        </w:rPr>
        <w:t>Lalisa</w:t>
      </w:r>
      <w:proofErr w:type="spellEnd"/>
      <w:r w:rsidRPr="008D34F8">
        <w:rPr>
          <w:sz w:val="18"/>
          <w:szCs w:val="20"/>
        </w:rPr>
        <w:t xml:space="preserve"> </w:t>
      </w:r>
      <w:proofErr w:type="spellStart"/>
      <w:r w:rsidRPr="008D34F8">
        <w:rPr>
          <w:sz w:val="18"/>
          <w:szCs w:val="20"/>
        </w:rPr>
        <w:t>Dimtu</w:t>
      </w:r>
      <w:proofErr w:type="spellEnd"/>
      <w:r w:rsidRPr="008D34F8">
        <w:rPr>
          <w:sz w:val="18"/>
          <w:szCs w:val="20"/>
        </w:rPr>
        <w:t xml:space="preserve">. </w:t>
      </w:r>
      <w:r w:rsidRPr="008D34F8">
        <w:rPr>
          <w:i/>
          <w:iCs/>
          <w:sz w:val="18"/>
          <w:szCs w:val="20"/>
        </w:rPr>
        <w:t xml:space="preserve">World Journal of Biology and Medical </w:t>
      </w:r>
      <w:proofErr w:type="spellStart"/>
      <w:r w:rsidRPr="008D34F8">
        <w:rPr>
          <w:i/>
          <w:iCs/>
          <w:sz w:val="18"/>
          <w:szCs w:val="20"/>
        </w:rPr>
        <w:t>Sciences</w:t>
      </w:r>
      <w:r w:rsidRPr="008D34F8">
        <w:rPr>
          <w:sz w:val="18"/>
          <w:szCs w:val="20"/>
        </w:rPr>
        <w:t>.</w:t>
      </w:r>
      <w:r w:rsidRPr="008D34F8">
        <w:rPr>
          <w:b/>
          <w:bCs/>
          <w:sz w:val="18"/>
          <w:szCs w:val="20"/>
        </w:rPr>
        <w:t>Volume</w:t>
      </w:r>
      <w:proofErr w:type="spellEnd"/>
      <w:r w:rsidRPr="008D34F8">
        <w:rPr>
          <w:b/>
          <w:bCs/>
          <w:sz w:val="18"/>
          <w:szCs w:val="20"/>
        </w:rPr>
        <w:t xml:space="preserve"> 3, Issue- 2</w:t>
      </w:r>
      <w:r w:rsidRPr="008D34F8">
        <w:rPr>
          <w:sz w:val="18"/>
          <w:szCs w:val="20"/>
        </w:rPr>
        <w:t xml:space="preserve">, 1-6, April to June, 2016. </w:t>
      </w:r>
    </w:p>
    <w:p w:rsidR="008D34F8" w:rsidRPr="008D34F8" w:rsidRDefault="008D34F8" w:rsidP="008D34F8">
      <w:pPr>
        <w:pStyle w:val="Default"/>
        <w:numPr>
          <w:ilvl w:val="0"/>
          <w:numId w:val="2"/>
        </w:numPr>
        <w:spacing w:line="276" w:lineRule="auto"/>
        <w:ind w:right="-360"/>
        <w:rPr>
          <w:sz w:val="18"/>
          <w:szCs w:val="20"/>
        </w:rPr>
      </w:pPr>
      <w:proofErr w:type="spellStart"/>
      <w:r w:rsidRPr="008D34F8">
        <w:rPr>
          <w:sz w:val="18"/>
          <w:szCs w:val="20"/>
        </w:rPr>
        <w:t>Kitessa</w:t>
      </w:r>
      <w:proofErr w:type="spellEnd"/>
      <w:r w:rsidRPr="008D34F8">
        <w:rPr>
          <w:sz w:val="18"/>
          <w:szCs w:val="20"/>
        </w:rPr>
        <w:t xml:space="preserve"> </w:t>
      </w:r>
      <w:r w:rsidRPr="008D34F8">
        <w:rPr>
          <w:b/>
          <w:bCs/>
          <w:sz w:val="18"/>
          <w:szCs w:val="20"/>
        </w:rPr>
        <w:t>and Amenu</w:t>
      </w:r>
      <w:r w:rsidRPr="008D34F8">
        <w:rPr>
          <w:sz w:val="18"/>
          <w:szCs w:val="20"/>
        </w:rPr>
        <w:t xml:space="preserve">, 2016. Survey on Prevalence of </w:t>
      </w:r>
      <w:proofErr w:type="spellStart"/>
      <w:r w:rsidRPr="008D34F8">
        <w:rPr>
          <w:sz w:val="18"/>
          <w:szCs w:val="20"/>
        </w:rPr>
        <w:t>Shigella</w:t>
      </w:r>
      <w:proofErr w:type="spellEnd"/>
      <w:r w:rsidRPr="008D34F8">
        <w:rPr>
          <w:sz w:val="18"/>
          <w:szCs w:val="20"/>
        </w:rPr>
        <w:t xml:space="preserve"> and Salmonella among children Visited Jimma </w:t>
      </w:r>
      <w:proofErr w:type="spellStart"/>
      <w:r w:rsidRPr="008D34F8">
        <w:rPr>
          <w:sz w:val="18"/>
          <w:szCs w:val="20"/>
        </w:rPr>
        <w:t>Arjo</w:t>
      </w:r>
      <w:proofErr w:type="spellEnd"/>
      <w:r w:rsidRPr="008D34F8">
        <w:rPr>
          <w:sz w:val="18"/>
          <w:szCs w:val="20"/>
        </w:rPr>
        <w:t xml:space="preserve"> Health Centre for Diarrhea Diagnosis. </w:t>
      </w:r>
      <w:r w:rsidRPr="008D34F8">
        <w:rPr>
          <w:i/>
          <w:iCs/>
          <w:sz w:val="18"/>
          <w:szCs w:val="20"/>
        </w:rPr>
        <w:t xml:space="preserve">J. Biol. Chem. Research. Vol. 33, No. 1: 466-475, 2016 </w:t>
      </w:r>
    </w:p>
    <w:p w:rsidR="008D34F8" w:rsidRPr="008D34F8" w:rsidRDefault="008D34F8" w:rsidP="008D34F8">
      <w:pPr>
        <w:spacing w:after="0" w:line="240" w:lineRule="auto"/>
        <w:rPr>
          <w:rFonts w:asciiTheme="majorHAnsi" w:hAnsiTheme="majorHAnsi" w:cstheme="majorHAnsi"/>
          <w:b/>
        </w:rPr>
      </w:pPr>
    </w:p>
    <w:p w:rsidR="008D34F8" w:rsidRPr="008D34F8" w:rsidRDefault="008D34F8" w:rsidP="008D34F8">
      <w:pPr>
        <w:spacing w:after="0" w:line="240" w:lineRule="auto"/>
      </w:pPr>
      <w:r>
        <w:tab/>
      </w:r>
    </w:p>
    <w:p w:rsidR="008D34F8" w:rsidRDefault="008D34F8" w:rsidP="008D34F8">
      <w:pPr>
        <w:spacing w:after="0" w:line="240" w:lineRule="auto"/>
      </w:pPr>
    </w:p>
    <w:p w:rsidR="008D34F8" w:rsidRPr="008D34F8" w:rsidRDefault="008D34F8" w:rsidP="008D34F8">
      <w:pPr>
        <w:spacing w:after="0" w:line="240" w:lineRule="auto"/>
        <w:rPr>
          <w:rFonts w:ascii="Candara" w:hAnsi="Candara"/>
          <w:sz w:val="16"/>
        </w:rPr>
      </w:pPr>
    </w:p>
    <w:sectPr w:rsidR="008D34F8" w:rsidRPr="008D34F8" w:rsidSect="008D34F8">
      <w:pgSz w:w="12240" w:h="15840"/>
      <w:pgMar w:top="1008" w:right="360" w:bottom="806" w:left="1440" w:header="720" w:footer="720" w:gutter="0"/>
      <w:cols w:num="2" w:space="18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ndara">
    <w:altName w:val="Candara"/>
    <w:panose1 w:val="020E0502030303020204"/>
    <w:charset w:val="00"/>
    <w:family w:val="swiss"/>
    <w:pitch w:val="variable"/>
    <w:sig w:usb0="A00002EF" w:usb1="4000A44B" w:usb2="00000000" w:usb3="00000000" w:csb0="0000019F" w:csb1="00000000"/>
  </w:font>
  <w:font w:name="Bell MT">
    <w:panose1 w:val="02020503060305020303"/>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1875B9"/>
    <w:multiLevelType w:val="hybridMultilevel"/>
    <w:tmpl w:val="039386F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7B9C6799"/>
    <w:multiLevelType w:val="hybridMultilevel"/>
    <w:tmpl w:val="44469F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4F8"/>
    <w:rsid w:val="00154957"/>
    <w:rsid w:val="008D34F8"/>
    <w:rsid w:val="00E67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B6A7CF-FBA5-4F8A-AB8B-9C344922E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34F8"/>
  </w:style>
  <w:style w:type="paragraph" w:styleId="Heading1">
    <w:name w:val="heading 1"/>
    <w:basedOn w:val="Normal"/>
    <w:next w:val="Normal"/>
    <w:link w:val="Heading1Char"/>
    <w:uiPriority w:val="9"/>
    <w:qFormat/>
    <w:rsid w:val="008D34F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34F8"/>
    <w:rPr>
      <w:rFonts w:asciiTheme="majorHAnsi" w:eastAsiaTheme="majorEastAsia" w:hAnsiTheme="majorHAnsi" w:cstheme="majorBidi"/>
      <w:color w:val="2E74B5" w:themeColor="accent1" w:themeShade="BF"/>
      <w:sz w:val="32"/>
      <w:szCs w:val="32"/>
    </w:rPr>
  </w:style>
  <w:style w:type="paragraph" w:styleId="Caption">
    <w:name w:val="caption"/>
    <w:basedOn w:val="Normal"/>
    <w:next w:val="Normal"/>
    <w:uiPriority w:val="35"/>
    <w:unhideWhenUsed/>
    <w:qFormat/>
    <w:rsid w:val="008D34F8"/>
    <w:pPr>
      <w:spacing w:after="200" w:line="240" w:lineRule="auto"/>
    </w:pPr>
    <w:rPr>
      <w:i/>
      <w:iCs/>
      <w:color w:val="44546A" w:themeColor="text2"/>
      <w:sz w:val="18"/>
      <w:szCs w:val="18"/>
    </w:rPr>
  </w:style>
  <w:style w:type="paragraph" w:customStyle="1" w:styleId="Default">
    <w:name w:val="Default"/>
    <w:rsid w:val="008D34F8"/>
    <w:pPr>
      <w:autoSpaceDE w:val="0"/>
      <w:autoSpaceDN w:val="0"/>
      <w:adjustRightInd w:val="0"/>
      <w:spacing w:after="0" w:line="240" w:lineRule="auto"/>
    </w:pPr>
    <w:rPr>
      <w:rFonts w:ascii="Candara" w:hAnsi="Candara" w:cs="Candar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Sheet3!$A$2</c:f>
              <c:strCache>
                <c:ptCount val="1"/>
                <c:pt idx="0">
                  <c:v>LABB01</c:v>
                </c:pt>
              </c:strCache>
            </c:strRef>
          </c:tx>
          <c:spPr>
            <a:solidFill>
              <a:schemeClr val="accent1"/>
            </a:solidFill>
            <a:ln>
              <a:noFill/>
            </a:ln>
            <a:effectLst/>
            <a:sp3d/>
          </c:spPr>
          <c:invertIfNegative val="0"/>
          <c:cat>
            <c:strRef>
              <c:f>Sheet3!$B$1:$D$1</c:f>
              <c:strCache>
                <c:ptCount val="3"/>
                <c:pt idx="0">
                  <c:v>Tamato</c:v>
                </c:pt>
                <c:pt idx="1">
                  <c:v>Potato</c:v>
                </c:pt>
                <c:pt idx="2">
                  <c:v>Carrot</c:v>
                </c:pt>
              </c:strCache>
            </c:strRef>
          </c:cat>
          <c:val>
            <c:numRef>
              <c:f>Sheet3!$B$2:$D$2</c:f>
              <c:numCache>
                <c:formatCode>General</c:formatCode>
                <c:ptCount val="3"/>
                <c:pt idx="0">
                  <c:v>28</c:v>
                </c:pt>
                <c:pt idx="1">
                  <c:v>28</c:v>
                </c:pt>
                <c:pt idx="2">
                  <c:v>24</c:v>
                </c:pt>
              </c:numCache>
            </c:numRef>
          </c:val>
        </c:ser>
        <c:ser>
          <c:idx val="1"/>
          <c:order val="1"/>
          <c:tx>
            <c:strRef>
              <c:f>Sheet3!$A$3</c:f>
              <c:strCache>
                <c:ptCount val="1"/>
                <c:pt idx="0">
                  <c:v>LABB16</c:v>
                </c:pt>
              </c:strCache>
            </c:strRef>
          </c:tx>
          <c:spPr>
            <a:solidFill>
              <a:schemeClr val="accent2"/>
            </a:solidFill>
            <a:ln>
              <a:noFill/>
            </a:ln>
            <a:effectLst/>
            <a:sp3d/>
          </c:spPr>
          <c:invertIfNegative val="0"/>
          <c:cat>
            <c:strRef>
              <c:f>Sheet3!$B$1:$D$1</c:f>
              <c:strCache>
                <c:ptCount val="3"/>
                <c:pt idx="0">
                  <c:v>Tamato</c:v>
                </c:pt>
                <c:pt idx="1">
                  <c:v>Potato</c:v>
                </c:pt>
                <c:pt idx="2">
                  <c:v>Carrot</c:v>
                </c:pt>
              </c:strCache>
            </c:strRef>
          </c:cat>
          <c:val>
            <c:numRef>
              <c:f>Sheet3!$B$3:$D$3</c:f>
              <c:numCache>
                <c:formatCode>General</c:formatCode>
                <c:ptCount val="3"/>
                <c:pt idx="0">
                  <c:v>32</c:v>
                </c:pt>
                <c:pt idx="1">
                  <c:v>36</c:v>
                </c:pt>
                <c:pt idx="2">
                  <c:v>28</c:v>
                </c:pt>
              </c:numCache>
            </c:numRef>
          </c:val>
        </c:ser>
        <c:ser>
          <c:idx val="2"/>
          <c:order val="2"/>
          <c:tx>
            <c:strRef>
              <c:f>Sheet3!$A$4</c:f>
              <c:strCache>
                <c:ptCount val="1"/>
                <c:pt idx="0">
                  <c:v>LABB35</c:v>
                </c:pt>
              </c:strCache>
            </c:strRef>
          </c:tx>
          <c:spPr>
            <a:solidFill>
              <a:schemeClr val="accent3"/>
            </a:solidFill>
            <a:ln>
              <a:noFill/>
            </a:ln>
            <a:effectLst/>
            <a:sp3d/>
          </c:spPr>
          <c:invertIfNegative val="0"/>
          <c:cat>
            <c:strRef>
              <c:f>Sheet3!$B$1:$D$1</c:f>
              <c:strCache>
                <c:ptCount val="3"/>
                <c:pt idx="0">
                  <c:v>Tamato</c:v>
                </c:pt>
                <c:pt idx="1">
                  <c:v>Potato</c:v>
                </c:pt>
                <c:pt idx="2">
                  <c:v>Carrot</c:v>
                </c:pt>
              </c:strCache>
            </c:strRef>
          </c:cat>
          <c:val>
            <c:numRef>
              <c:f>Sheet3!$B$4:$D$4</c:f>
              <c:numCache>
                <c:formatCode>General</c:formatCode>
                <c:ptCount val="3"/>
                <c:pt idx="0">
                  <c:v>32</c:v>
                </c:pt>
                <c:pt idx="1">
                  <c:v>28</c:v>
                </c:pt>
                <c:pt idx="2">
                  <c:v>24</c:v>
                </c:pt>
              </c:numCache>
            </c:numRef>
          </c:val>
        </c:ser>
        <c:ser>
          <c:idx val="3"/>
          <c:order val="3"/>
          <c:tx>
            <c:strRef>
              <c:f>Sheet3!$A$5</c:f>
              <c:strCache>
                <c:ptCount val="1"/>
                <c:pt idx="0">
                  <c:v>LABBr33</c:v>
                </c:pt>
              </c:strCache>
            </c:strRef>
          </c:tx>
          <c:spPr>
            <a:solidFill>
              <a:schemeClr val="accent4"/>
            </a:solidFill>
            <a:ln>
              <a:noFill/>
            </a:ln>
            <a:effectLst/>
            <a:sp3d/>
          </c:spPr>
          <c:invertIfNegative val="0"/>
          <c:cat>
            <c:strRef>
              <c:f>Sheet3!$B$1:$D$1</c:f>
              <c:strCache>
                <c:ptCount val="3"/>
                <c:pt idx="0">
                  <c:v>Tamato</c:v>
                </c:pt>
                <c:pt idx="1">
                  <c:v>Potato</c:v>
                </c:pt>
                <c:pt idx="2">
                  <c:v>Carrot</c:v>
                </c:pt>
              </c:strCache>
            </c:strRef>
          </c:cat>
          <c:val>
            <c:numRef>
              <c:f>Sheet3!$B$5:$D$5</c:f>
              <c:numCache>
                <c:formatCode>General</c:formatCode>
                <c:ptCount val="3"/>
                <c:pt idx="0">
                  <c:v>32</c:v>
                </c:pt>
                <c:pt idx="1">
                  <c:v>36</c:v>
                </c:pt>
                <c:pt idx="2">
                  <c:v>24</c:v>
                </c:pt>
              </c:numCache>
            </c:numRef>
          </c:val>
        </c:ser>
        <c:ser>
          <c:idx val="4"/>
          <c:order val="4"/>
          <c:tx>
            <c:strRef>
              <c:f>Sheet3!$A$6</c:f>
              <c:strCache>
                <c:ptCount val="1"/>
                <c:pt idx="0">
                  <c:v>Control</c:v>
                </c:pt>
              </c:strCache>
            </c:strRef>
          </c:tx>
          <c:spPr>
            <a:solidFill>
              <a:schemeClr val="accent5"/>
            </a:solidFill>
            <a:ln>
              <a:noFill/>
            </a:ln>
            <a:effectLst/>
            <a:sp3d/>
          </c:spPr>
          <c:invertIfNegative val="0"/>
          <c:cat>
            <c:strRef>
              <c:f>Sheet3!$B$1:$D$1</c:f>
              <c:strCache>
                <c:ptCount val="3"/>
                <c:pt idx="0">
                  <c:v>Tamato</c:v>
                </c:pt>
                <c:pt idx="1">
                  <c:v>Potato</c:v>
                </c:pt>
                <c:pt idx="2">
                  <c:v>Carrot</c:v>
                </c:pt>
              </c:strCache>
            </c:strRef>
          </c:cat>
          <c:val>
            <c:numRef>
              <c:f>Sheet3!$B$6:$D$6</c:f>
              <c:numCache>
                <c:formatCode>General</c:formatCode>
                <c:ptCount val="3"/>
                <c:pt idx="0">
                  <c:v>16</c:v>
                </c:pt>
                <c:pt idx="1">
                  <c:v>20</c:v>
                </c:pt>
                <c:pt idx="2">
                  <c:v>12</c:v>
                </c:pt>
              </c:numCache>
            </c:numRef>
          </c:val>
        </c:ser>
        <c:dLbls>
          <c:showLegendKey val="0"/>
          <c:showVal val="0"/>
          <c:showCatName val="0"/>
          <c:showSerName val="0"/>
          <c:showPercent val="0"/>
          <c:showBubbleSize val="0"/>
        </c:dLbls>
        <c:gapWidth val="150"/>
        <c:shape val="box"/>
        <c:axId val="391303712"/>
        <c:axId val="391301360"/>
        <c:axId val="0"/>
      </c:bar3DChart>
      <c:catAx>
        <c:axId val="39130371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vegetables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1301360"/>
        <c:crosses val="autoZero"/>
        <c:auto val="1"/>
        <c:lblAlgn val="ctr"/>
        <c:lblOffset val="100"/>
        <c:noMultiLvlLbl val="0"/>
      </c:catAx>
      <c:valAx>
        <c:axId val="3913013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400" b="1">
                    <a:latin typeface="Times" panose="02020603050405020304" pitchFamily="18" charset="0"/>
                  </a:rPr>
                  <a:t>Nof Prserved days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130371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738</Words>
  <Characters>4211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Desalegn ADDMS</dc:creator>
  <cp:keywords/>
  <dc:description/>
  <cp:lastModifiedBy>Desalegn ADDMS </cp:lastModifiedBy>
  <cp:revision>1</cp:revision>
  <dcterms:created xsi:type="dcterms:W3CDTF">2021-03-22T17:34:00Z</dcterms:created>
  <dcterms:modified xsi:type="dcterms:W3CDTF">2021-03-22T18:00:00Z</dcterms:modified>
</cp:coreProperties>
</file>