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F18584" w14:textId="29666932" w:rsidR="00AE3E37" w:rsidRDefault="009C6A0E" w:rsidP="009C6A0E">
      <w:pPr>
        <w:pStyle w:val="Heading1"/>
        <w:spacing w:before="170"/>
        <w:ind w:left="0"/>
        <w:jc w:val="both"/>
      </w:pPr>
      <w:r w:rsidRPr="009C6A0E">
        <w:rPr>
          <w:color w:val="337AB7"/>
        </w:rPr>
        <w:t xml:space="preserve">Biotechnological </w:t>
      </w:r>
      <w:r>
        <w:rPr>
          <w:color w:val="337AB7"/>
        </w:rPr>
        <w:t>r</w:t>
      </w:r>
      <w:r w:rsidRPr="009C6A0E">
        <w:rPr>
          <w:color w:val="337AB7"/>
        </w:rPr>
        <w:t xml:space="preserve">e-cycling </w:t>
      </w:r>
      <w:r>
        <w:rPr>
          <w:color w:val="337AB7"/>
        </w:rPr>
        <w:t>o</w:t>
      </w:r>
      <w:r w:rsidRPr="009C6A0E">
        <w:rPr>
          <w:color w:val="337AB7"/>
        </w:rPr>
        <w:t xml:space="preserve">f </w:t>
      </w:r>
      <w:r>
        <w:rPr>
          <w:color w:val="337AB7"/>
        </w:rPr>
        <w:t>a</w:t>
      </w:r>
      <w:r w:rsidRPr="009C6A0E">
        <w:rPr>
          <w:color w:val="337AB7"/>
        </w:rPr>
        <w:t xml:space="preserve">pple by-products: A </w:t>
      </w:r>
      <w:r>
        <w:rPr>
          <w:color w:val="337AB7"/>
        </w:rPr>
        <w:t>r</w:t>
      </w:r>
      <w:r w:rsidRPr="009C6A0E">
        <w:rPr>
          <w:color w:val="337AB7"/>
        </w:rPr>
        <w:t xml:space="preserve">eservoir </w:t>
      </w:r>
      <w:r>
        <w:rPr>
          <w:color w:val="337AB7"/>
        </w:rPr>
        <w:t>m</w:t>
      </w:r>
      <w:r w:rsidRPr="009C6A0E">
        <w:rPr>
          <w:color w:val="337AB7"/>
        </w:rPr>
        <w:t xml:space="preserve">odel </w:t>
      </w:r>
      <w:r>
        <w:rPr>
          <w:color w:val="337AB7"/>
        </w:rPr>
        <w:t>t</w:t>
      </w:r>
      <w:r w:rsidRPr="009C6A0E">
        <w:rPr>
          <w:color w:val="337AB7"/>
        </w:rPr>
        <w:t xml:space="preserve">o </w:t>
      </w:r>
      <w:r>
        <w:rPr>
          <w:color w:val="337AB7"/>
        </w:rPr>
        <w:t>p</w:t>
      </w:r>
      <w:r w:rsidRPr="009C6A0E">
        <w:rPr>
          <w:color w:val="337AB7"/>
        </w:rPr>
        <w:t xml:space="preserve">roduce </w:t>
      </w:r>
      <w:r>
        <w:rPr>
          <w:color w:val="337AB7"/>
        </w:rPr>
        <w:t>a</w:t>
      </w:r>
      <w:r w:rsidRPr="009C6A0E">
        <w:rPr>
          <w:color w:val="337AB7"/>
        </w:rPr>
        <w:t xml:space="preserve"> </w:t>
      </w:r>
      <w:r>
        <w:rPr>
          <w:color w:val="337AB7"/>
        </w:rPr>
        <w:t>d</w:t>
      </w:r>
      <w:r w:rsidRPr="009C6A0E">
        <w:rPr>
          <w:color w:val="337AB7"/>
        </w:rPr>
        <w:t xml:space="preserve">ietary </w:t>
      </w:r>
      <w:r>
        <w:rPr>
          <w:color w:val="337AB7"/>
        </w:rPr>
        <w:t>s</w:t>
      </w:r>
      <w:r w:rsidRPr="009C6A0E">
        <w:rPr>
          <w:color w:val="337AB7"/>
        </w:rPr>
        <w:t xml:space="preserve">upplement </w:t>
      </w:r>
      <w:r>
        <w:rPr>
          <w:color w:val="337AB7"/>
        </w:rPr>
        <w:t>f</w:t>
      </w:r>
      <w:r w:rsidRPr="009C6A0E">
        <w:rPr>
          <w:color w:val="337AB7"/>
        </w:rPr>
        <w:t xml:space="preserve">ortified </w:t>
      </w:r>
      <w:r>
        <w:rPr>
          <w:color w:val="337AB7"/>
        </w:rPr>
        <w:t>w</w:t>
      </w:r>
      <w:r w:rsidRPr="009C6A0E">
        <w:rPr>
          <w:color w:val="337AB7"/>
        </w:rPr>
        <w:t xml:space="preserve">ith </w:t>
      </w:r>
      <w:r>
        <w:rPr>
          <w:color w:val="337AB7"/>
        </w:rPr>
        <w:t>b</w:t>
      </w:r>
      <w:r w:rsidRPr="009C6A0E">
        <w:rPr>
          <w:color w:val="337AB7"/>
        </w:rPr>
        <w:t xml:space="preserve">iogenic </w:t>
      </w:r>
      <w:r>
        <w:rPr>
          <w:color w:val="337AB7"/>
        </w:rPr>
        <w:t>p</w:t>
      </w:r>
      <w:r w:rsidRPr="009C6A0E">
        <w:rPr>
          <w:color w:val="337AB7"/>
        </w:rPr>
        <w:t xml:space="preserve">henolic </w:t>
      </w:r>
      <w:r>
        <w:rPr>
          <w:color w:val="337AB7"/>
        </w:rPr>
        <w:t>c</w:t>
      </w:r>
      <w:r w:rsidRPr="009C6A0E">
        <w:rPr>
          <w:color w:val="337AB7"/>
        </w:rPr>
        <w:t>ompounds</w:t>
      </w:r>
    </w:p>
    <w:p w14:paraId="2A9C1350" w14:textId="1DA8B716" w:rsidR="005973B9" w:rsidRDefault="009C6A0E" w:rsidP="005973B9">
      <w:pPr>
        <w:pStyle w:val="BodyText"/>
        <w:spacing w:before="73" w:line="198" w:lineRule="exact"/>
        <w:ind w:left="100" w:right="5987"/>
        <w:rPr>
          <w:rFonts w:ascii="Arial"/>
        </w:rPr>
      </w:pPr>
      <w:r>
        <w:rPr>
          <w:rFonts w:ascii="Arial"/>
        </w:rPr>
        <w:t>Ali Zein Alabiden Tlais</w:t>
      </w:r>
      <w:r w:rsidR="005973B9">
        <w:rPr>
          <w:rFonts w:ascii="Arial"/>
        </w:rPr>
        <w:t xml:space="preserve">, PhD, </w:t>
      </w:r>
      <w:r>
        <w:rPr>
          <w:rFonts w:ascii="Arial"/>
        </w:rPr>
        <w:t>Free University of Bolzano</w:t>
      </w:r>
      <w:r w:rsidR="005973B9">
        <w:rPr>
          <w:rFonts w:ascii="Arial"/>
        </w:rPr>
        <w:t xml:space="preserve">, </w:t>
      </w:r>
      <w:r>
        <w:rPr>
          <w:rFonts w:ascii="Arial"/>
        </w:rPr>
        <w:t>Italy</w:t>
      </w:r>
    </w:p>
    <w:p w14:paraId="409DAF5E" w14:textId="77777777" w:rsidR="00AE3E37" w:rsidRDefault="00AE3E37">
      <w:pPr>
        <w:pStyle w:val="BodyText"/>
        <w:rPr>
          <w:rFonts w:ascii="Arial"/>
          <w:sz w:val="20"/>
        </w:rPr>
      </w:pPr>
    </w:p>
    <w:p w14:paraId="7C5D71AD" w14:textId="77777777" w:rsidR="00AE3E37" w:rsidRDefault="00AE3E37">
      <w:pPr>
        <w:pStyle w:val="BodyText"/>
        <w:spacing w:before="3"/>
        <w:rPr>
          <w:rFonts w:ascii="Arial"/>
          <w:sz w:val="21"/>
        </w:rPr>
      </w:pPr>
    </w:p>
    <w:p w14:paraId="27DEF375"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2F2EA1DA" w14:textId="11548AA2" w:rsidR="00AE3E37" w:rsidRDefault="00A9710C">
      <w:pPr>
        <w:pStyle w:val="Heading3"/>
        <w:spacing w:before="147"/>
        <w:jc w:val="both"/>
      </w:pPr>
      <w:r>
        <w:rPr>
          <w:color w:val="BF5A14"/>
        </w:rPr>
        <w:t>Abstract</w:t>
      </w:r>
      <w:r w:rsidR="00404E5B">
        <w:rPr>
          <w:color w:val="BF5A14"/>
        </w:rPr>
        <w:t xml:space="preserve"> </w:t>
      </w:r>
    </w:p>
    <w:p w14:paraId="2B03F393" w14:textId="630E169E" w:rsidR="00AE3E37" w:rsidRDefault="00A9710C" w:rsidP="00E30F5D">
      <w:pPr>
        <w:pStyle w:val="BodyText"/>
        <w:spacing w:before="90" w:line="280" w:lineRule="auto"/>
        <w:ind w:left="100"/>
        <w:jc w:val="both"/>
      </w:pPr>
      <w:r>
        <w:t xml:space="preserve">Statement of the Problem: </w:t>
      </w:r>
      <w:r w:rsidR="009C6A0E" w:rsidRPr="009C6A0E">
        <w:t>Approximately 89 million tonnes of food were lost or wasted annually in the European Union, with associated costs estimated at €143 billi</w:t>
      </w:r>
      <w:r w:rsidR="009C6A0E">
        <w:t xml:space="preserve">on. </w:t>
      </w:r>
      <w:r w:rsidR="009C6A0E" w:rsidRPr="009C6A0E">
        <w:t>Apple pomace from apple (</w:t>
      </w:r>
      <w:r w:rsidR="009C6A0E" w:rsidRPr="009C6A0E">
        <w:rPr>
          <w:i/>
          <w:iCs/>
        </w:rPr>
        <w:t>Malus domestica</w:t>
      </w:r>
      <w:r w:rsidR="009C6A0E" w:rsidRPr="009C6A0E">
        <w:t xml:space="preserve"> sp.) processing represents a by-product model given the ubiquitous presence of the fruit in the diet of all cultures and the high annual harvest</w:t>
      </w:r>
      <w:r w:rsidR="009C6A0E">
        <w:t>.</w:t>
      </w:r>
      <w:r>
        <w:t xml:space="preserve"> Methodolog</w:t>
      </w:r>
      <w:r w:rsidR="008756E6">
        <w:t xml:space="preserve">y &amp; Theoretical Orientation: </w:t>
      </w:r>
      <w:r w:rsidR="009C6A0E" w:rsidRPr="009C6A0E">
        <w:t xml:space="preserve">This study is an example of apple by-products (AP) recycling through a well-designed fermentation with selected </w:t>
      </w:r>
      <w:r w:rsidR="009C6A0E" w:rsidRPr="009C6A0E">
        <w:rPr>
          <w:i/>
          <w:iCs/>
        </w:rPr>
        <w:t>Lactobacillus plantarum</w:t>
      </w:r>
      <w:r w:rsidR="009C6A0E" w:rsidRPr="009C6A0E">
        <w:t xml:space="preserve"> AFI5 and </w:t>
      </w:r>
      <w:r w:rsidR="009C6A0E" w:rsidRPr="009C6A0E">
        <w:rPr>
          <w:i/>
          <w:iCs/>
        </w:rPr>
        <w:t>Lactobacillus fabifermentans</w:t>
      </w:r>
      <w:r w:rsidR="009C6A0E" w:rsidRPr="009C6A0E">
        <w:t xml:space="preserve"> ALI6 used singly or as binary starters with the selected </w:t>
      </w:r>
      <w:r w:rsidR="009C6A0E" w:rsidRPr="00E30F5D">
        <w:rPr>
          <w:i/>
          <w:iCs/>
        </w:rPr>
        <w:t>S</w:t>
      </w:r>
      <w:r w:rsidR="00E30F5D" w:rsidRPr="00E30F5D">
        <w:rPr>
          <w:i/>
          <w:iCs/>
        </w:rPr>
        <w:t>accharomyces</w:t>
      </w:r>
      <w:r w:rsidR="009C6A0E" w:rsidRPr="00E30F5D">
        <w:rPr>
          <w:i/>
          <w:iCs/>
        </w:rPr>
        <w:t xml:space="preserve"> cerevisiae</w:t>
      </w:r>
      <w:r w:rsidR="009C6A0E" w:rsidRPr="009C6A0E">
        <w:t xml:space="preserve"> AYI7 with the perspective of</w:t>
      </w:r>
      <w:r w:rsidR="00F40EC8" w:rsidRPr="00F40EC8">
        <w:t xml:space="preserve"> </w:t>
      </w:r>
      <w:r w:rsidR="00F40EC8" w:rsidRPr="00F40EC8">
        <w:t>producing dietary supplements or pharmaceutical preparations</w:t>
      </w:r>
      <w:r w:rsidR="00F40EC8">
        <w:t>.</w:t>
      </w:r>
      <w:r w:rsidR="009C6A0E" w:rsidRPr="009C6A0E">
        <w:t xml:space="preserve"> </w:t>
      </w:r>
      <w:r w:rsidR="00F40EC8">
        <w:t xml:space="preserve">Findings: </w:t>
      </w:r>
      <w:r w:rsidR="00E30F5D" w:rsidRPr="00E30F5D">
        <w:t>Compared to Raw-, Unstarted- and Chemically Acidified-AP, Fermented-AP promoted the highest levels of total and insoluble dietary fibers, antioxidant activity, and free phenolics. The binary culture of L. plantarum AFI5 and S. cerevisiae AYI7 had the best effect on the bioavailability phenolic compounds as resulted by the LC-MS/MS validated method. The accumulation of phenolic acids derivatives highlighted the microbial metabolism during AP fermentation. Bio-converted phenolic compounds were likely responsible for the increased antioxidant activity. The potential health-promoting effects of Fermented-AP were highlighted using Caco-2 cells. With variations among single and binary cultures, fermented-AP counteracted the inflammatory processes and the effects of oxidative stress in Caco-2 cells, and preserved the integrity of tight junctions.</w:t>
      </w:r>
      <w:r>
        <w:t xml:space="preserve"> Conclusion &amp; Significance: </w:t>
      </w:r>
      <w:r w:rsidR="00E30F5D">
        <w:t>We proposed an alternative and suitable model for food by-products recycling to manufacture a dietary supplement fortified with biogenic compounds. Highlighting the microbial metabolism of several phenolic compounds, we created undoubted additional value to such downstream wastes.</w:t>
      </w:r>
    </w:p>
    <w:p w14:paraId="51A41DE7" w14:textId="77777777" w:rsidR="00AE3E37" w:rsidRDefault="00A9710C">
      <w:pPr>
        <w:pStyle w:val="Heading3"/>
        <w:spacing w:before="74"/>
      </w:pPr>
      <w:r>
        <w:rPr>
          <w:b w:val="0"/>
        </w:rPr>
        <w:br w:type="column"/>
      </w:r>
      <w:r>
        <w:rPr>
          <w:color w:val="BF5A14"/>
        </w:rPr>
        <w:t>Image</w:t>
      </w:r>
    </w:p>
    <w:p w14:paraId="201BF60B" w14:textId="0624388F" w:rsidR="00AE3E37" w:rsidRDefault="007B6372">
      <w:pPr>
        <w:pStyle w:val="BodyText"/>
        <w:spacing w:before="2"/>
        <w:rPr>
          <w:rFonts w:ascii="Arial"/>
          <w:b/>
          <w:sz w:val="16"/>
        </w:rPr>
      </w:pPr>
      <w:r>
        <w:rPr>
          <w:noProof/>
        </w:rPr>
        <w:drawing>
          <wp:inline distT="0" distB="0" distL="0" distR="0" wp14:anchorId="6C980654" wp14:editId="195C548C">
            <wp:extent cx="3165475" cy="128016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65475" cy="1280160"/>
                    </a:xfrm>
                    <a:prstGeom prst="rect">
                      <a:avLst/>
                    </a:prstGeom>
                  </pic:spPr>
                </pic:pic>
              </a:graphicData>
            </a:graphic>
          </wp:inline>
        </w:drawing>
      </w:r>
    </w:p>
    <w:p w14:paraId="6BBAD6A4" w14:textId="41C0BFBC" w:rsidR="005973B9" w:rsidRDefault="005973B9" w:rsidP="005973B9">
      <w:pPr>
        <w:spacing w:line="204" w:lineRule="exact"/>
        <w:rPr>
          <w:rFonts w:ascii="Arial"/>
          <w:b/>
          <w:sz w:val="20"/>
        </w:rPr>
      </w:pPr>
      <w:r>
        <w:rPr>
          <w:rFonts w:ascii="Arial"/>
          <w:b/>
          <w:color w:val="BF5A14"/>
          <w:sz w:val="20"/>
        </w:rPr>
        <w:br/>
        <w:t>Recent Publications</w:t>
      </w:r>
    </w:p>
    <w:p w14:paraId="39D78146" w14:textId="197BEB24" w:rsidR="000F0081" w:rsidRDefault="000F0081" w:rsidP="005973B9">
      <w:pPr>
        <w:pStyle w:val="ListParagraph"/>
        <w:numPr>
          <w:ilvl w:val="0"/>
          <w:numId w:val="3"/>
        </w:numPr>
        <w:tabs>
          <w:tab w:val="left" w:pos="384"/>
        </w:tabs>
        <w:spacing w:line="216" w:lineRule="exact"/>
        <w:ind w:right="137" w:hanging="283"/>
        <w:rPr>
          <w:sz w:val="18"/>
        </w:rPr>
      </w:pPr>
      <w:r w:rsidRPr="000F0081">
        <w:rPr>
          <w:sz w:val="18"/>
          <w:lang w:val="it-IT"/>
        </w:rPr>
        <w:t xml:space="preserve">Filannino, P., Di Cagno, R., </w:t>
      </w:r>
      <w:r w:rsidRPr="000F0081">
        <w:rPr>
          <w:b/>
          <w:bCs/>
          <w:i/>
          <w:iCs/>
          <w:sz w:val="18"/>
          <w:lang w:val="it-IT"/>
        </w:rPr>
        <w:t>Tlais, A. Z. A.,</w:t>
      </w:r>
      <w:r w:rsidRPr="000F0081">
        <w:rPr>
          <w:sz w:val="18"/>
          <w:lang w:val="it-IT"/>
        </w:rPr>
        <w:t xml:space="preserve"> Cantatore, V., &amp; Gobbetti, M. (2019). </w:t>
      </w:r>
      <w:r w:rsidRPr="000F0081">
        <w:rPr>
          <w:sz w:val="18"/>
        </w:rPr>
        <w:t>Fructose-rich niches traced the evolution of lactic acid bacteria toward fructophilic species. Critical reviews in microbiology, 45(1), 65-81.</w:t>
      </w:r>
    </w:p>
    <w:p w14:paraId="176D5211" w14:textId="57F223E0" w:rsidR="000F0081" w:rsidRDefault="000F0081" w:rsidP="005973B9">
      <w:pPr>
        <w:pStyle w:val="ListParagraph"/>
        <w:numPr>
          <w:ilvl w:val="0"/>
          <w:numId w:val="3"/>
        </w:numPr>
        <w:tabs>
          <w:tab w:val="left" w:pos="384"/>
        </w:tabs>
        <w:spacing w:line="216" w:lineRule="exact"/>
        <w:ind w:right="138" w:hanging="283"/>
        <w:rPr>
          <w:sz w:val="18"/>
        </w:rPr>
      </w:pPr>
      <w:r w:rsidRPr="000F0081">
        <w:rPr>
          <w:sz w:val="18"/>
          <w:lang w:val="it-IT"/>
        </w:rPr>
        <w:t xml:space="preserve">Filannino, P., </w:t>
      </w:r>
      <w:r w:rsidRPr="000F0081">
        <w:rPr>
          <w:b/>
          <w:bCs/>
          <w:i/>
          <w:iCs/>
          <w:sz w:val="18"/>
          <w:lang w:val="it-IT"/>
        </w:rPr>
        <w:t>Tlais, A. Z. A,</w:t>
      </w:r>
      <w:r w:rsidRPr="000F0081">
        <w:rPr>
          <w:sz w:val="18"/>
          <w:lang w:val="it-IT"/>
        </w:rPr>
        <w:t xml:space="preserve"> Morozova, K., Cavoski, I., Scampicchio, M., Gobbetti, M., &amp; Di Cagno, R. (2020). </w:t>
      </w:r>
      <w:r w:rsidRPr="000F0081">
        <w:rPr>
          <w:sz w:val="18"/>
        </w:rPr>
        <w:t>Lactic acid fermentation enriches the profile of biogenic fatty acid derivatives of Avocado fruit (Persea americana Mill.). Food Chemistry, 317, 126384</w:t>
      </w:r>
      <w:r>
        <w:rPr>
          <w:sz w:val="18"/>
        </w:rPr>
        <w:t>.</w:t>
      </w:r>
    </w:p>
    <w:p w14:paraId="7D45EE85" w14:textId="55EE6DE6" w:rsidR="00AE3E37" w:rsidRPr="000F0081" w:rsidRDefault="002D4D82" w:rsidP="000F0081">
      <w:pPr>
        <w:pStyle w:val="ListParagraph"/>
        <w:numPr>
          <w:ilvl w:val="0"/>
          <w:numId w:val="3"/>
        </w:numPr>
        <w:tabs>
          <w:tab w:val="left" w:pos="384"/>
        </w:tabs>
        <w:spacing w:line="216" w:lineRule="exact"/>
        <w:ind w:right="138" w:hanging="283"/>
        <w:rPr>
          <w:sz w:val="18"/>
        </w:rPr>
      </w:pPr>
      <w:bookmarkStart w:id="0" w:name="_Hlk44673880"/>
      <w:r w:rsidRPr="002D4D82">
        <w:rPr>
          <w:b/>
          <w:bCs/>
          <w:i/>
          <w:iCs/>
          <w:sz w:val="18"/>
        </w:rPr>
        <w:t>Tlais A.</w:t>
      </w:r>
      <w:r w:rsidR="00F010A1">
        <w:rPr>
          <w:b/>
          <w:bCs/>
          <w:i/>
          <w:iCs/>
          <w:sz w:val="18"/>
        </w:rPr>
        <w:t xml:space="preserve"> </w:t>
      </w:r>
      <w:r w:rsidRPr="002D4D82">
        <w:rPr>
          <w:b/>
          <w:bCs/>
          <w:i/>
          <w:iCs/>
          <w:sz w:val="18"/>
        </w:rPr>
        <w:t>Z.</w:t>
      </w:r>
      <w:r w:rsidR="00F010A1">
        <w:rPr>
          <w:b/>
          <w:bCs/>
          <w:i/>
          <w:iCs/>
          <w:sz w:val="18"/>
        </w:rPr>
        <w:t xml:space="preserve"> </w:t>
      </w:r>
      <w:r w:rsidRPr="002D4D82">
        <w:rPr>
          <w:b/>
          <w:bCs/>
          <w:i/>
          <w:iCs/>
          <w:sz w:val="18"/>
        </w:rPr>
        <w:t>A</w:t>
      </w:r>
      <w:r w:rsidRPr="002D4D82">
        <w:rPr>
          <w:sz w:val="18"/>
        </w:rPr>
        <w:t>, Fiorino G.M., Polo A., Filannino P., Di Cagni R.</w:t>
      </w:r>
      <w:r w:rsidR="005973B9" w:rsidRPr="002D4D82">
        <w:rPr>
          <w:sz w:val="18"/>
        </w:rPr>
        <w:t xml:space="preserve"> </w:t>
      </w:r>
      <w:r w:rsidR="005973B9">
        <w:rPr>
          <w:sz w:val="18"/>
        </w:rPr>
        <w:t>(20</w:t>
      </w:r>
      <w:r>
        <w:rPr>
          <w:sz w:val="18"/>
        </w:rPr>
        <w:t>20</w:t>
      </w:r>
      <w:r w:rsidR="005973B9">
        <w:rPr>
          <w:sz w:val="18"/>
        </w:rPr>
        <w:t>)</w:t>
      </w:r>
      <w:r w:rsidRPr="002D4D82">
        <w:t xml:space="preserve"> </w:t>
      </w:r>
      <w:r w:rsidRPr="002D4D82">
        <w:rPr>
          <w:sz w:val="18"/>
        </w:rPr>
        <w:t>High-Value Compounds in Fruit, Vegetable and Cereal Byproducts: An Overview of Potential Sustainable Reuse and Exploitation</w:t>
      </w:r>
      <w:r w:rsidR="005973B9">
        <w:rPr>
          <w:sz w:val="18"/>
        </w:rPr>
        <w:t xml:space="preserve">. </w:t>
      </w:r>
      <w:r>
        <w:rPr>
          <w:sz w:val="18"/>
        </w:rPr>
        <w:t>Molecule,</w:t>
      </w:r>
      <w:r w:rsidR="005973B9">
        <w:rPr>
          <w:sz w:val="18"/>
        </w:rPr>
        <w:t xml:space="preserve"> 2</w:t>
      </w:r>
      <w:r>
        <w:rPr>
          <w:sz w:val="18"/>
        </w:rPr>
        <w:t>5, 2987</w:t>
      </w:r>
      <w:bookmarkEnd w:id="0"/>
      <w:r w:rsidR="005973B9">
        <w:rPr>
          <w:sz w:val="18"/>
        </w:rPr>
        <w:t>.</w:t>
      </w:r>
    </w:p>
    <w:p w14:paraId="7EDC6EA1"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98D22AD" w14:textId="77777777" w:rsidR="00AE3E37" w:rsidRDefault="00AE3E37">
      <w:pPr>
        <w:pStyle w:val="BodyText"/>
        <w:rPr>
          <w:rFonts w:ascii="Calibri"/>
          <w:sz w:val="20"/>
        </w:rPr>
      </w:pPr>
    </w:p>
    <w:p w14:paraId="6678415A"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0443522" wp14:editId="53B715B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49F6EA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E70193A" w14:textId="4EE0FBFA" w:rsidR="00AE3E37" w:rsidRDefault="008756E6" w:rsidP="00404E5B">
      <w:pPr>
        <w:spacing w:before="92"/>
        <w:ind w:right="4234"/>
        <w:rPr>
          <w:rFonts w:ascii="Arial"/>
        </w:rPr>
      </w:pPr>
      <w:r>
        <w:rPr>
          <w:noProof/>
        </w:rPr>
        <w:t xml:space="preserve">              </w:t>
      </w:r>
      <w:r w:rsidR="006A425C">
        <w:rPr>
          <w:noProof/>
        </w:rPr>
        <w:drawing>
          <wp:inline distT="0" distB="0" distL="0" distR="0" wp14:anchorId="282F74CC" wp14:editId="3FA07AD2">
            <wp:extent cx="628650" cy="628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inline>
        </w:drawing>
      </w:r>
      <w:bookmarkStart w:id="1" w:name="_GoBack"/>
      <w:bookmarkEnd w:id="1"/>
      <w:r w:rsidR="00A9710C">
        <w:rPr>
          <w:rFonts w:ascii="Arial"/>
          <w:color w:val="BF5A14"/>
        </w:rPr>
        <w:t>Biography</w:t>
      </w:r>
    </w:p>
    <w:p w14:paraId="7F17F771" w14:textId="79EB4300" w:rsidR="00AE3E37" w:rsidRDefault="00F9136C" w:rsidP="00F9136C">
      <w:pPr>
        <w:spacing w:before="41" w:line="154" w:lineRule="exact"/>
        <w:ind w:left="213" w:right="231"/>
        <w:jc w:val="both"/>
        <w:rPr>
          <w:rFonts w:ascii="Arial"/>
          <w:sz w:val="14"/>
        </w:rPr>
      </w:pPr>
      <w:r w:rsidRPr="00F9136C">
        <w:rPr>
          <w:rFonts w:ascii="Arial"/>
          <w:sz w:val="14"/>
        </w:rPr>
        <w:t>Ali Zein Alabiden Tlais is PhD student at the Faculty of Science and Technology of the Free University of Bozen-Bolzano (UNIBZ) since 2017. The PhD is dedicated to the study of bioactive compounds metabolism during fermentation of fruits and vegetables. His main research activities, conducted over the last 3 years, are focused on culture dependent approach (isolation, DNA extraction and identification of yeast and lactic acid bacteria), culture independent approach (shotgun analysis), exploitation of microorganisms during fermentation and  bioactive compounds quantification and characterization (polyphenols, fattyacids, proteins, dietary fibers and exopolysaccharides).</w:t>
      </w:r>
      <w:r w:rsidR="00A9710C">
        <w:rPr>
          <w:rFonts w:ascii="Arial"/>
          <w:sz w:val="14"/>
        </w:rPr>
        <w:t>Email:</w:t>
      </w:r>
      <w:r w:rsidR="00F010A1">
        <w:rPr>
          <w:rFonts w:ascii="Arial"/>
          <w:sz w:val="14"/>
        </w:rPr>
        <w:t>atlais@unibz.it</w:t>
      </w:r>
    </w:p>
    <w:p w14:paraId="557C9B44"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8234B0B" wp14:editId="4D029BB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99FD1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285D6B3A" w14:textId="77777777" w:rsidR="00AE3E37" w:rsidRDefault="00AE3E37">
      <w:pPr>
        <w:pStyle w:val="BodyText"/>
        <w:rPr>
          <w:rFonts w:ascii="Arial"/>
          <w:sz w:val="20"/>
        </w:rPr>
      </w:pPr>
    </w:p>
    <w:p w14:paraId="22E75CA6" w14:textId="77777777" w:rsidR="00AE3E37" w:rsidRDefault="00AE3E37">
      <w:pPr>
        <w:pStyle w:val="BodyText"/>
        <w:rPr>
          <w:rFonts w:ascii="Arial"/>
          <w:sz w:val="20"/>
        </w:rPr>
      </w:pPr>
    </w:p>
    <w:p w14:paraId="20DA1836" w14:textId="77777777" w:rsidR="00AE3E37" w:rsidRDefault="00AE3E37">
      <w:pPr>
        <w:pStyle w:val="BodyText"/>
        <w:spacing w:before="7"/>
        <w:rPr>
          <w:rFonts w:ascii="Arial"/>
          <w:sz w:val="29"/>
        </w:rPr>
      </w:pPr>
    </w:p>
    <w:p w14:paraId="69DF832A" w14:textId="1D2A306F" w:rsidR="00AE3E37" w:rsidRPr="00B21A57" w:rsidRDefault="00AE3E37">
      <w:pPr>
        <w:spacing w:before="39"/>
        <w:ind w:left="100"/>
        <w:rPr>
          <w:rFonts w:ascii="Minion Pro"/>
          <w:b/>
          <w:sz w:val="20"/>
        </w:rPr>
      </w:pPr>
    </w:p>
    <w:p w14:paraId="3EB7E143"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F499C9C"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80FD51" w14:textId="77777777" w:rsidR="00650CDA" w:rsidRDefault="00650CDA">
      <w:r>
        <w:separator/>
      </w:r>
    </w:p>
  </w:endnote>
  <w:endnote w:type="continuationSeparator" w:id="0">
    <w:p w14:paraId="61C912E7" w14:textId="77777777" w:rsidR="00650CDA" w:rsidRDefault="00650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FDB07A"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0494813" wp14:editId="365EBB3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91BCE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809840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494813"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6E91BCE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809840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B405324" wp14:editId="1DC26E1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C6BD8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60F09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405324"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2AC6BD8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60F09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7060BF2" wp14:editId="4E05277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BB20E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9EA156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060BF2"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24BB20E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9EA156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7DE23D" w14:textId="77777777" w:rsidR="00650CDA" w:rsidRDefault="00650CDA">
      <w:r>
        <w:separator/>
      </w:r>
    </w:p>
  </w:footnote>
  <w:footnote w:type="continuationSeparator" w:id="0">
    <w:p w14:paraId="43156DAE" w14:textId="77777777" w:rsidR="00650CDA" w:rsidRDefault="00650C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C8F834"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8857311" wp14:editId="429C255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C7F74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857311"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36C7F74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B529150" wp14:editId="299DA82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71605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58ABD0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529150"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7171605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58ABD0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0F0081"/>
    <w:rsid w:val="001263DF"/>
    <w:rsid w:val="002455EC"/>
    <w:rsid w:val="00292ED9"/>
    <w:rsid w:val="002D4D82"/>
    <w:rsid w:val="00404E5B"/>
    <w:rsid w:val="00414F7B"/>
    <w:rsid w:val="004355DC"/>
    <w:rsid w:val="004749B4"/>
    <w:rsid w:val="00494130"/>
    <w:rsid w:val="004F3523"/>
    <w:rsid w:val="005973B9"/>
    <w:rsid w:val="005B3A56"/>
    <w:rsid w:val="006060CE"/>
    <w:rsid w:val="0063497F"/>
    <w:rsid w:val="00650CDA"/>
    <w:rsid w:val="006A425C"/>
    <w:rsid w:val="007144A9"/>
    <w:rsid w:val="007B6372"/>
    <w:rsid w:val="00873DF0"/>
    <w:rsid w:val="008756E6"/>
    <w:rsid w:val="008A08B6"/>
    <w:rsid w:val="009B2D44"/>
    <w:rsid w:val="009C6A0E"/>
    <w:rsid w:val="00A07E82"/>
    <w:rsid w:val="00A9710C"/>
    <w:rsid w:val="00AE3E37"/>
    <w:rsid w:val="00B21A57"/>
    <w:rsid w:val="00C33602"/>
    <w:rsid w:val="00CC058B"/>
    <w:rsid w:val="00CD6F55"/>
    <w:rsid w:val="00DE3104"/>
    <w:rsid w:val="00E26B10"/>
    <w:rsid w:val="00E30F5D"/>
    <w:rsid w:val="00F010A1"/>
    <w:rsid w:val="00F40EC8"/>
    <w:rsid w:val="00F72EEA"/>
    <w:rsid w:val="00F84CAE"/>
    <w:rsid w:val="00F9136C"/>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C6ADA4"/>
  <w15:docId w15:val="{C46FCE0B-D568-4FBD-B14B-3300A81EF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0F00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095568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538</Words>
  <Characters>3070</Characters>
  <Application>Microsoft Office Word</Application>
  <DocSecurity>0</DocSecurity>
  <Lines>25</Lines>
  <Paragraphs>7</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Biotechnological re-cycling of apple by-products: A reservoir model to produce a</vt:lpstr>
      <vt:lpstr>        Abstract (300 word limit)</vt:lpstr>
      <vt:lpstr>        Image</vt:lpstr>
    </vt:vector>
  </TitlesOfParts>
  <Company>Microsoft</Company>
  <LinksUpToDate>false</LinksUpToDate>
  <CharactersWithSpaces>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Tlais Ali Zein Alabiden (Student NaTec17)</cp:lastModifiedBy>
  <cp:revision>7</cp:revision>
  <dcterms:created xsi:type="dcterms:W3CDTF">2016-12-06T11:19:00Z</dcterms:created>
  <dcterms:modified xsi:type="dcterms:W3CDTF">2020-07-03T14:37:00Z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