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6215A" w:rsidP="00D6215A">
      <w:pPr>
        <w:pStyle w:val="Heading1"/>
        <w:spacing w:before="170"/>
        <w:ind w:left="0"/>
      </w:pPr>
      <w:r>
        <w:rPr>
          <w:color w:val="337AB7"/>
        </w:rPr>
        <w:t xml:space="preserve">Recent applications of microbial transglutaminase in food processing </w:t>
      </w:r>
    </w:p>
    <w:p w:rsidR="005973B9" w:rsidRDefault="00B33193" w:rsidP="00B33193">
      <w:pPr>
        <w:pStyle w:val="BodyText"/>
        <w:spacing w:before="73" w:line="198" w:lineRule="exact"/>
        <w:ind w:left="100" w:right="5987"/>
        <w:rPr>
          <w:rFonts w:ascii="Arial"/>
        </w:rPr>
      </w:pPr>
      <w:r>
        <w:rPr>
          <w:rFonts w:ascii="Arial"/>
        </w:rPr>
        <w:t>Heba S. Mostafa</w:t>
      </w:r>
      <w:r w:rsidR="005973B9">
        <w:rPr>
          <w:rFonts w:ascii="Arial"/>
        </w:rPr>
        <w:t xml:space="preserve">, PhD, </w:t>
      </w:r>
      <w:r>
        <w:rPr>
          <w:rFonts w:ascii="Arial"/>
        </w:rPr>
        <w:t>Faculty of Agriculture</w:t>
      </w:r>
      <w:r w:rsidR="005973B9">
        <w:rPr>
          <w:rFonts w:ascii="Arial"/>
        </w:rPr>
        <w:t xml:space="preserve">, </w:t>
      </w:r>
      <w:r>
        <w:rPr>
          <w:rFonts w:ascii="Arial"/>
        </w:rPr>
        <w:t xml:space="preserve">Cairo University, Egypt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33193" w:rsidRPr="00B33193" w:rsidRDefault="00B33193" w:rsidP="00B33193">
      <w:pPr>
        <w:pStyle w:val="BodyText"/>
        <w:spacing w:before="90" w:line="281" w:lineRule="auto"/>
        <w:ind w:left="102"/>
        <w:jc w:val="both"/>
      </w:pPr>
      <w:r w:rsidRPr="00B33193">
        <w:t>The glue of proteins (transglutaminase, TGase) has been extensively used in the food processing industries due to its broad enzymatic activity. It is almost produced by microorganisms to decrease the cost of manufacturing animal origin transglutaminase. The net % increase of enzymes applications in the processed food industries is estimated to 21.9% per year, MTG being a major one. In fact, the microbial transglutaminase (MTG) is consumed by most of the food industries, spanning the meat, dairy, sea food and fish, plant proteins and many more. It used to improve gelation and change foaming, emulsification, viscosity, consistence and water-holding capacity. This paper presents an overview of the literature that described and investigates the sources, characteristics and recent applications of microbial transglutaminase.</w:t>
      </w:r>
    </w:p>
    <w:p w:rsidR="00AE3E37" w:rsidRDefault="00A9710C">
      <w:pPr>
        <w:pStyle w:val="Heading3"/>
        <w:spacing w:before="74"/>
      </w:pPr>
      <w:r>
        <w:rPr>
          <w:b w:val="0"/>
        </w:rPr>
        <w:br w:type="column"/>
      </w:r>
      <w:r>
        <w:rPr>
          <w:color w:val="BF5A14"/>
        </w:rPr>
        <w:lastRenderedPageBreak/>
        <w:t>Image</w:t>
      </w:r>
    </w:p>
    <w:p w:rsidR="00542004" w:rsidRDefault="005C1AE5">
      <w:pPr>
        <w:pStyle w:val="Heading3"/>
        <w:spacing w:before="74"/>
      </w:pPr>
      <w:r>
        <w:rPr>
          <w:noProof/>
        </w:rPr>
        <w:drawing>
          <wp:inline distT="0" distB="0" distL="0" distR="0">
            <wp:extent cx="3163062" cy="1341040"/>
            <wp:effectExtent l="1905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b="18884"/>
                    <a:stretch>
                      <a:fillRect/>
                    </a:stretch>
                  </pic:blipFill>
                  <pic:spPr bwMode="auto">
                    <a:xfrm>
                      <a:off x="0" y="0"/>
                      <a:ext cx="3163062" cy="1341040"/>
                    </a:xfrm>
                    <a:prstGeom prst="rect">
                      <a:avLst/>
                    </a:prstGeom>
                    <a:noFill/>
                    <a:ln w="9525">
                      <a:noFill/>
                      <a:miter lim="800000"/>
                      <a:headEnd/>
                      <a:tailEnd/>
                    </a:ln>
                  </pic:spPr>
                </pic:pic>
              </a:graphicData>
            </a:graphic>
          </wp:inline>
        </w:drawing>
      </w:r>
    </w:p>
    <w:p w:rsidR="00542004" w:rsidRPr="00542004" w:rsidRDefault="00542004" w:rsidP="00542004">
      <w:pPr>
        <w:pStyle w:val="Heading3"/>
        <w:spacing w:before="74"/>
        <w:ind w:left="142"/>
        <w:rPr>
          <w:rFonts w:ascii="Times New Roman" w:hAnsi="Times New Roman" w:cs="Times New Roman"/>
          <w:sz w:val="16"/>
          <w:szCs w:val="16"/>
        </w:rPr>
      </w:pPr>
      <w:r>
        <w:rPr>
          <w:rFonts w:ascii="Times New Roman" w:hAnsi="Times New Roman" w:cs="Times New Roman"/>
          <w:sz w:val="16"/>
          <w:szCs w:val="16"/>
        </w:rPr>
        <w:t xml:space="preserve">   </w:t>
      </w:r>
      <w:r w:rsidRPr="00542004">
        <w:rPr>
          <w:rFonts w:ascii="Times New Roman" w:hAnsi="Times New Roman" w:cs="Times New Roman"/>
          <w:sz w:val="16"/>
          <w:szCs w:val="16"/>
        </w:rPr>
        <w:t>Figure 1: Reaction catalyzed by transglutaminase</w:t>
      </w:r>
      <w:r w:rsidR="005C1AE5">
        <w:rPr>
          <w:rFonts w:ascii="Times New Roman" w:hAnsi="Times New Roman" w:cs="Times New Roman"/>
          <w:sz w:val="16"/>
          <w:szCs w:val="16"/>
        </w:rPr>
        <w:t>.</w:t>
      </w:r>
    </w:p>
    <w:p w:rsidR="00542004" w:rsidRPr="00542004" w:rsidRDefault="00542004" w:rsidP="005C1AE5">
      <w:pPr>
        <w:pStyle w:val="Heading3"/>
        <w:numPr>
          <w:ilvl w:val="0"/>
          <w:numId w:val="5"/>
        </w:numPr>
        <w:tabs>
          <w:tab w:val="right" w:pos="567"/>
        </w:tabs>
        <w:spacing w:before="74"/>
        <w:ind w:left="284" w:firstLine="0"/>
        <w:rPr>
          <w:rFonts w:ascii="Times New Roman" w:hAnsi="Times New Roman" w:cs="Times New Roman"/>
          <w:sz w:val="16"/>
          <w:szCs w:val="16"/>
        </w:rPr>
      </w:pPr>
      <w:r w:rsidRPr="00542004">
        <w:rPr>
          <w:rFonts w:ascii="Times New Roman" w:hAnsi="Times New Roman" w:cs="Times New Roman"/>
          <w:sz w:val="16"/>
          <w:szCs w:val="16"/>
        </w:rPr>
        <w:t>Acyl transferas. (B) Cross-linking reaction. (C) Deamidation</w:t>
      </w:r>
      <w:r w:rsidR="005C1AE5">
        <w:rPr>
          <w:rFonts w:ascii="Times New Roman" w:hAnsi="Times New Roman" w:cs="Times New Roman"/>
          <w:sz w:val="16"/>
          <w:szCs w:val="16"/>
        </w:rPr>
        <w:t>.</w:t>
      </w:r>
    </w:p>
    <w:p w:rsidR="00542004" w:rsidRDefault="00542004">
      <w:pPr>
        <w:pStyle w:val="Heading3"/>
        <w:spacing w:before="74"/>
      </w:pPr>
    </w:p>
    <w:p w:rsidR="00542004" w:rsidRDefault="00542004">
      <w:pPr>
        <w:pStyle w:val="Heading3"/>
        <w:spacing w:before="74"/>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A50046" w:rsidRDefault="00A50046" w:rsidP="00A50046">
      <w:pPr>
        <w:pStyle w:val="ListParagraph"/>
        <w:numPr>
          <w:ilvl w:val="0"/>
          <w:numId w:val="3"/>
        </w:numPr>
        <w:tabs>
          <w:tab w:val="left" w:pos="384"/>
        </w:tabs>
        <w:spacing w:before="103" w:line="216" w:lineRule="exact"/>
        <w:ind w:right="138" w:hanging="283"/>
        <w:rPr>
          <w:sz w:val="18"/>
          <w:szCs w:val="18"/>
        </w:rPr>
      </w:pPr>
      <w:r>
        <w:rPr>
          <w:sz w:val="18"/>
        </w:rPr>
        <w:t>Mohsen S, El</w:t>
      </w:r>
      <w:r w:rsidR="00970812">
        <w:rPr>
          <w:sz w:val="18"/>
        </w:rPr>
        <w:t>-</w:t>
      </w:r>
      <w:r>
        <w:rPr>
          <w:sz w:val="18"/>
        </w:rPr>
        <w:t>Shimi N, Abdallah N, Mosatafa H</w:t>
      </w:r>
      <w:r w:rsidR="005973B9">
        <w:rPr>
          <w:sz w:val="18"/>
        </w:rPr>
        <w:t xml:space="preserve"> (2009) </w:t>
      </w:r>
      <w:r w:rsidRPr="00A50046">
        <w:rPr>
          <w:sz w:val="18"/>
          <w:szCs w:val="18"/>
          <w:lang w:bidi="ar-EG"/>
        </w:rPr>
        <w:t>Selection of high quality baker's yeast mutant for bread-making</w:t>
      </w:r>
      <w:r w:rsidR="004832D0">
        <w:rPr>
          <w:sz w:val="18"/>
          <w:szCs w:val="18"/>
          <w:lang w:bidi="ar-EG"/>
        </w:rPr>
        <w:t>.</w:t>
      </w:r>
      <w:r w:rsidRPr="00A50046">
        <w:rPr>
          <w:sz w:val="18"/>
          <w:szCs w:val="18"/>
          <w:lang w:bidi="ar-EG"/>
        </w:rPr>
        <w:t xml:space="preserve"> </w:t>
      </w:r>
      <w:r>
        <w:rPr>
          <w:sz w:val="18"/>
          <w:szCs w:val="18"/>
          <w:lang w:bidi="ar-EG"/>
        </w:rPr>
        <w:t xml:space="preserve">Egyptian Journal of </w:t>
      </w:r>
      <w:r w:rsidRPr="00A50046">
        <w:rPr>
          <w:sz w:val="18"/>
          <w:szCs w:val="18"/>
          <w:lang w:bidi="ar-EG"/>
        </w:rPr>
        <w:t>Biote</w:t>
      </w:r>
      <w:r>
        <w:rPr>
          <w:sz w:val="18"/>
          <w:szCs w:val="18"/>
          <w:lang w:bidi="ar-EG"/>
        </w:rPr>
        <w:t>chnology 31</w:t>
      </w:r>
      <w:r w:rsidR="00970812">
        <w:rPr>
          <w:sz w:val="18"/>
          <w:szCs w:val="18"/>
          <w:lang w:bidi="ar-EG"/>
        </w:rPr>
        <w:t>:</w:t>
      </w:r>
      <w:r w:rsidRPr="00A50046">
        <w:rPr>
          <w:sz w:val="18"/>
          <w:szCs w:val="18"/>
          <w:lang w:bidi="ar-EG"/>
        </w:rPr>
        <w:t>314-327.</w:t>
      </w:r>
      <w:r w:rsidR="005973B9" w:rsidRPr="00A50046">
        <w:rPr>
          <w:sz w:val="18"/>
          <w:szCs w:val="18"/>
        </w:rPr>
        <w:t>.</w:t>
      </w:r>
    </w:p>
    <w:p w:rsidR="005973B9" w:rsidRDefault="009D7A5E" w:rsidP="009D7A5E">
      <w:pPr>
        <w:pStyle w:val="ListParagraph"/>
        <w:numPr>
          <w:ilvl w:val="0"/>
          <w:numId w:val="3"/>
        </w:numPr>
        <w:tabs>
          <w:tab w:val="left" w:pos="384"/>
        </w:tabs>
        <w:spacing w:line="216" w:lineRule="exact"/>
        <w:ind w:right="137" w:hanging="283"/>
        <w:rPr>
          <w:sz w:val="18"/>
        </w:rPr>
      </w:pPr>
      <w:r>
        <w:rPr>
          <w:sz w:val="18"/>
        </w:rPr>
        <w:t>Mostafa H</w:t>
      </w:r>
      <w:r w:rsidR="005973B9">
        <w:rPr>
          <w:sz w:val="18"/>
        </w:rPr>
        <w:t xml:space="preserve"> (20</w:t>
      </w:r>
      <w:r>
        <w:rPr>
          <w:sz w:val="18"/>
        </w:rPr>
        <w:t>10</w:t>
      </w:r>
      <w:r w:rsidR="005973B9">
        <w:rPr>
          <w:sz w:val="18"/>
        </w:rPr>
        <w:t xml:space="preserve">) </w:t>
      </w:r>
      <w:r w:rsidRPr="009D7A5E">
        <w:rPr>
          <w:sz w:val="18"/>
          <w:szCs w:val="18"/>
          <w:lang w:bidi="ar-EG"/>
        </w:rPr>
        <w:t>Improvement of Baker's yeast characteristics by mutation and growth factors</w:t>
      </w:r>
      <w:r w:rsidR="005973B9" w:rsidRPr="009D7A5E">
        <w:rPr>
          <w:sz w:val="18"/>
          <w:szCs w:val="18"/>
        </w:rPr>
        <w:t>.</w:t>
      </w:r>
      <w:r>
        <w:rPr>
          <w:sz w:val="18"/>
        </w:rPr>
        <w:t xml:space="preserve"> M</w:t>
      </w:r>
      <w:r w:rsidR="005D2BFC">
        <w:rPr>
          <w:sz w:val="18"/>
        </w:rPr>
        <w:t>.</w:t>
      </w:r>
      <w:r>
        <w:rPr>
          <w:sz w:val="18"/>
        </w:rPr>
        <w:t>Sc</w:t>
      </w:r>
      <w:r w:rsidR="005D2BFC">
        <w:rPr>
          <w:sz w:val="18"/>
        </w:rPr>
        <w:t>.</w:t>
      </w:r>
      <w:r>
        <w:rPr>
          <w:sz w:val="18"/>
        </w:rPr>
        <w:t xml:space="preserve"> Thesis, Food Science Dept., Faculty of Agriculture, Cairo University.</w:t>
      </w:r>
    </w:p>
    <w:p w:rsidR="00970812" w:rsidRPr="00970812" w:rsidRDefault="00970812" w:rsidP="00970812">
      <w:pPr>
        <w:pStyle w:val="ListParagraph"/>
        <w:numPr>
          <w:ilvl w:val="0"/>
          <w:numId w:val="3"/>
        </w:numPr>
        <w:tabs>
          <w:tab w:val="left" w:pos="384"/>
        </w:tabs>
        <w:spacing w:before="92" w:line="218" w:lineRule="exact"/>
        <w:ind w:hanging="283"/>
      </w:pPr>
      <w:r>
        <w:rPr>
          <w:sz w:val="18"/>
          <w:szCs w:val="18"/>
          <w:lang w:bidi="ar-EG"/>
        </w:rPr>
        <w:t xml:space="preserve">Mohsen </w:t>
      </w:r>
      <w:r w:rsidRPr="00970812">
        <w:rPr>
          <w:sz w:val="18"/>
          <w:szCs w:val="18"/>
          <w:lang w:bidi="ar-EG"/>
        </w:rPr>
        <w:t>S</w:t>
      </w:r>
      <w:r>
        <w:rPr>
          <w:sz w:val="18"/>
          <w:szCs w:val="18"/>
          <w:lang w:bidi="ar-EG"/>
        </w:rPr>
        <w:t>, Bazaraa W,</w:t>
      </w:r>
      <w:r w:rsidRPr="00970812">
        <w:rPr>
          <w:sz w:val="18"/>
          <w:szCs w:val="18"/>
          <w:lang w:bidi="ar-EG"/>
        </w:rPr>
        <w:t xml:space="preserve"> Khattab</w:t>
      </w:r>
      <w:r w:rsidRPr="00970812">
        <w:rPr>
          <w:sz w:val="18"/>
          <w:szCs w:val="18"/>
          <w:vertAlign w:val="superscript"/>
          <w:lang w:bidi="ar-EG"/>
        </w:rPr>
        <w:t xml:space="preserve"> </w:t>
      </w:r>
      <w:r>
        <w:rPr>
          <w:sz w:val="18"/>
          <w:szCs w:val="18"/>
          <w:lang w:bidi="ar-EG"/>
        </w:rPr>
        <w:t>A, El-Shimi N,</w:t>
      </w:r>
      <w:r w:rsidRPr="00970812">
        <w:rPr>
          <w:sz w:val="18"/>
          <w:szCs w:val="18"/>
          <w:lang w:bidi="ar-EG"/>
        </w:rPr>
        <w:t xml:space="preserve"> Mostafa</w:t>
      </w:r>
      <w:r>
        <w:rPr>
          <w:sz w:val="18"/>
          <w:szCs w:val="18"/>
          <w:lang w:bidi="ar-EG"/>
        </w:rPr>
        <w:t xml:space="preserve"> H (2015)</w:t>
      </w:r>
      <w:r w:rsidRPr="00970812">
        <w:rPr>
          <w:sz w:val="18"/>
          <w:szCs w:val="18"/>
          <w:lang w:bidi="ar-EG"/>
        </w:rPr>
        <w:t xml:space="preserve"> Mutagenesis and fermentation-optimization of </w:t>
      </w:r>
      <w:r w:rsidRPr="00970812">
        <w:rPr>
          <w:i/>
          <w:iCs/>
          <w:sz w:val="18"/>
          <w:szCs w:val="18"/>
          <w:lang w:bidi="ar-EG"/>
        </w:rPr>
        <w:t xml:space="preserve">Arthrobacter </w:t>
      </w:r>
      <w:r w:rsidRPr="00970812">
        <w:rPr>
          <w:sz w:val="18"/>
          <w:szCs w:val="18"/>
          <w:lang w:bidi="ar-EG"/>
        </w:rPr>
        <w:t>sp. for improv</w:t>
      </w:r>
      <w:r>
        <w:rPr>
          <w:sz w:val="18"/>
          <w:szCs w:val="18"/>
          <w:lang w:bidi="ar-EG"/>
        </w:rPr>
        <w:t>ed glucose isomerase synthesis.</w:t>
      </w:r>
      <w:r w:rsidR="004832D0">
        <w:rPr>
          <w:sz w:val="18"/>
          <w:szCs w:val="18"/>
          <w:lang w:bidi="ar-EG"/>
        </w:rPr>
        <w:t xml:space="preserve"> </w:t>
      </w:r>
      <w:r>
        <w:rPr>
          <w:sz w:val="18"/>
          <w:szCs w:val="18"/>
          <w:lang w:bidi="ar-EG"/>
        </w:rPr>
        <w:t>E</w:t>
      </w:r>
      <w:r w:rsidRPr="00970812">
        <w:rPr>
          <w:sz w:val="18"/>
          <w:szCs w:val="18"/>
          <w:lang w:bidi="ar-EG"/>
        </w:rPr>
        <w:t>gyptian Journal of Biot</w:t>
      </w:r>
      <w:r>
        <w:rPr>
          <w:sz w:val="18"/>
          <w:szCs w:val="18"/>
          <w:lang w:bidi="ar-EG"/>
        </w:rPr>
        <w:t>echnology 50:</w:t>
      </w:r>
      <w:r w:rsidRPr="00970812">
        <w:rPr>
          <w:sz w:val="18"/>
          <w:szCs w:val="18"/>
          <w:lang w:bidi="ar-EG"/>
        </w:rPr>
        <w:t>1-13.</w:t>
      </w:r>
    </w:p>
    <w:p w:rsidR="005D2BFC" w:rsidRPr="005D2BFC" w:rsidRDefault="005D2BFC" w:rsidP="00970812">
      <w:pPr>
        <w:pStyle w:val="ListParagraph"/>
        <w:numPr>
          <w:ilvl w:val="0"/>
          <w:numId w:val="3"/>
        </w:numPr>
        <w:tabs>
          <w:tab w:val="left" w:pos="384"/>
        </w:tabs>
        <w:spacing w:before="92" w:line="218" w:lineRule="exact"/>
        <w:ind w:hanging="283"/>
        <w:rPr>
          <w:sz w:val="18"/>
          <w:szCs w:val="18"/>
        </w:rPr>
      </w:pPr>
      <w:r>
        <w:rPr>
          <w:sz w:val="18"/>
          <w:szCs w:val="18"/>
          <w:lang w:bidi="ar-EG"/>
        </w:rPr>
        <w:t>Bazaraa W, Mohsen</w:t>
      </w:r>
      <w:r w:rsidRPr="005D2BFC">
        <w:rPr>
          <w:sz w:val="18"/>
          <w:szCs w:val="18"/>
          <w:lang w:bidi="ar-EG"/>
        </w:rPr>
        <w:t xml:space="preserve"> S</w:t>
      </w:r>
      <w:r>
        <w:rPr>
          <w:sz w:val="18"/>
          <w:szCs w:val="18"/>
          <w:lang w:bidi="ar-EG"/>
        </w:rPr>
        <w:t>,</w:t>
      </w:r>
      <w:r w:rsidRPr="005D2BFC">
        <w:rPr>
          <w:sz w:val="18"/>
          <w:szCs w:val="18"/>
          <w:lang w:bidi="ar-EG"/>
        </w:rPr>
        <w:t xml:space="preserve"> Khattab</w:t>
      </w:r>
      <w:r w:rsidRPr="005D2BFC">
        <w:rPr>
          <w:sz w:val="18"/>
          <w:szCs w:val="18"/>
          <w:vertAlign w:val="superscript"/>
          <w:lang w:bidi="ar-EG"/>
        </w:rPr>
        <w:t xml:space="preserve"> </w:t>
      </w:r>
      <w:r>
        <w:rPr>
          <w:sz w:val="18"/>
          <w:szCs w:val="18"/>
          <w:lang w:bidi="ar-EG"/>
        </w:rPr>
        <w:t xml:space="preserve">A, El-Shimi N, </w:t>
      </w:r>
      <w:r w:rsidRPr="005D2BFC">
        <w:rPr>
          <w:sz w:val="18"/>
          <w:szCs w:val="18"/>
          <w:lang w:bidi="ar-EG"/>
        </w:rPr>
        <w:t>Mostafa</w:t>
      </w:r>
      <w:r>
        <w:rPr>
          <w:sz w:val="18"/>
          <w:szCs w:val="18"/>
          <w:lang w:bidi="ar-EG"/>
        </w:rPr>
        <w:t xml:space="preserve"> H (2016)</w:t>
      </w:r>
      <w:r w:rsidRPr="005D2BFC">
        <w:rPr>
          <w:sz w:val="18"/>
          <w:szCs w:val="18"/>
          <w:lang w:bidi="ar-EG"/>
        </w:rPr>
        <w:t xml:space="preserve"> Protoplast fusion for enhanced glucose isomerase synthesis by </w:t>
      </w:r>
      <w:r w:rsidRPr="005D2BFC">
        <w:rPr>
          <w:i/>
          <w:iCs/>
          <w:sz w:val="18"/>
          <w:szCs w:val="18"/>
          <w:lang w:bidi="ar-EG"/>
        </w:rPr>
        <w:t>Arthrobacter</w:t>
      </w:r>
      <w:r w:rsidRPr="005D2BFC">
        <w:rPr>
          <w:sz w:val="18"/>
          <w:szCs w:val="18"/>
          <w:lang w:bidi="ar-EG"/>
        </w:rPr>
        <w:t xml:space="preserve"> sp. hyper-producing mutants. Egypti</w:t>
      </w:r>
      <w:r>
        <w:rPr>
          <w:sz w:val="18"/>
          <w:szCs w:val="18"/>
          <w:lang w:bidi="ar-EG"/>
        </w:rPr>
        <w:t>an Journal of Biotechnology 50:</w:t>
      </w:r>
      <w:r w:rsidRPr="005D2BFC">
        <w:rPr>
          <w:sz w:val="18"/>
          <w:szCs w:val="18"/>
          <w:lang w:bidi="ar-EG"/>
        </w:rPr>
        <w:t>25-39</w:t>
      </w:r>
      <w:r>
        <w:rPr>
          <w:sz w:val="18"/>
          <w:szCs w:val="18"/>
          <w:lang w:bidi="ar-EG"/>
        </w:rPr>
        <w:t>.</w:t>
      </w:r>
    </w:p>
    <w:p w:rsidR="005D2BFC" w:rsidRPr="005D2BFC" w:rsidRDefault="005D2BFC" w:rsidP="004832D0">
      <w:pPr>
        <w:pStyle w:val="ListParagraph"/>
        <w:numPr>
          <w:ilvl w:val="0"/>
          <w:numId w:val="3"/>
        </w:numPr>
        <w:tabs>
          <w:tab w:val="left" w:pos="384"/>
        </w:tabs>
        <w:spacing w:before="92" w:line="218" w:lineRule="exact"/>
        <w:ind w:hanging="283"/>
      </w:pPr>
      <w:r>
        <w:rPr>
          <w:noProof/>
          <w:sz w:val="18"/>
          <w:szCs w:val="18"/>
        </w:rPr>
        <w:drawing>
          <wp:anchor distT="0" distB="0" distL="114300" distR="114300" simplePos="0" relativeHeight="251659264" behindDoc="1" locked="0" layoutInCell="1" allowOverlap="1">
            <wp:simplePos x="0" y="0"/>
            <wp:positionH relativeFrom="column">
              <wp:posOffset>-3056890</wp:posOffset>
            </wp:positionH>
            <wp:positionV relativeFrom="paragraph">
              <wp:posOffset>150495</wp:posOffset>
            </wp:positionV>
            <wp:extent cx="1017270" cy="943610"/>
            <wp:effectExtent l="19050" t="0" r="0" b="0"/>
            <wp:wrapTight wrapText="bothSides">
              <wp:wrapPolygon edited="0">
                <wp:start x="-404" y="0"/>
                <wp:lineTo x="-404" y="21367"/>
                <wp:lineTo x="21438" y="21367"/>
                <wp:lineTo x="21438" y="0"/>
                <wp:lineTo x="-404" y="0"/>
              </wp:wrapPolygon>
            </wp:wrapTight>
            <wp:docPr id="2" name="Picture 5" descr="Passport%20(first%20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ssport%20(first%20page)"/>
                    <pic:cNvPicPr>
                      <a:picLocks noChangeAspect="1" noChangeArrowheads="1"/>
                    </pic:cNvPicPr>
                  </pic:nvPicPr>
                  <pic:blipFill>
                    <a:blip r:embed="rId10" cstate="print">
                      <a:lum bright="-6000" contrast="12000"/>
                    </a:blip>
                    <a:srcRect l="77997" t="5881" r="8534" b="83865"/>
                    <a:stretch>
                      <a:fillRect/>
                    </a:stretch>
                  </pic:blipFill>
                  <pic:spPr bwMode="auto">
                    <a:xfrm>
                      <a:off x="0" y="0"/>
                      <a:ext cx="1017270" cy="943610"/>
                    </a:xfrm>
                    <a:prstGeom prst="rect">
                      <a:avLst/>
                    </a:prstGeom>
                    <a:noFill/>
                    <a:ln w="9525">
                      <a:noFill/>
                      <a:miter lim="800000"/>
                      <a:headEnd/>
                      <a:tailEnd/>
                    </a:ln>
                  </pic:spPr>
                </pic:pic>
              </a:graphicData>
            </a:graphic>
          </wp:anchor>
        </w:drawing>
      </w:r>
      <w:r w:rsidR="00BA2F67" w:rsidRPr="005D2BFC">
        <w:rPr>
          <w:sz w:val="18"/>
          <w:szCs w:val="18"/>
          <w:lang w:bidi="ar-EG"/>
        </w:rPr>
        <w:t>Mostafa H (2016)</w:t>
      </w:r>
      <w:r>
        <w:rPr>
          <w:sz w:val="18"/>
          <w:szCs w:val="18"/>
          <w:lang w:bidi="ar-EG"/>
        </w:rPr>
        <w:t xml:space="preserve"> </w:t>
      </w:r>
      <w:r w:rsidRPr="005D2BFC">
        <w:rPr>
          <w:sz w:val="18"/>
          <w:szCs w:val="18"/>
          <w:lang w:bidi="ar-EG"/>
        </w:rPr>
        <w:t xml:space="preserve">Mutagenesis and protoplast fusion of </w:t>
      </w:r>
      <w:r w:rsidRPr="005D2BFC">
        <w:rPr>
          <w:i/>
          <w:iCs/>
          <w:sz w:val="18"/>
          <w:szCs w:val="18"/>
          <w:lang w:bidi="ar-EG"/>
        </w:rPr>
        <w:t xml:space="preserve">Arthrobacter </w:t>
      </w:r>
      <w:r w:rsidRPr="005D2BFC">
        <w:rPr>
          <w:sz w:val="18"/>
          <w:szCs w:val="18"/>
          <w:lang w:bidi="ar-EG"/>
        </w:rPr>
        <w:t>sp. for improved glucose isomerase production</w:t>
      </w:r>
      <w:r w:rsidR="004832D0">
        <w:t>.</w:t>
      </w:r>
    </w:p>
    <w:p w:rsidR="005973B9" w:rsidRPr="005D2BFC" w:rsidRDefault="005D2BFC" w:rsidP="004832D0">
      <w:pPr>
        <w:pStyle w:val="ListParagraph"/>
        <w:tabs>
          <w:tab w:val="left" w:pos="384"/>
        </w:tabs>
        <w:spacing w:before="0" w:line="218" w:lineRule="exact"/>
        <w:ind w:firstLine="0"/>
        <w:rPr>
          <w:sz w:val="18"/>
          <w:szCs w:val="18"/>
        </w:rPr>
      </w:pPr>
      <w:r w:rsidRPr="005D2BFC">
        <w:rPr>
          <w:sz w:val="18"/>
          <w:szCs w:val="18"/>
        </w:rPr>
        <w:t>J</w:t>
      </w:r>
      <w:r>
        <w:rPr>
          <w:sz w:val="18"/>
          <w:szCs w:val="18"/>
        </w:rPr>
        <w:t>ournal of</w:t>
      </w:r>
      <w:r w:rsidRPr="005D2BFC">
        <w:rPr>
          <w:sz w:val="18"/>
          <w:szCs w:val="18"/>
        </w:rPr>
        <w:t xml:space="preserve"> Microb</w:t>
      </w:r>
      <w:r>
        <w:rPr>
          <w:sz w:val="18"/>
          <w:szCs w:val="18"/>
        </w:rPr>
        <w:t>iology</w:t>
      </w:r>
      <w:r w:rsidRPr="005D2BFC">
        <w:rPr>
          <w:sz w:val="18"/>
          <w:szCs w:val="18"/>
        </w:rPr>
        <w:t xml:space="preserve"> </w:t>
      </w:r>
      <w:r>
        <w:rPr>
          <w:sz w:val="18"/>
          <w:szCs w:val="18"/>
        </w:rPr>
        <w:t xml:space="preserve">and </w:t>
      </w:r>
      <w:r w:rsidRPr="005D2BFC">
        <w:rPr>
          <w:sz w:val="18"/>
          <w:szCs w:val="18"/>
        </w:rPr>
        <w:t>Biochem</w:t>
      </w:r>
      <w:r>
        <w:rPr>
          <w:sz w:val="18"/>
          <w:szCs w:val="18"/>
        </w:rPr>
        <w:t>istry</w:t>
      </w:r>
      <w:r w:rsidRPr="005D2BFC">
        <w:rPr>
          <w:sz w:val="18"/>
          <w:szCs w:val="18"/>
        </w:rPr>
        <w:t xml:space="preserve"> Technol</w:t>
      </w:r>
      <w:r>
        <w:rPr>
          <w:sz w:val="18"/>
          <w:szCs w:val="18"/>
        </w:rPr>
        <w:t>ogy</w:t>
      </w:r>
      <w:r w:rsidRPr="005D2BFC">
        <w:rPr>
          <w:sz w:val="18"/>
          <w:szCs w:val="18"/>
        </w:rPr>
        <w:t xml:space="preserve"> 8:6</w:t>
      </w:r>
      <w:r w:rsidR="004832D0">
        <w:rPr>
          <w:sz w:val="18"/>
          <w:szCs w:val="18"/>
        </w:rPr>
        <w:t xml:space="preserve"> </w:t>
      </w:r>
      <w:r w:rsidRPr="005D2BFC">
        <w:rPr>
          <w:sz w:val="18"/>
          <w:szCs w:val="18"/>
        </w:rPr>
        <w:t>(Suppl)</w:t>
      </w:r>
      <w:r>
        <w:rPr>
          <w:sz w:val="18"/>
          <w:szCs w:val="18"/>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21CB7">
      <w:pPr>
        <w:pStyle w:val="BodyText"/>
        <w:spacing w:line="40" w:lineRule="exact"/>
        <w:ind w:left="2202"/>
        <w:rPr>
          <w:rFonts w:ascii="Calibri"/>
          <w:sz w:val="4"/>
        </w:rPr>
      </w:pPr>
      <w:r w:rsidRPr="00121CB7">
        <w:rPr>
          <w:rFonts w:ascii="Calibri"/>
          <w:noProof/>
          <w:sz w:val="4"/>
          <w:lang w:val="en-IN" w:eastAsia="en-IN"/>
        </w:rPr>
      </w:r>
      <w:r w:rsidRPr="00121CB7">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Pr="00B40B32" w:rsidRDefault="00707360" w:rsidP="009E2783">
      <w:pPr>
        <w:spacing w:before="41" w:line="154" w:lineRule="exact"/>
        <w:ind w:left="213" w:right="231"/>
        <w:jc w:val="both"/>
        <w:rPr>
          <w:rFonts w:asciiTheme="minorBidi" w:hAnsiTheme="minorBidi" w:cstheme="minorBidi"/>
          <w:sz w:val="14"/>
          <w:szCs w:val="14"/>
        </w:rPr>
      </w:pPr>
      <w:r>
        <w:rPr>
          <w:rFonts w:ascii="Arial"/>
          <w:sz w:val="14"/>
        </w:rPr>
        <w:t>Heba Mostafa</w:t>
      </w:r>
      <w:r w:rsidR="00A9710C">
        <w:rPr>
          <w:rFonts w:ascii="Arial"/>
          <w:sz w:val="14"/>
        </w:rPr>
        <w:t xml:space="preserve"> has her expertise in </w:t>
      </w:r>
      <w:r>
        <w:rPr>
          <w:rFonts w:ascii="Arial"/>
          <w:sz w:val="14"/>
        </w:rPr>
        <w:t>food microbiology</w:t>
      </w:r>
      <w:r w:rsidR="00B40B32">
        <w:rPr>
          <w:rFonts w:ascii="Arial"/>
          <w:sz w:val="14"/>
        </w:rPr>
        <w:t xml:space="preserve">, </w:t>
      </w:r>
      <w:r w:rsidR="00123613">
        <w:rPr>
          <w:rFonts w:asciiTheme="minorBidi" w:hAnsiTheme="minorBidi" w:cstheme="minorBidi"/>
          <w:sz w:val="14"/>
          <w:szCs w:val="14"/>
        </w:rPr>
        <w:t>b</w:t>
      </w:r>
      <w:r w:rsidR="00B40B32" w:rsidRPr="00B40B32">
        <w:rPr>
          <w:rFonts w:asciiTheme="minorBidi" w:hAnsiTheme="minorBidi" w:cstheme="minorBidi"/>
          <w:sz w:val="14"/>
          <w:szCs w:val="14"/>
        </w:rPr>
        <w:t>iotechnology and Enzymology as she has worked as demonstrator then lecturer since 2003 in Food Science Department, Faculty of Agriculture, Cairo University</w:t>
      </w:r>
      <w:r w:rsidR="009E2783">
        <w:rPr>
          <w:rFonts w:asciiTheme="minorBidi" w:hAnsiTheme="minorBidi" w:cstheme="minorBidi"/>
          <w:sz w:val="14"/>
          <w:szCs w:val="14"/>
        </w:rPr>
        <w:t>.</w:t>
      </w:r>
      <w:r w:rsidR="009E2783">
        <w:rPr>
          <w:rFonts w:ascii="Arial"/>
          <w:sz w:val="14"/>
        </w:rPr>
        <w:t xml:space="preserve"> </w:t>
      </w:r>
      <w:r w:rsidR="00AE1947">
        <w:rPr>
          <w:rFonts w:ascii="Arial"/>
          <w:sz w:val="14"/>
        </w:rPr>
        <w:t>She has also expertise in many food biotechnology approaches such as mutation and protoplast fusion</w:t>
      </w:r>
      <w:r w:rsidR="009E2783" w:rsidRPr="009E2783">
        <w:rPr>
          <w:rFonts w:ascii="Arial"/>
          <w:sz w:val="14"/>
        </w:rPr>
        <w:t xml:space="preserve"> </w:t>
      </w:r>
      <w:r w:rsidR="009E2783">
        <w:rPr>
          <w:rFonts w:ascii="Arial"/>
          <w:sz w:val="14"/>
        </w:rPr>
        <w:t>to improve the characteristics of promising microbial strains</w:t>
      </w:r>
      <w:r w:rsidR="00AE1947">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E1947">
        <w:rPr>
          <w:rFonts w:ascii="Arial"/>
          <w:sz w:val="14"/>
        </w:rPr>
        <w:t>many</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E1947">
        <w:rPr>
          <w:rFonts w:ascii="Arial"/>
          <w:sz w:val="14"/>
        </w:rPr>
        <w:t>administration</w:t>
      </w:r>
      <w:r w:rsidR="000E2911">
        <w:rPr>
          <w:rFonts w:ascii="Arial"/>
          <w:sz w:val="14"/>
        </w:rPr>
        <w:t xml:space="preserve"> </w:t>
      </w:r>
      <w:r w:rsidR="00AE1947">
        <w:rPr>
          <w:rFonts w:ascii="Arial"/>
          <w:sz w:val="14"/>
        </w:rPr>
        <w:t>in Food Science Department, Faculty of Agriculture, Cairo University</w:t>
      </w:r>
      <w:r w:rsidR="004832D0">
        <w:rPr>
          <w:rFonts w:ascii="Arial"/>
          <w:sz w:val="14"/>
        </w:rPr>
        <w:t>, Egypt</w:t>
      </w:r>
      <w:r w:rsidR="00A9710C">
        <w:rPr>
          <w:rFonts w:ascii="Arial"/>
          <w:sz w:val="14"/>
        </w:rPr>
        <w:t xml:space="preserve">. </w:t>
      </w:r>
    </w:p>
    <w:p w:rsidR="00AE3E37" w:rsidRDefault="00A9710C" w:rsidP="009B583C">
      <w:pPr>
        <w:spacing w:before="62"/>
        <w:ind w:left="4217" w:right="4235"/>
        <w:jc w:val="center"/>
        <w:rPr>
          <w:rFonts w:ascii="Arial"/>
          <w:sz w:val="14"/>
        </w:rPr>
      </w:pPr>
      <w:r>
        <w:rPr>
          <w:rFonts w:ascii="Arial"/>
          <w:sz w:val="14"/>
        </w:rPr>
        <w:t xml:space="preserve">Email: </w:t>
      </w:r>
      <w:hyperlink r:id="rId11" w:history="1">
        <w:r w:rsidR="00516642" w:rsidRPr="002F18CB">
          <w:rPr>
            <w:rStyle w:val="Hyperlink"/>
            <w:rFonts w:ascii="Arial"/>
            <w:sz w:val="14"/>
          </w:rPr>
          <w:t>Hebabiotech@gmail.com</w:t>
        </w:r>
      </w:hyperlink>
    </w:p>
    <w:p w:rsidR="00AE3E37" w:rsidRDefault="00121CB7">
      <w:pPr>
        <w:pStyle w:val="BodyText"/>
        <w:spacing w:before="2"/>
        <w:rPr>
          <w:rFonts w:ascii="Arial"/>
          <w:sz w:val="19"/>
        </w:rPr>
      </w:pPr>
      <w:r w:rsidRPr="00121CB7">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39D" w:rsidRDefault="0075439D">
      <w:r>
        <w:separator/>
      </w:r>
    </w:p>
  </w:endnote>
  <w:endnote w:type="continuationSeparator" w:id="1">
    <w:p w:rsidR="0075439D" w:rsidRDefault="007543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21CB7">
    <w:pPr>
      <w:pStyle w:val="BodyText"/>
      <w:spacing w:line="14" w:lineRule="auto"/>
      <w:rPr>
        <w:sz w:val="20"/>
      </w:rPr>
    </w:pPr>
    <w:r w:rsidRPr="00121CB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21CB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21CB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39D" w:rsidRDefault="0075439D">
      <w:r>
        <w:separator/>
      </w:r>
    </w:p>
  </w:footnote>
  <w:footnote w:type="continuationSeparator" w:id="1">
    <w:p w:rsidR="0075439D" w:rsidRDefault="0075439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21CB7">
    <w:pPr>
      <w:pStyle w:val="BodyText"/>
      <w:spacing w:line="14" w:lineRule="auto"/>
      <w:rPr>
        <w:sz w:val="20"/>
      </w:rPr>
    </w:pPr>
    <w:r w:rsidRPr="00121CB7">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21CB7">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E3153"/>
    <w:multiLevelType w:val="hybridMultilevel"/>
    <w:tmpl w:val="8A9AB8B0"/>
    <w:lvl w:ilvl="0" w:tplc="C03AE45E">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A4F05F4"/>
    <w:multiLevelType w:val="hybridMultilevel"/>
    <w:tmpl w:val="67045D34"/>
    <w:lvl w:ilvl="0" w:tplc="683A17EE">
      <w:start w:val="1"/>
      <w:numFmt w:val="upp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8194"/>
    <o:shapelayout v:ext="edit">
      <o:idmap v:ext="edit" data="4"/>
    </o:shapelayout>
  </w:hdrShapeDefaults>
  <w:footnotePr>
    <w:footnote w:id="0"/>
    <w:footnote w:id="1"/>
  </w:footnotePr>
  <w:endnotePr>
    <w:endnote w:id="0"/>
    <w:endnote w:id="1"/>
  </w:endnotePr>
  <w:compat>
    <w:ulTrailSpace/>
  </w:compat>
  <w:rsids>
    <w:rsidRoot w:val="00AE3E37"/>
    <w:rsid w:val="000E2911"/>
    <w:rsid w:val="00121CB7"/>
    <w:rsid w:val="00123613"/>
    <w:rsid w:val="001263DF"/>
    <w:rsid w:val="002455EC"/>
    <w:rsid w:val="00292ED9"/>
    <w:rsid w:val="002A77EC"/>
    <w:rsid w:val="00404E5B"/>
    <w:rsid w:val="00414F7B"/>
    <w:rsid w:val="004355DC"/>
    <w:rsid w:val="004749B4"/>
    <w:rsid w:val="004832D0"/>
    <w:rsid w:val="00494130"/>
    <w:rsid w:val="004F3523"/>
    <w:rsid w:val="00516642"/>
    <w:rsid w:val="00542004"/>
    <w:rsid w:val="005861A1"/>
    <w:rsid w:val="005973B9"/>
    <w:rsid w:val="005B3A56"/>
    <w:rsid w:val="005C1AE5"/>
    <w:rsid w:val="005D2BFC"/>
    <w:rsid w:val="006060CE"/>
    <w:rsid w:val="0063497F"/>
    <w:rsid w:val="00707360"/>
    <w:rsid w:val="007420CC"/>
    <w:rsid w:val="0075439D"/>
    <w:rsid w:val="00873DF0"/>
    <w:rsid w:val="008756E6"/>
    <w:rsid w:val="008A08B6"/>
    <w:rsid w:val="00963B6D"/>
    <w:rsid w:val="00970812"/>
    <w:rsid w:val="009B2D44"/>
    <w:rsid w:val="009B583C"/>
    <w:rsid w:val="009D7A5E"/>
    <w:rsid w:val="009E2783"/>
    <w:rsid w:val="00A07E82"/>
    <w:rsid w:val="00A50046"/>
    <w:rsid w:val="00A9710C"/>
    <w:rsid w:val="00AE1947"/>
    <w:rsid w:val="00AE3E37"/>
    <w:rsid w:val="00B21A57"/>
    <w:rsid w:val="00B33193"/>
    <w:rsid w:val="00B40B32"/>
    <w:rsid w:val="00B705E1"/>
    <w:rsid w:val="00BA2F67"/>
    <w:rsid w:val="00C33602"/>
    <w:rsid w:val="00CD6F55"/>
    <w:rsid w:val="00D6215A"/>
    <w:rsid w:val="00DE3104"/>
    <w:rsid w:val="00E26B10"/>
    <w:rsid w:val="00E34CA1"/>
    <w:rsid w:val="00EE2F12"/>
    <w:rsid w:val="00F316A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babiotech@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417</Words>
  <Characters>2379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sama</cp:lastModifiedBy>
  <cp:revision>18</cp:revision>
  <dcterms:created xsi:type="dcterms:W3CDTF">2009-01-01T02:46:00Z</dcterms:created>
  <dcterms:modified xsi:type="dcterms:W3CDTF">2008-12-31T23:20:00Z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