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6D5" w:rsidRDefault="005C06D5" w:rsidP="005C06D5">
      <w:pPr>
        <w:spacing w:before="520" w:after="460"/>
        <w:jc w:val="center"/>
        <w:rPr>
          <w:rFonts w:ascii="Times New Roman" w:hAnsi="Times New Roman"/>
          <w:b/>
          <w:sz w:val="40"/>
          <w:lang w:val="en-US"/>
        </w:rPr>
      </w:pPr>
      <w:r>
        <w:rPr>
          <w:rFonts w:ascii="Times New Roman" w:hAnsi="Times New Roman"/>
          <w:b/>
          <w:sz w:val="40"/>
          <w:lang w:val="en-US"/>
        </w:rPr>
        <w:t>Potential Risk Factors and Microbial Contamination of Grilled Meats Collected at Cotonou, Benin.</w:t>
      </w:r>
    </w:p>
    <w:p w:rsidR="005C06D5" w:rsidRPr="005C06D5" w:rsidRDefault="005C06D5" w:rsidP="005C06D5">
      <w:pPr>
        <w:spacing w:after="120" w:line="240" w:lineRule="auto"/>
        <w:jc w:val="center"/>
        <w:rPr>
          <w:rFonts w:ascii="Times New Roman" w:hAnsi="Times New Roman"/>
          <w:b/>
          <w:sz w:val="20"/>
          <w:szCs w:val="20"/>
          <w:vertAlign w:val="superscript"/>
          <w:lang w:val="en-US"/>
        </w:rPr>
      </w:pPr>
      <w:r w:rsidRPr="005C06D5">
        <w:rPr>
          <w:rFonts w:ascii="Times New Roman" w:hAnsi="Times New Roman"/>
          <w:b/>
          <w:sz w:val="20"/>
          <w:szCs w:val="20"/>
          <w:lang w:val="en-US"/>
        </w:rPr>
        <w:t>Haziz Sina</w:t>
      </w:r>
      <w:r w:rsidRPr="005C06D5">
        <w:rPr>
          <w:rFonts w:ascii="Times New Roman" w:hAnsi="Times New Roman"/>
          <w:b/>
          <w:sz w:val="20"/>
          <w:szCs w:val="20"/>
          <w:vertAlign w:val="superscript"/>
          <w:lang w:val="en-US"/>
        </w:rPr>
        <w:t>1</w:t>
      </w:r>
      <w:r w:rsidRPr="005C06D5">
        <w:rPr>
          <w:rFonts w:ascii="Times New Roman" w:hAnsi="Times New Roman"/>
          <w:b/>
          <w:sz w:val="20"/>
          <w:szCs w:val="20"/>
          <w:lang w:val="en-US"/>
        </w:rPr>
        <w:t>, Paul Attien</w:t>
      </w:r>
      <w:r w:rsidRPr="005C06D5">
        <w:rPr>
          <w:rFonts w:ascii="Times New Roman" w:hAnsi="Times New Roman"/>
          <w:b/>
          <w:sz w:val="20"/>
          <w:szCs w:val="20"/>
          <w:vertAlign w:val="superscript"/>
          <w:lang w:val="en-US"/>
        </w:rPr>
        <w:t>2</w:t>
      </w:r>
      <w:r w:rsidRPr="005C06D5">
        <w:rPr>
          <w:rFonts w:ascii="Times New Roman" w:hAnsi="Times New Roman"/>
          <w:b/>
          <w:sz w:val="20"/>
          <w:szCs w:val="20"/>
          <w:lang w:val="en-US"/>
        </w:rPr>
        <w:t xml:space="preserve">, </w:t>
      </w:r>
      <w:r>
        <w:rPr>
          <w:rFonts w:ascii="Times New Roman" w:hAnsi="Times New Roman"/>
          <w:b/>
          <w:sz w:val="20"/>
          <w:szCs w:val="20"/>
          <w:lang w:val="en-US"/>
        </w:rPr>
        <w:t>Hafiz Salami</w:t>
      </w:r>
      <w:r w:rsidRPr="005C06D5">
        <w:rPr>
          <w:rFonts w:ascii="Times New Roman" w:hAnsi="Times New Roman"/>
          <w:b/>
          <w:sz w:val="20"/>
          <w:szCs w:val="20"/>
          <w:vertAlign w:val="superscript"/>
          <w:lang w:val="en-US"/>
        </w:rPr>
        <w:t>1</w:t>
      </w:r>
      <w:r w:rsidRPr="005C06D5">
        <w:rPr>
          <w:rFonts w:ascii="Times New Roman" w:hAnsi="Times New Roman"/>
          <w:b/>
          <w:sz w:val="20"/>
          <w:szCs w:val="20"/>
          <w:lang w:val="en-US"/>
        </w:rPr>
        <w:t>, Amine Boukary-Chabi</w:t>
      </w:r>
      <w:r w:rsidRPr="005C06D5">
        <w:rPr>
          <w:rFonts w:ascii="Times New Roman" w:hAnsi="Times New Roman"/>
          <w:b/>
          <w:sz w:val="20"/>
          <w:szCs w:val="20"/>
          <w:vertAlign w:val="superscript"/>
          <w:lang w:val="en-US"/>
        </w:rPr>
        <w:t>1</w:t>
      </w:r>
      <w:r w:rsidRPr="005C06D5">
        <w:rPr>
          <w:rFonts w:ascii="Times New Roman" w:hAnsi="Times New Roman"/>
          <w:b/>
          <w:sz w:val="20"/>
          <w:szCs w:val="20"/>
          <w:lang w:val="en-US"/>
        </w:rPr>
        <w:t xml:space="preserve">, </w:t>
      </w:r>
      <w:proofErr w:type="spellStart"/>
      <w:r w:rsidRPr="005C06D5">
        <w:rPr>
          <w:rFonts w:ascii="Times New Roman" w:hAnsi="Times New Roman"/>
          <w:b/>
          <w:sz w:val="20"/>
          <w:szCs w:val="20"/>
          <w:lang w:val="en-US"/>
        </w:rPr>
        <w:t>Farid</w:t>
      </w:r>
      <w:proofErr w:type="spellEnd"/>
      <w:r w:rsidRPr="005C06D5">
        <w:rPr>
          <w:rFonts w:ascii="Times New Roman" w:hAnsi="Times New Roman"/>
          <w:b/>
          <w:sz w:val="20"/>
          <w:szCs w:val="20"/>
          <w:lang w:val="en-US"/>
        </w:rPr>
        <w:t xml:space="preserve"> Baba-Moussa</w:t>
      </w:r>
      <w:r>
        <w:rPr>
          <w:rFonts w:ascii="Times New Roman" w:hAnsi="Times New Roman"/>
          <w:b/>
          <w:sz w:val="20"/>
          <w:szCs w:val="20"/>
          <w:vertAlign w:val="superscript"/>
          <w:lang w:val="en-US"/>
        </w:rPr>
        <w:t>3</w:t>
      </w:r>
      <w:r w:rsidRPr="005C06D5">
        <w:rPr>
          <w:rFonts w:ascii="Times New Roman" w:hAnsi="Times New Roman"/>
          <w:b/>
          <w:sz w:val="20"/>
          <w:szCs w:val="20"/>
          <w:lang w:val="en-US"/>
        </w:rPr>
        <w:t xml:space="preserve">, </w:t>
      </w:r>
      <w:proofErr w:type="spellStart"/>
      <w:r w:rsidRPr="005C06D5">
        <w:rPr>
          <w:rFonts w:ascii="Times New Roman" w:hAnsi="Times New Roman"/>
          <w:b/>
          <w:bCs/>
          <w:sz w:val="20"/>
          <w:szCs w:val="20"/>
          <w:lang w:val="en-US"/>
        </w:rPr>
        <w:t>Adolphe</w:t>
      </w:r>
      <w:proofErr w:type="spellEnd"/>
      <w:r w:rsidRPr="005C06D5">
        <w:rPr>
          <w:rFonts w:ascii="Times New Roman" w:hAnsi="Times New Roman"/>
          <w:b/>
          <w:bCs/>
          <w:sz w:val="20"/>
          <w:szCs w:val="20"/>
          <w:lang w:val="en-US"/>
        </w:rPr>
        <w:t xml:space="preserve"> Adjanohoun</w:t>
      </w:r>
      <w:r w:rsidRPr="005C06D5">
        <w:rPr>
          <w:rFonts w:ascii="Times New Roman" w:hAnsi="Times New Roman"/>
          <w:b/>
          <w:bCs/>
          <w:sz w:val="20"/>
          <w:szCs w:val="20"/>
          <w:vertAlign w:val="superscript"/>
          <w:lang w:val="en-US"/>
        </w:rPr>
        <w:t>1</w:t>
      </w:r>
      <w:r w:rsidRPr="005C06D5">
        <w:rPr>
          <w:rFonts w:ascii="Times New Roman" w:hAnsi="Times New Roman"/>
          <w:b/>
          <w:bCs/>
          <w:sz w:val="20"/>
          <w:szCs w:val="20"/>
          <w:lang w:val="en-US"/>
        </w:rPr>
        <w:t>,</w:t>
      </w:r>
      <w:r w:rsidRPr="005C06D5">
        <w:rPr>
          <w:rFonts w:ascii="Times New Roman" w:hAnsi="Times New Roman"/>
          <w:b/>
          <w:sz w:val="20"/>
          <w:szCs w:val="20"/>
          <w:lang w:val="en-US"/>
        </w:rPr>
        <w:t xml:space="preserve"> </w:t>
      </w:r>
      <w:proofErr w:type="spellStart"/>
      <w:r w:rsidRPr="005C06D5">
        <w:rPr>
          <w:rFonts w:ascii="Times New Roman" w:hAnsi="Times New Roman"/>
          <w:b/>
          <w:sz w:val="20"/>
          <w:szCs w:val="20"/>
          <w:lang w:val="en-US"/>
        </w:rPr>
        <w:t>Lamine</w:t>
      </w:r>
      <w:proofErr w:type="spellEnd"/>
      <w:r w:rsidRPr="005C06D5">
        <w:rPr>
          <w:rFonts w:ascii="Times New Roman" w:hAnsi="Times New Roman"/>
          <w:b/>
          <w:sz w:val="20"/>
          <w:szCs w:val="20"/>
          <w:lang w:val="en-US"/>
        </w:rPr>
        <w:t xml:space="preserve"> Baba-Moussa</w:t>
      </w:r>
      <w:r w:rsidRPr="005C06D5">
        <w:rPr>
          <w:rFonts w:ascii="Times New Roman" w:hAnsi="Times New Roman"/>
          <w:b/>
          <w:sz w:val="20"/>
          <w:szCs w:val="20"/>
          <w:vertAlign w:val="superscript"/>
          <w:lang w:val="en-US"/>
        </w:rPr>
        <w:t>1</w:t>
      </w:r>
    </w:p>
    <w:p w:rsidR="005C06D5" w:rsidRPr="005C06D5" w:rsidRDefault="005C06D5" w:rsidP="005C06D5">
      <w:pPr>
        <w:spacing w:after="120" w:line="240" w:lineRule="auto"/>
        <w:jc w:val="both"/>
        <w:rPr>
          <w:rFonts w:ascii="Times New Roman" w:hAnsi="Times New Roman"/>
          <w:sz w:val="24"/>
          <w:szCs w:val="24"/>
          <w:lang w:val="en-US"/>
        </w:rPr>
      </w:pPr>
    </w:p>
    <w:p w:rsidR="005C06D5" w:rsidRPr="00135FF4" w:rsidRDefault="005C06D5" w:rsidP="005C06D5">
      <w:pPr>
        <w:spacing w:before="120" w:after="120" w:line="240" w:lineRule="auto"/>
        <w:jc w:val="center"/>
        <w:rPr>
          <w:rFonts w:ascii="Times New Roman" w:hAnsi="Times New Roman"/>
          <w:b/>
          <w:sz w:val="18"/>
          <w:szCs w:val="20"/>
        </w:rPr>
      </w:pPr>
      <w:r w:rsidRPr="00135FF4">
        <w:rPr>
          <w:rFonts w:ascii="Times New Roman" w:eastAsia="Times New Roman" w:hAnsi="Times New Roman"/>
          <w:color w:val="242424"/>
          <w:sz w:val="18"/>
          <w:szCs w:val="20"/>
          <w:vertAlign w:val="superscript"/>
          <w:lang w:eastAsia="fr-FR"/>
        </w:rPr>
        <w:t xml:space="preserve">1 </w:t>
      </w:r>
      <w:r w:rsidRPr="00135FF4">
        <w:rPr>
          <w:rFonts w:ascii="Times New Roman" w:eastAsia="Times New Roman" w:hAnsi="Times New Roman"/>
          <w:color w:val="242424"/>
          <w:sz w:val="18"/>
          <w:szCs w:val="20"/>
          <w:lang w:eastAsia="fr-FR"/>
        </w:rPr>
        <w:t xml:space="preserve">Laboratoire de Biologie et de Typage Moléculaire en Microbiologie, Département de Biochimie et de Biologie Cellulaire, Faculté des Sciences et Techniques, Université d’Abomey-Calavi, 05 BP 1604 Cotonou, Bénin. </w:t>
      </w:r>
    </w:p>
    <w:p w:rsidR="005C06D5" w:rsidRPr="00135FF4" w:rsidRDefault="005C06D5" w:rsidP="005C06D5">
      <w:pPr>
        <w:spacing w:before="120" w:after="120" w:line="240" w:lineRule="auto"/>
        <w:jc w:val="center"/>
        <w:rPr>
          <w:rFonts w:ascii="Times New Roman" w:hAnsi="Times New Roman"/>
          <w:sz w:val="18"/>
          <w:szCs w:val="20"/>
        </w:rPr>
      </w:pPr>
      <w:r w:rsidRPr="00135FF4">
        <w:rPr>
          <w:rFonts w:ascii="Times New Roman" w:hAnsi="Times New Roman"/>
          <w:sz w:val="18"/>
          <w:szCs w:val="20"/>
          <w:vertAlign w:val="superscript"/>
        </w:rPr>
        <w:t>2</w:t>
      </w:r>
      <w:r w:rsidRPr="00135FF4">
        <w:rPr>
          <w:rFonts w:ascii="Times New Roman" w:hAnsi="Times New Roman"/>
          <w:sz w:val="18"/>
          <w:szCs w:val="20"/>
        </w:rPr>
        <w:t xml:space="preserve"> </w:t>
      </w:r>
      <w:r w:rsidRPr="00135FF4">
        <w:rPr>
          <w:rFonts w:ascii="Times New Roman" w:hAnsi="Times New Roman"/>
          <w:i/>
          <w:color w:val="000000"/>
          <w:sz w:val="18"/>
          <w:szCs w:val="20"/>
        </w:rPr>
        <w:t xml:space="preserve">Laboratoire de Biochimie et de Microbiologie, UFR Agroforesterie de l’Université Jean Lorougnon </w:t>
      </w:r>
      <w:proofErr w:type="spellStart"/>
      <w:r w:rsidRPr="00135FF4">
        <w:rPr>
          <w:rFonts w:ascii="Times New Roman" w:hAnsi="Times New Roman"/>
          <w:i/>
          <w:color w:val="000000"/>
          <w:sz w:val="18"/>
          <w:szCs w:val="20"/>
        </w:rPr>
        <w:t>Guédé</w:t>
      </w:r>
      <w:proofErr w:type="spellEnd"/>
      <w:r w:rsidRPr="00135FF4">
        <w:rPr>
          <w:rFonts w:ascii="Times New Roman" w:hAnsi="Times New Roman"/>
          <w:i/>
          <w:color w:val="000000"/>
          <w:sz w:val="18"/>
          <w:szCs w:val="20"/>
        </w:rPr>
        <w:t>. BP 150 Daloa, Côte d’Ivoire</w:t>
      </w:r>
      <w:r w:rsidRPr="00135FF4">
        <w:rPr>
          <w:rFonts w:ascii="Times New Roman" w:hAnsi="Times New Roman"/>
          <w:sz w:val="18"/>
          <w:szCs w:val="20"/>
        </w:rPr>
        <w:t>.</w:t>
      </w:r>
      <w:bookmarkStart w:id="0" w:name="_GoBack"/>
      <w:bookmarkEnd w:id="0"/>
    </w:p>
    <w:p w:rsidR="005C06D5" w:rsidRPr="00135FF4" w:rsidRDefault="005C06D5" w:rsidP="005C06D5">
      <w:pPr>
        <w:spacing w:before="120" w:after="120" w:line="240" w:lineRule="auto"/>
        <w:jc w:val="center"/>
        <w:rPr>
          <w:sz w:val="18"/>
        </w:rPr>
      </w:pPr>
      <w:r w:rsidRPr="00135FF4">
        <w:rPr>
          <w:rFonts w:ascii="Times New Roman" w:hAnsi="Times New Roman"/>
          <w:sz w:val="18"/>
          <w:szCs w:val="24"/>
          <w:vertAlign w:val="superscript"/>
        </w:rPr>
        <w:t>3</w:t>
      </w:r>
      <w:r w:rsidRPr="00135FF4">
        <w:rPr>
          <w:rFonts w:ascii="Times New Roman" w:hAnsi="Times New Roman"/>
          <w:sz w:val="18"/>
          <w:szCs w:val="24"/>
        </w:rPr>
        <w:t xml:space="preserve"> </w:t>
      </w:r>
      <w:r w:rsidRPr="00135FF4">
        <w:rPr>
          <w:rFonts w:ascii="Times New Roman" w:eastAsia="Times New Roman" w:hAnsi="Times New Roman"/>
          <w:color w:val="242424"/>
          <w:sz w:val="18"/>
          <w:szCs w:val="24"/>
          <w:lang w:eastAsia="fr-FR"/>
        </w:rPr>
        <w:t>Laboratoire de Microbiologie et des Technologies Alimentaires, Département de Biologie Végétale, Faculté des Sciences et Techniques, Université d’Abomey-Calavi, 01 BP 526 Cotonou, Bénin.</w:t>
      </w:r>
    </w:p>
    <w:p w:rsidR="005C06D5" w:rsidRDefault="005C06D5" w:rsidP="005C06D5">
      <w:pPr>
        <w:rPr>
          <w:rFonts w:ascii="Times New Roman" w:hAnsi="Times New Roman"/>
          <w:b/>
          <w:sz w:val="24"/>
          <w:lang w:val="en-US"/>
        </w:rPr>
      </w:pPr>
    </w:p>
    <w:p w:rsidR="005C06D5" w:rsidRDefault="005C06D5" w:rsidP="005C06D5">
      <w:pPr>
        <w:rPr>
          <w:rFonts w:ascii="Times New Roman" w:hAnsi="Times New Roman"/>
          <w:b/>
          <w:sz w:val="24"/>
          <w:lang w:val="en-US"/>
        </w:rPr>
      </w:pPr>
      <w:r>
        <w:rPr>
          <w:rFonts w:ascii="Times New Roman" w:hAnsi="Times New Roman"/>
          <w:b/>
          <w:sz w:val="24"/>
          <w:lang w:val="en-US"/>
        </w:rPr>
        <w:t xml:space="preserve">ABSTRACT </w:t>
      </w:r>
    </w:p>
    <w:p w:rsidR="005C06D5" w:rsidRDefault="005C06D5" w:rsidP="005C06D5">
      <w:pPr>
        <w:spacing w:before="120" w:after="120"/>
        <w:jc w:val="both"/>
        <w:rPr>
          <w:rFonts w:ascii="Times New Roman" w:hAnsi="Times New Roman"/>
          <w:sz w:val="20"/>
          <w:szCs w:val="20"/>
          <w:lang w:val="en-US"/>
        </w:rPr>
      </w:pPr>
      <w:r>
        <w:rPr>
          <w:rFonts w:ascii="Times New Roman" w:hAnsi="Times New Roman"/>
          <w:sz w:val="20"/>
          <w:szCs w:val="20"/>
          <w:lang w:val="en-US"/>
        </w:rPr>
        <w:t xml:space="preserve">Grilled meat is a rich foodstuff in protein and very important for human consumption. Its quality is all the characteristics that give it its organoleptic, nutritional, hygienic and technological properties. The aim of this work was to evaluate the sanitary risk and the microbial contamination of grilled meat sold in Cotonou, Benin. </w:t>
      </w:r>
    </w:p>
    <w:p w:rsidR="005C06D5" w:rsidRDefault="005C06D5" w:rsidP="005C06D5">
      <w:pPr>
        <w:spacing w:before="120" w:after="120"/>
        <w:jc w:val="both"/>
        <w:rPr>
          <w:rFonts w:ascii="Times New Roman" w:hAnsi="Times New Roman"/>
          <w:sz w:val="20"/>
          <w:szCs w:val="20"/>
          <w:lang w:val="en-US"/>
        </w:rPr>
      </w:pPr>
      <w:r>
        <w:rPr>
          <w:rFonts w:ascii="Times New Roman" w:hAnsi="Times New Roman"/>
          <w:sz w:val="20"/>
          <w:szCs w:val="20"/>
          <w:lang w:val="en-US"/>
        </w:rPr>
        <w:t>To reach our goal, a semi-</w:t>
      </w:r>
      <w:proofErr w:type="spellStart"/>
      <w:r>
        <w:rPr>
          <w:rFonts w:ascii="Times New Roman" w:hAnsi="Times New Roman"/>
          <w:sz w:val="20"/>
          <w:szCs w:val="20"/>
          <w:lang w:val="en-US"/>
        </w:rPr>
        <w:t>strutured</w:t>
      </w:r>
      <w:proofErr w:type="spellEnd"/>
      <w:r>
        <w:rPr>
          <w:rFonts w:ascii="Times New Roman" w:hAnsi="Times New Roman"/>
          <w:sz w:val="20"/>
          <w:szCs w:val="20"/>
          <w:lang w:val="en-US"/>
        </w:rPr>
        <w:t xml:space="preserve"> investigation </w:t>
      </w:r>
      <w:proofErr w:type="gramStart"/>
      <w:r>
        <w:rPr>
          <w:rFonts w:ascii="Times New Roman" w:hAnsi="Times New Roman"/>
          <w:sz w:val="20"/>
          <w:szCs w:val="20"/>
          <w:lang w:val="en-US"/>
        </w:rPr>
        <w:t>was conducted</w:t>
      </w:r>
      <w:proofErr w:type="gramEnd"/>
      <w:r>
        <w:rPr>
          <w:rFonts w:ascii="Times New Roman" w:hAnsi="Times New Roman"/>
          <w:sz w:val="20"/>
          <w:szCs w:val="20"/>
          <w:lang w:val="en-US"/>
        </w:rPr>
        <w:t xml:space="preserve"> in the meat grilling production shops focusing on the characteristics of the company, the method of preparation of the meat, the type of meat produced and methods of preserving meat. </w:t>
      </w:r>
      <w:proofErr w:type="gramStart"/>
      <w:r>
        <w:rPr>
          <w:rFonts w:ascii="Times New Roman" w:hAnsi="Times New Roman"/>
          <w:sz w:val="20"/>
          <w:szCs w:val="20"/>
          <w:lang w:val="en-US"/>
        </w:rPr>
        <w:t>A total of 50</w:t>
      </w:r>
      <w:proofErr w:type="gramEnd"/>
      <w:r>
        <w:rPr>
          <w:rFonts w:ascii="Times New Roman" w:hAnsi="Times New Roman"/>
          <w:sz w:val="20"/>
          <w:szCs w:val="20"/>
          <w:lang w:val="en-US"/>
        </w:rPr>
        <w:t xml:space="preserve"> samples of meats samples were analyzed for fecal coliforms, </w:t>
      </w:r>
      <w:r>
        <w:rPr>
          <w:rFonts w:ascii="Times New Roman" w:hAnsi="Times New Roman"/>
          <w:i/>
          <w:sz w:val="20"/>
          <w:szCs w:val="20"/>
          <w:lang w:val="en-US"/>
        </w:rPr>
        <w:t>Escherichia coli</w:t>
      </w:r>
      <w:r>
        <w:rPr>
          <w:rFonts w:ascii="Times New Roman" w:hAnsi="Times New Roman"/>
          <w:sz w:val="20"/>
          <w:szCs w:val="20"/>
          <w:lang w:val="en-US"/>
        </w:rPr>
        <w:t>, S</w:t>
      </w:r>
      <w:r>
        <w:rPr>
          <w:rFonts w:ascii="Times New Roman" w:hAnsi="Times New Roman"/>
          <w:i/>
          <w:sz w:val="20"/>
          <w:szCs w:val="20"/>
          <w:lang w:val="en-US"/>
        </w:rPr>
        <w:t>taphylococcus</w:t>
      </w:r>
      <w:r>
        <w:rPr>
          <w:rFonts w:ascii="Times New Roman" w:hAnsi="Times New Roman"/>
          <w:sz w:val="20"/>
          <w:szCs w:val="20"/>
          <w:lang w:val="en-US"/>
        </w:rPr>
        <w:t xml:space="preserve"> </w:t>
      </w:r>
      <w:proofErr w:type="spellStart"/>
      <w:r>
        <w:rPr>
          <w:rFonts w:ascii="Times New Roman" w:hAnsi="Times New Roman"/>
          <w:i/>
          <w:sz w:val="20"/>
          <w:szCs w:val="20"/>
          <w:lang w:val="en-US"/>
        </w:rPr>
        <w:t>spp</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sulphite</w:t>
      </w:r>
      <w:proofErr w:type="spellEnd"/>
      <w:r>
        <w:rPr>
          <w:rFonts w:ascii="Times New Roman" w:hAnsi="Times New Roman"/>
          <w:sz w:val="20"/>
          <w:szCs w:val="20"/>
          <w:lang w:val="en-US"/>
        </w:rPr>
        <w:t xml:space="preserve"> reducing anaerobes and total aerobic mesophilic counts. </w:t>
      </w:r>
      <w:r>
        <w:rPr>
          <w:rFonts w:ascii="Times New Roman" w:eastAsia="Calibri" w:hAnsi="Times New Roman"/>
          <w:sz w:val="20"/>
          <w:szCs w:val="20"/>
          <w:lang w:val="en-US" w:eastAsia="fr-FR"/>
        </w:rPr>
        <w:t xml:space="preserve">The susceptibility to conventional antibiotic </w:t>
      </w:r>
      <w:proofErr w:type="gramStart"/>
      <w:r>
        <w:rPr>
          <w:rFonts w:ascii="Times New Roman" w:eastAsia="Calibri" w:hAnsi="Times New Roman"/>
          <w:sz w:val="20"/>
          <w:szCs w:val="20"/>
          <w:lang w:val="en-US" w:eastAsia="fr-FR"/>
        </w:rPr>
        <w:t>was investigated</w:t>
      </w:r>
      <w:proofErr w:type="gramEnd"/>
      <w:r>
        <w:rPr>
          <w:rFonts w:ascii="Times New Roman" w:eastAsia="Calibri" w:hAnsi="Times New Roman"/>
          <w:sz w:val="20"/>
          <w:szCs w:val="20"/>
          <w:lang w:val="en-US" w:eastAsia="fr-FR"/>
        </w:rPr>
        <w:t xml:space="preserve"> by the disk diffusion method.</w:t>
      </w:r>
    </w:p>
    <w:p w:rsidR="005C06D5" w:rsidRDefault="005C06D5" w:rsidP="005C06D5">
      <w:pPr>
        <w:spacing w:before="120" w:after="120"/>
        <w:jc w:val="both"/>
        <w:rPr>
          <w:rFonts w:ascii="Times New Roman" w:hAnsi="Times New Roman"/>
          <w:sz w:val="20"/>
          <w:szCs w:val="20"/>
          <w:lang w:val="en-US"/>
        </w:rPr>
      </w:pPr>
      <w:r>
        <w:rPr>
          <w:rFonts w:ascii="Times New Roman" w:hAnsi="Times New Roman"/>
          <w:sz w:val="20"/>
          <w:szCs w:val="20"/>
          <w:lang w:val="en-US"/>
        </w:rPr>
        <w:t xml:space="preserve">The inspection of the meat grilling enterprises revealed that 73% of these companies are located on the edge of the high-traffic public road, 85% of which </w:t>
      </w:r>
      <w:proofErr w:type="gramStart"/>
      <w:r>
        <w:rPr>
          <w:rFonts w:ascii="Times New Roman" w:hAnsi="Times New Roman"/>
          <w:sz w:val="20"/>
          <w:szCs w:val="20"/>
          <w:lang w:val="en-US"/>
        </w:rPr>
        <w:t>is sold</w:t>
      </w:r>
      <w:proofErr w:type="gramEnd"/>
      <w:r>
        <w:rPr>
          <w:rFonts w:ascii="Times New Roman" w:hAnsi="Times New Roman"/>
          <w:sz w:val="20"/>
          <w:szCs w:val="20"/>
          <w:lang w:val="en-US"/>
        </w:rPr>
        <w:t xml:space="preserve"> by a person and 15% by 2 people. This activity </w:t>
      </w:r>
      <w:proofErr w:type="gramStart"/>
      <w:r>
        <w:rPr>
          <w:rFonts w:ascii="Times New Roman" w:hAnsi="Times New Roman"/>
          <w:sz w:val="20"/>
          <w:szCs w:val="20"/>
          <w:lang w:val="en-US"/>
        </w:rPr>
        <w:t>is conducted solely by men (100%) in Cotonou and dominated by Nigerians (57%)</w:t>
      </w:r>
      <w:proofErr w:type="gramEnd"/>
      <w:r>
        <w:rPr>
          <w:rFonts w:ascii="Times New Roman" w:hAnsi="Times New Roman"/>
          <w:sz w:val="20"/>
          <w:szCs w:val="20"/>
          <w:lang w:val="en-US"/>
        </w:rPr>
        <w:t xml:space="preserve">. Most of the grilled meats sell meat from both chickens and mutton (82%) and the majority (70%) get their supplies from slaughterhouses market. Before grilling operations, 97% of the sellers make a general cleaning and in case of slump 80% use the refrigeration to preserve their product. </w:t>
      </w:r>
      <w:r>
        <w:rPr>
          <w:rFonts w:ascii="Times New Roman" w:hAnsi="Times New Roman"/>
          <w:color w:val="000000"/>
          <w:sz w:val="20"/>
          <w:szCs w:val="20"/>
          <w:lang w:val="en-US"/>
        </w:rPr>
        <w:t xml:space="preserve">Total aerobic mesophilic flora, </w:t>
      </w:r>
      <w:r>
        <w:rPr>
          <w:rFonts w:ascii="Times New Roman" w:hAnsi="Times New Roman"/>
          <w:i/>
          <w:color w:val="000000"/>
          <w:sz w:val="20"/>
          <w:szCs w:val="20"/>
          <w:lang w:val="en-US"/>
        </w:rPr>
        <w:t>Staphylococcus</w:t>
      </w:r>
      <w:r>
        <w:rPr>
          <w:rFonts w:ascii="Times New Roman" w:hAnsi="Times New Roman"/>
          <w:color w:val="000000"/>
          <w:sz w:val="20"/>
          <w:szCs w:val="20"/>
          <w:lang w:val="en-US"/>
        </w:rPr>
        <w:t xml:space="preserve">, coliforms and </w:t>
      </w:r>
      <w:r>
        <w:rPr>
          <w:rFonts w:ascii="Times New Roman" w:hAnsi="Times New Roman"/>
          <w:i/>
          <w:color w:val="000000"/>
          <w:sz w:val="20"/>
          <w:szCs w:val="20"/>
          <w:lang w:val="en-US"/>
        </w:rPr>
        <w:t>Escherichia coli</w:t>
      </w:r>
      <w:r>
        <w:rPr>
          <w:rFonts w:ascii="Times New Roman" w:hAnsi="Times New Roman"/>
          <w:color w:val="000000"/>
          <w:sz w:val="20"/>
          <w:szCs w:val="20"/>
          <w:lang w:val="en-US"/>
        </w:rPr>
        <w:t xml:space="preserve"> load recorded with chicken samples are higher than those observed on mutton </w:t>
      </w:r>
      <w:proofErr w:type="gramStart"/>
      <w:r>
        <w:rPr>
          <w:rFonts w:ascii="Times New Roman" w:hAnsi="Times New Roman"/>
          <w:color w:val="000000"/>
          <w:sz w:val="20"/>
          <w:szCs w:val="20"/>
          <w:lang w:val="en-US"/>
        </w:rPr>
        <w:t>samples are</w:t>
      </w:r>
      <w:proofErr w:type="gramEnd"/>
      <w:r>
        <w:rPr>
          <w:rFonts w:ascii="Times New Roman" w:hAnsi="Times New Roman"/>
          <w:color w:val="000000"/>
          <w:sz w:val="20"/>
          <w:szCs w:val="20"/>
          <w:lang w:val="en-US"/>
        </w:rPr>
        <w:t xml:space="preserve">. Considering grilled mutton, </w:t>
      </w:r>
      <w:r>
        <w:rPr>
          <w:rFonts w:ascii="Times New Roman" w:hAnsi="Times New Roman"/>
          <w:i/>
          <w:color w:val="000000"/>
          <w:sz w:val="20"/>
          <w:szCs w:val="20"/>
          <w:lang w:val="en-US"/>
        </w:rPr>
        <w:t>Staphylococcus</w:t>
      </w:r>
      <w:r>
        <w:rPr>
          <w:rFonts w:ascii="Times New Roman" w:hAnsi="Times New Roman"/>
          <w:color w:val="000000"/>
          <w:sz w:val="20"/>
          <w:szCs w:val="20"/>
          <w:lang w:val="en-US"/>
        </w:rPr>
        <w:t xml:space="preserve"> load (6.9 X 10</w:t>
      </w:r>
      <w:r>
        <w:rPr>
          <w:rFonts w:ascii="Times New Roman" w:hAnsi="Times New Roman"/>
          <w:color w:val="000000"/>
          <w:sz w:val="20"/>
          <w:szCs w:val="20"/>
          <w:vertAlign w:val="superscript"/>
          <w:lang w:val="en-US"/>
        </w:rPr>
        <w:t>3</w:t>
      </w:r>
      <w:r>
        <w:rPr>
          <w:rFonts w:ascii="Times New Roman" w:hAnsi="Times New Roman"/>
          <w:color w:val="000000"/>
          <w:sz w:val="20"/>
          <w:szCs w:val="20"/>
          <w:lang w:val="en-US"/>
        </w:rPr>
        <w:t xml:space="preserve"> CFU/g) is higher than that of </w:t>
      </w:r>
      <w:r>
        <w:rPr>
          <w:rFonts w:ascii="Times New Roman" w:hAnsi="Times New Roman"/>
          <w:i/>
          <w:color w:val="000000"/>
          <w:sz w:val="20"/>
          <w:szCs w:val="20"/>
          <w:lang w:val="en-US"/>
        </w:rPr>
        <w:t>E. coli’s</w:t>
      </w:r>
      <w:r>
        <w:rPr>
          <w:rFonts w:ascii="Times New Roman" w:hAnsi="Times New Roman"/>
          <w:color w:val="000000"/>
          <w:sz w:val="20"/>
          <w:szCs w:val="20"/>
          <w:lang w:val="en-US"/>
        </w:rPr>
        <w:t xml:space="preserve"> (1.4X10</w:t>
      </w:r>
      <w:r>
        <w:rPr>
          <w:rFonts w:ascii="Times New Roman" w:hAnsi="Times New Roman"/>
          <w:color w:val="000000"/>
          <w:sz w:val="20"/>
          <w:szCs w:val="20"/>
          <w:vertAlign w:val="superscript"/>
          <w:lang w:val="en-US"/>
        </w:rPr>
        <w:t>2</w:t>
      </w:r>
      <w:r>
        <w:rPr>
          <w:rFonts w:ascii="Times New Roman" w:hAnsi="Times New Roman"/>
          <w:color w:val="000000"/>
          <w:sz w:val="20"/>
          <w:szCs w:val="20"/>
          <w:lang w:val="en-US"/>
        </w:rPr>
        <w:t xml:space="preserve"> CFU/g). </w:t>
      </w:r>
    </w:p>
    <w:p w:rsidR="005C06D5" w:rsidRDefault="005C06D5" w:rsidP="005C06D5">
      <w:pPr>
        <w:spacing w:before="120" w:after="120"/>
        <w:rPr>
          <w:rFonts w:ascii="Times New Roman" w:hAnsi="Times New Roman"/>
          <w:sz w:val="20"/>
          <w:szCs w:val="20"/>
          <w:lang w:val="en-US"/>
        </w:rPr>
      </w:pPr>
      <w:r>
        <w:rPr>
          <w:rFonts w:ascii="Times New Roman" w:hAnsi="Times New Roman"/>
          <w:sz w:val="20"/>
          <w:szCs w:val="20"/>
          <w:lang w:val="en-US"/>
        </w:rPr>
        <w:t xml:space="preserve">The </w:t>
      </w:r>
      <w:proofErr w:type="spellStart"/>
      <w:r w:rsidRPr="009A0D5D">
        <w:rPr>
          <w:rFonts w:ascii="Times New Roman" w:hAnsi="Times New Roman"/>
          <w:sz w:val="20"/>
          <w:szCs w:val="20"/>
          <w:lang w:val="en-GB"/>
        </w:rPr>
        <w:t>antibiogram</w:t>
      </w:r>
      <w:proofErr w:type="spellEnd"/>
      <w:r>
        <w:rPr>
          <w:rFonts w:ascii="Times New Roman" w:hAnsi="Times New Roman"/>
          <w:sz w:val="20"/>
          <w:szCs w:val="20"/>
          <w:lang w:val="en-US"/>
        </w:rPr>
        <w:t xml:space="preserve"> test on strains of </w:t>
      </w:r>
      <w:r>
        <w:rPr>
          <w:rFonts w:ascii="Times New Roman" w:hAnsi="Times New Roman"/>
          <w:i/>
          <w:sz w:val="20"/>
          <w:szCs w:val="20"/>
          <w:lang w:val="en-US"/>
        </w:rPr>
        <w:t>Staphylococcus</w:t>
      </w:r>
      <w:r>
        <w:rPr>
          <w:rFonts w:ascii="Times New Roman" w:hAnsi="Times New Roman"/>
          <w:sz w:val="20"/>
          <w:szCs w:val="20"/>
          <w:lang w:val="en-US"/>
        </w:rPr>
        <w:t xml:space="preserve"> to reveal overall that the resistance rates of </w:t>
      </w:r>
      <w:r>
        <w:rPr>
          <w:rFonts w:ascii="Times New Roman" w:hAnsi="Times New Roman"/>
          <w:i/>
          <w:sz w:val="20"/>
          <w:szCs w:val="20"/>
          <w:lang w:val="en-US"/>
        </w:rPr>
        <w:t>Staphylococcus</w:t>
      </w:r>
      <w:r>
        <w:rPr>
          <w:rFonts w:ascii="Times New Roman" w:hAnsi="Times New Roman"/>
          <w:sz w:val="20"/>
          <w:szCs w:val="20"/>
          <w:lang w:val="en-US"/>
        </w:rPr>
        <w:t xml:space="preserve"> strains to antibiotics are less than or equal to 50% regardless of the antibiotic with a very strong inhibitory activity (98% inhibition) vancomycin and ciprofloxacin. </w:t>
      </w:r>
    </w:p>
    <w:p w:rsidR="005C06D5" w:rsidRDefault="005C06D5" w:rsidP="005C06D5">
      <w:pPr>
        <w:rPr>
          <w:rFonts w:ascii="Times New Roman" w:hAnsi="Times New Roman"/>
          <w:sz w:val="24"/>
          <w:lang w:val="en-US"/>
        </w:rPr>
      </w:pPr>
      <w:r>
        <w:rPr>
          <w:rFonts w:ascii="Times New Roman" w:hAnsi="Times New Roman"/>
          <w:b/>
          <w:sz w:val="24"/>
          <w:lang w:val="en-US"/>
        </w:rPr>
        <w:t>Key words</w:t>
      </w:r>
      <w:r>
        <w:rPr>
          <w:rFonts w:ascii="Times New Roman" w:hAnsi="Times New Roman"/>
          <w:sz w:val="24"/>
          <w:lang w:val="en-US"/>
        </w:rPr>
        <w:t xml:space="preserve">: </w:t>
      </w:r>
      <w:r>
        <w:rPr>
          <w:rFonts w:ascii="Times New Roman" w:hAnsi="Times New Roman"/>
          <w:sz w:val="20"/>
          <w:lang w:val="en-US"/>
        </w:rPr>
        <w:t>Grilling, Risk factors, Meats, Microbiological quality, Benin.</w:t>
      </w:r>
    </w:p>
    <w:p w:rsidR="00DA1CA9" w:rsidRPr="005C06D5" w:rsidRDefault="00DA1CA9">
      <w:pPr>
        <w:rPr>
          <w:lang w:val="en-US"/>
        </w:rPr>
      </w:pPr>
    </w:p>
    <w:sectPr w:rsidR="00DA1CA9" w:rsidRPr="005C06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D5"/>
    <w:rsid w:val="0010316C"/>
    <w:rsid w:val="005C06D5"/>
    <w:rsid w:val="0074541E"/>
    <w:rsid w:val="00A5166D"/>
    <w:rsid w:val="00C964EE"/>
    <w:rsid w:val="00DA1C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CD29"/>
  <w15:chartTrackingRefBased/>
  <w15:docId w15:val="{D9503AC8-593A-4B55-88E6-43E3C4B8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6D5"/>
    <w:rPr>
      <w:rFonts w:ascii="Calibri" w:eastAsia="DengXi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5C06D5"/>
    <w:rPr>
      <w:color w:val="0000FF"/>
      <w:u w:val="single"/>
    </w:rPr>
  </w:style>
  <w:style w:type="paragraph" w:customStyle="1" w:styleId="04CorrespondingAuthorEmail">
    <w:name w:val="04 Corresponding Author Email"/>
    <w:basedOn w:val="Normal"/>
    <w:next w:val="Normal"/>
    <w:qFormat/>
    <w:rsid w:val="005C06D5"/>
    <w:pPr>
      <w:spacing w:after="156" w:line="220" w:lineRule="exact"/>
      <w:jc w:val="center"/>
    </w:pPr>
    <w:rPr>
      <w:rFonts w:ascii="Times New Roman" w:eastAsia="SimSun" w:hAnsi="Times New Roman"/>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437</Words>
  <Characters>2404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Haziz sina</dc:creator>
  <cp:keywords/>
  <dc:description/>
  <cp:lastModifiedBy>Haziz sina</cp:lastModifiedBy>
  <cp:revision>1</cp:revision>
  <dcterms:created xsi:type="dcterms:W3CDTF">2019-10-04T21:10:00Z</dcterms:created>
  <dcterms:modified xsi:type="dcterms:W3CDTF">2019-10-04T21:17:00Z</dcterms:modified>
</cp:coreProperties>
</file>