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0349" w:rsidRDefault="009C36AF" w:rsidP="009C36AF">
      <w:pPr>
        <w:jc w:val="both"/>
      </w:pPr>
      <w:r w:rsidRPr="001A5940">
        <w:rPr>
          <w:b/>
        </w:rPr>
        <w:t>Title:</w:t>
      </w:r>
      <w:r w:rsidR="00B60349">
        <w:t xml:space="preserve"> </w:t>
      </w:r>
      <w:r w:rsidR="00B60349" w:rsidRPr="00B60349">
        <w:rPr>
          <w:lang w:val="en-US"/>
        </w:rPr>
        <w:t>Application of Lattice Boltzmann Method to different boundary conditions in a two dimensional enclosure</w:t>
      </w:r>
      <w:r w:rsidR="00B60349">
        <w:rPr>
          <w:lang w:val="en-US"/>
        </w:rPr>
        <w:t>.</w:t>
      </w:r>
    </w:p>
    <w:p w:rsidR="009C36AF" w:rsidRPr="001A5940" w:rsidRDefault="00B60349" w:rsidP="009C36AF">
      <w:pPr>
        <w:jc w:val="both"/>
        <w:rPr>
          <w:b/>
          <w:position w:val="9"/>
          <w:sz w:val="12"/>
        </w:rPr>
      </w:pPr>
      <w:r>
        <w:rPr>
          <w:b/>
        </w:rPr>
        <w:t>JEAN YVES TREPANIER</w:t>
      </w:r>
      <w:r w:rsidR="009C36AF" w:rsidRPr="001A5940">
        <w:rPr>
          <w:b/>
          <w:position w:val="9"/>
          <w:sz w:val="12"/>
        </w:rPr>
        <w:t>1</w:t>
      </w:r>
      <w:r>
        <w:rPr>
          <w:b/>
        </w:rPr>
        <w:t>, SAMI AMMAR</w:t>
      </w:r>
      <w:hyperlink r:id="rId7" w:anchor="a1">
        <w:r>
          <w:rPr>
            <w:b/>
            <w:position w:val="9"/>
            <w:sz w:val="12"/>
          </w:rPr>
          <w:t>2</w:t>
        </w:r>
        <w:r w:rsidR="009C36AF" w:rsidRPr="001A5940">
          <w:rPr>
            <w:b/>
          </w:rPr>
          <w:t>,</w:t>
        </w:r>
      </w:hyperlink>
      <w:r>
        <w:rPr>
          <w:b/>
        </w:rPr>
        <w:t xml:space="preserve">  SAGNIK BANIK</w:t>
      </w:r>
      <w:r>
        <w:rPr>
          <w:b/>
          <w:position w:val="9"/>
          <w:sz w:val="12"/>
        </w:rPr>
        <w:t>3</w:t>
      </w:r>
    </w:p>
    <w:p w:rsidR="009C36AF" w:rsidRPr="00A52758" w:rsidRDefault="009C36AF" w:rsidP="009C36AF">
      <w:pPr>
        <w:jc w:val="both"/>
      </w:pPr>
      <w:r w:rsidRPr="00A52758">
        <w:rPr>
          <w:position w:val="9"/>
        </w:rPr>
        <w:t>1</w:t>
      </w:r>
      <w:r w:rsidR="00B60349">
        <w:t>Department of Mechanical Engineering, Polytechnique Montreal, Canada</w:t>
      </w:r>
    </w:p>
    <w:p w:rsidR="009C36AF" w:rsidRDefault="009C36AF" w:rsidP="009C36AF">
      <w:pPr>
        <w:jc w:val="both"/>
      </w:pPr>
      <w:r w:rsidRPr="00A52758">
        <w:rPr>
          <w:position w:val="9"/>
        </w:rPr>
        <w:t>2</w:t>
      </w:r>
      <w:r w:rsidR="00B60349">
        <w:t>Department of Mechanical Engineering, Polytechnique Montreal, Canada</w:t>
      </w:r>
    </w:p>
    <w:p w:rsidR="00B60349" w:rsidRPr="00B60349" w:rsidRDefault="00B60349" w:rsidP="009C36AF">
      <w:pPr>
        <w:jc w:val="both"/>
      </w:pPr>
      <w:r>
        <w:rPr>
          <w:position w:val="9"/>
        </w:rPr>
        <w:t>3</w:t>
      </w:r>
      <w:r>
        <w:t>Department</w:t>
      </w:r>
      <w:r>
        <w:t xml:space="preserve"> of Aerospace Engineering</w:t>
      </w:r>
      <w:r>
        <w:t>,</w:t>
      </w:r>
      <w:r>
        <w:t xml:space="preserve"> Indian Institute of Engineering Science and Technology, India</w:t>
      </w:r>
    </w:p>
    <w:p w:rsidR="00B60349" w:rsidRDefault="00B60349" w:rsidP="00B60349">
      <w:pPr>
        <w:jc w:val="both"/>
        <w:rPr>
          <w:b/>
        </w:rPr>
      </w:pPr>
      <w:r>
        <w:rPr>
          <w:b/>
        </w:rPr>
        <w:t>Abstract Body:</w:t>
      </w:r>
    </w:p>
    <w:p w:rsidR="00B60349" w:rsidRPr="00B60349" w:rsidRDefault="00455F1E" w:rsidP="00B60349">
      <w:pPr>
        <w:jc w:val="both"/>
      </w:pPr>
      <w:r>
        <w:rPr>
          <w:bCs/>
          <w:lang w:val="en-US"/>
        </w:rPr>
        <w:t>The Lattice Boltzmann method is used to study three different test cases in a confined domain under different boundary schemes.</w:t>
      </w:r>
    </w:p>
    <w:p w:rsidR="00B60349" w:rsidRPr="00B60349" w:rsidRDefault="00B60349" w:rsidP="00B60349">
      <w:pPr>
        <w:jc w:val="both"/>
        <w:rPr>
          <w:bCs/>
          <w:lang w:val="en-US"/>
        </w:rPr>
      </w:pPr>
      <w:r w:rsidRPr="00B60349">
        <w:rPr>
          <w:bCs/>
          <w:lang w:val="en-US"/>
        </w:rPr>
        <w:tab/>
        <w:t>1. An SRT (Single Relaxation Time) approach in the Lattice Boltzmann model is used to simulate Lid Driven Cavity flow for different Reynolds Number (100, 400 and 1000) with a domain aspect ratio of 1 i.e. square cavity. A moment based boundary condition is used for more accurate results.</w:t>
      </w:r>
    </w:p>
    <w:p w:rsidR="00B60349" w:rsidRPr="00B60349" w:rsidRDefault="00B60349" w:rsidP="00B60349">
      <w:pPr>
        <w:jc w:val="both"/>
        <w:rPr>
          <w:bCs/>
          <w:lang w:val="en-US"/>
        </w:rPr>
      </w:pPr>
      <w:r w:rsidRPr="00B60349">
        <w:rPr>
          <w:bCs/>
          <w:lang w:val="en-US"/>
        </w:rPr>
        <w:tab/>
        <w:t>2. A Thermal Lattice BGK (</w:t>
      </w:r>
      <w:proofErr w:type="spellStart"/>
      <w:r w:rsidRPr="00B60349">
        <w:rPr>
          <w:bCs/>
          <w:lang w:val="en-US"/>
        </w:rPr>
        <w:t>Bhatnagar</w:t>
      </w:r>
      <w:proofErr w:type="spellEnd"/>
      <w:r w:rsidRPr="00B60349">
        <w:rPr>
          <w:bCs/>
          <w:lang w:val="en-US"/>
        </w:rPr>
        <w:t>-Gross-</w:t>
      </w:r>
      <w:proofErr w:type="spellStart"/>
      <w:r w:rsidRPr="00B60349">
        <w:rPr>
          <w:bCs/>
          <w:lang w:val="en-US"/>
        </w:rPr>
        <w:t>Krook</w:t>
      </w:r>
      <w:proofErr w:type="spellEnd"/>
      <w:r w:rsidRPr="00B60349">
        <w:rPr>
          <w:bCs/>
          <w:lang w:val="en-US"/>
        </w:rPr>
        <w:t xml:space="preserve">) Model is developed for the Rayleigh </w:t>
      </w:r>
      <w:proofErr w:type="spellStart"/>
      <w:r w:rsidRPr="00B60349">
        <w:rPr>
          <w:bCs/>
          <w:lang w:val="en-US"/>
        </w:rPr>
        <w:t>Benard</w:t>
      </w:r>
      <w:proofErr w:type="spellEnd"/>
      <w:r w:rsidRPr="00B60349">
        <w:rPr>
          <w:bCs/>
          <w:lang w:val="en-US"/>
        </w:rPr>
        <w:t xml:space="preserve"> convection for both test cases - Horizontal and Vertical Temperature difference, considered separately for a </w:t>
      </w:r>
      <w:proofErr w:type="spellStart"/>
      <w:r w:rsidRPr="00B60349">
        <w:rPr>
          <w:bCs/>
          <w:lang w:val="en-US"/>
        </w:rPr>
        <w:t>Boussinesq</w:t>
      </w:r>
      <w:proofErr w:type="spellEnd"/>
      <w:r w:rsidRPr="00B60349">
        <w:rPr>
          <w:bCs/>
          <w:lang w:val="en-US"/>
        </w:rPr>
        <w:t xml:space="preserve"> incompressible fluid. The Rayleigh number is varied for both the test cases (10^3≤Ra≤</w:t>
      </w:r>
      <w:r w:rsidRPr="00B60349">
        <w:rPr>
          <w:rFonts w:hint="eastAsia"/>
          <w:bCs/>
          <w:lang w:val="en-US"/>
        </w:rPr>
        <w:t>10</w:t>
      </w:r>
      <w:r w:rsidRPr="00B60349">
        <w:rPr>
          <w:bCs/>
          <w:lang w:val="en-US"/>
        </w:rPr>
        <w:t xml:space="preserve">^6) keeping the </w:t>
      </w:r>
      <w:proofErr w:type="spellStart"/>
      <w:r w:rsidRPr="00B60349">
        <w:rPr>
          <w:bCs/>
          <w:lang w:val="en-US"/>
        </w:rPr>
        <w:t>Prandtl</w:t>
      </w:r>
      <w:proofErr w:type="spellEnd"/>
      <w:r w:rsidRPr="00B60349">
        <w:rPr>
          <w:bCs/>
          <w:lang w:val="en-US"/>
        </w:rPr>
        <w:t xml:space="preserve"> number at 0.71.A stability criteria with a precise forcing scheme is used for a greater level of accuracy.</w:t>
      </w:r>
    </w:p>
    <w:p w:rsidR="00B60349" w:rsidRPr="00B60349" w:rsidRDefault="00B60349" w:rsidP="00B60349">
      <w:pPr>
        <w:jc w:val="both"/>
        <w:rPr>
          <w:bCs/>
          <w:lang w:val="en-US"/>
        </w:rPr>
      </w:pPr>
      <w:r w:rsidRPr="00B60349">
        <w:rPr>
          <w:bCs/>
          <w:lang w:val="en-US"/>
        </w:rPr>
        <w:tab/>
        <w:t>3. The phase change problem governed by the heat-conduction equation is studied using the enthalpy based Lattice Boltzmann Model with a single iteration for each time step thus reducing the computational time. A double distribution function approach with D2Q9 (density) model and D2Q5 (temperature) model is used for two different test cases-the conduction dominated melting and the convection dominated melting. The solidification process is also simulated using the enthalpy based method with a single distribution function using the D2Q5 model to provide a better understanding of the heat transport phenomenon.</w:t>
      </w:r>
    </w:p>
    <w:p w:rsidR="00B60349" w:rsidRPr="00B60349" w:rsidRDefault="00B60349" w:rsidP="009C36AF">
      <w:pPr>
        <w:jc w:val="both"/>
        <w:rPr>
          <w:bCs/>
          <w:lang w:val="en-US"/>
        </w:rPr>
      </w:pPr>
      <w:r w:rsidRPr="00B60349">
        <w:rPr>
          <w:bCs/>
          <w:lang w:val="en-US"/>
        </w:rPr>
        <w:t xml:space="preserve">The domain for the test cases has an aspect ratio of 2 with some exceptions for a square cavity. An approximate velocity scale is chosen to ensure that the simulations are within the incompressible regime. Different parameters like velocities, temperature, </w:t>
      </w:r>
      <w:proofErr w:type="spellStart"/>
      <w:r w:rsidRPr="00B60349">
        <w:rPr>
          <w:bCs/>
          <w:lang w:val="en-US"/>
        </w:rPr>
        <w:t>Nusselt</w:t>
      </w:r>
      <w:proofErr w:type="spellEnd"/>
      <w:r w:rsidRPr="00B60349">
        <w:rPr>
          <w:bCs/>
          <w:lang w:val="en-US"/>
        </w:rPr>
        <w:t xml:space="preserve"> number etc. are calculated for a comparative study with the existing literatures. The simulated results demonstrate excellent agreement with the existing benchmark solution within an error limit of ±0.05 implicate the viability of this method for complex fluid flow problems.</w:t>
      </w:r>
    </w:p>
    <w:p w:rsidR="00B60349" w:rsidRPr="009C36AF" w:rsidRDefault="00B60349" w:rsidP="009C36AF">
      <w:pPr>
        <w:jc w:val="both"/>
        <w:rPr>
          <w:b/>
        </w:rPr>
      </w:pPr>
    </w:p>
    <w:p w:rsidR="009C36AF" w:rsidRPr="009C36AF" w:rsidRDefault="009C36AF" w:rsidP="009C36AF">
      <w:pPr>
        <w:jc w:val="both"/>
        <w:rPr>
          <w:b/>
        </w:rPr>
      </w:pPr>
      <w:r w:rsidRPr="009C36AF">
        <w:rPr>
          <w:b/>
        </w:rPr>
        <w:t>Biography:</w:t>
      </w:r>
    </w:p>
    <w:p w:rsidR="00455F1E" w:rsidRDefault="00455F1E" w:rsidP="009C36AF">
      <w:pPr>
        <w:jc w:val="both"/>
      </w:pPr>
      <w:r>
        <w:t xml:space="preserve">Jean Yves </w:t>
      </w:r>
      <w:proofErr w:type="spellStart"/>
      <w:r>
        <w:t>Trepanier</w:t>
      </w:r>
      <w:proofErr w:type="spellEnd"/>
      <w:r w:rsidR="009C36AF" w:rsidRPr="00A52758">
        <w:t xml:space="preserve"> </w:t>
      </w:r>
      <w:r>
        <w:t>is a professor at Polytechnique Montreal</w:t>
      </w:r>
      <w:r w:rsidR="00C46F81">
        <w:t>, Canada</w:t>
      </w:r>
      <w:r>
        <w:t xml:space="preserve"> and is a part of Directory of </w:t>
      </w:r>
      <w:r w:rsidR="00C46F81">
        <w:t>Experts. He</w:t>
      </w:r>
      <w:r>
        <w:t xml:space="preserve"> has </w:t>
      </w:r>
      <w:r w:rsidR="00C46F81">
        <w:t>published</w:t>
      </w:r>
      <w:r>
        <w:t xml:space="preserve"> more than 180 </w:t>
      </w:r>
      <w:r w:rsidR="00C46F81">
        <w:t>research</w:t>
      </w:r>
      <w:r>
        <w:t xml:space="preserve"> papers.</w:t>
      </w:r>
    </w:p>
    <w:p w:rsidR="00455F1E" w:rsidRPr="00A52758" w:rsidRDefault="00455F1E" w:rsidP="009C36AF">
      <w:pPr>
        <w:jc w:val="both"/>
      </w:pPr>
      <w:proofErr w:type="spellStart"/>
      <w:r>
        <w:t>Sagnik</w:t>
      </w:r>
      <w:proofErr w:type="spellEnd"/>
      <w:r>
        <w:t xml:space="preserve"> </w:t>
      </w:r>
      <w:proofErr w:type="spellStart"/>
      <w:r>
        <w:t>Banik</w:t>
      </w:r>
      <w:proofErr w:type="spellEnd"/>
      <w:r>
        <w:t xml:space="preserve"> is a </w:t>
      </w:r>
      <w:r w:rsidR="00C46F81">
        <w:t xml:space="preserve">final year </w:t>
      </w:r>
      <w:r>
        <w:t>student at Indian Institute of Eng</w:t>
      </w:r>
      <w:r w:rsidR="00C46F81">
        <w:t xml:space="preserve">ineering Science and Technology, India with major in Aerospace Engineering and Applied Mechanics. </w:t>
      </w:r>
    </w:p>
    <w:p w:rsidR="00455F1E" w:rsidRDefault="00455F1E" w:rsidP="009C36AF">
      <w:pPr>
        <w:jc w:val="both"/>
        <w:rPr>
          <w:b/>
        </w:rPr>
      </w:pPr>
    </w:p>
    <w:p w:rsidR="009C36AF" w:rsidRPr="009C36AF" w:rsidRDefault="00455F1E" w:rsidP="009C36AF">
      <w:pPr>
        <w:jc w:val="both"/>
        <w:rPr>
          <w:b/>
        </w:rPr>
      </w:pPr>
      <w:r w:rsidRPr="00A52758">
        <w:rPr>
          <w:noProof/>
          <w:lang w:val="en-US"/>
        </w:rPr>
        <w:lastRenderedPageBreak/>
        <w:drawing>
          <wp:anchor distT="0" distB="0" distL="0" distR="0" simplePos="0" relativeHeight="251659264" behindDoc="1" locked="0" layoutInCell="1" allowOverlap="1" wp14:anchorId="1E67F6DF" wp14:editId="15767C44">
            <wp:simplePos x="0" y="0"/>
            <wp:positionH relativeFrom="page">
              <wp:posOffset>3147060</wp:posOffset>
            </wp:positionH>
            <wp:positionV relativeFrom="paragraph">
              <wp:posOffset>9525</wp:posOffset>
            </wp:positionV>
            <wp:extent cx="1250315" cy="1028700"/>
            <wp:effectExtent l="0" t="0" r="6985" b="0"/>
            <wp:wrapThrough wrapText="bothSides">
              <wp:wrapPolygon edited="0">
                <wp:start x="0" y="0"/>
                <wp:lineTo x="0" y="21200"/>
                <wp:lineTo x="21392" y="21200"/>
                <wp:lineTo x="21392" y="0"/>
                <wp:lineTo x="0" y="0"/>
              </wp:wrapPolygon>
            </wp:wrapThrough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1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C36AF" w:rsidRPr="009C36AF">
        <w:rPr>
          <w:b/>
        </w:rPr>
        <w:t>Presenting author details:</w:t>
      </w:r>
    </w:p>
    <w:p w:rsidR="009C36AF" w:rsidRDefault="009C36AF" w:rsidP="009C36AF">
      <w:pPr>
        <w:jc w:val="both"/>
      </w:pPr>
      <w:r>
        <w:t>Full Name:</w:t>
      </w:r>
      <w:r w:rsidR="00C46F81">
        <w:t xml:space="preserve"> </w:t>
      </w:r>
      <w:proofErr w:type="spellStart"/>
      <w:r w:rsidR="00C46F81">
        <w:t>Sagnik</w:t>
      </w:r>
      <w:proofErr w:type="spellEnd"/>
      <w:r w:rsidR="00C46F81">
        <w:t xml:space="preserve"> </w:t>
      </w:r>
      <w:proofErr w:type="spellStart"/>
      <w:r w:rsidR="00C46F81">
        <w:t>Banik</w:t>
      </w:r>
      <w:proofErr w:type="spellEnd"/>
    </w:p>
    <w:p w:rsidR="009C36AF" w:rsidRDefault="009C36AF" w:rsidP="009C36AF">
      <w:pPr>
        <w:jc w:val="both"/>
      </w:pPr>
      <w:r>
        <w:t>Contact number:</w:t>
      </w:r>
      <w:r w:rsidR="00C46F81">
        <w:t xml:space="preserve"> +91-8240810776</w:t>
      </w:r>
      <w:bookmarkStart w:id="0" w:name="_GoBack"/>
      <w:bookmarkEnd w:id="0"/>
    </w:p>
    <w:p w:rsidR="009C36AF" w:rsidRDefault="009C36AF" w:rsidP="009C36AF">
      <w:pPr>
        <w:jc w:val="both"/>
      </w:pPr>
      <w:r>
        <w:t>Email Id:</w:t>
      </w:r>
      <w:r w:rsidR="00C46F81">
        <w:t>sagnikbanik121@gmail.com</w:t>
      </w:r>
    </w:p>
    <w:p w:rsidR="009C36AF" w:rsidRDefault="009C36AF" w:rsidP="009C36AF">
      <w:pPr>
        <w:jc w:val="both"/>
      </w:pPr>
      <w:r>
        <w:t xml:space="preserve">Category: </w:t>
      </w:r>
      <w:r w:rsidR="00C46F81">
        <w:t>Poster Presentation</w:t>
      </w:r>
    </w:p>
    <w:p w:rsidR="009C36AF" w:rsidRPr="00A52758" w:rsidRDefault="009C36AF" w:rsidP="009C36AF">
      <w:pPr>
        <w:jc w:val="both"/>
      </w:pPr>
    </w:p>
    <w:p w:rsidR="009C36AF" w:rsidRPr="00A52758" w:rsidRDefault="009C36AF" w:rsidP="009C36AF">
      <w:pPr>
        <w:jc w:val="both"/>
      </w:pPr>
    </w:p>
    <w:p w:rsidR="009C36AF" w:rsidRPr="00A52758" w:rsidRDefault="009C36AF" w:rsidP="009C36AF">
      <w:pPr>
        <w:jc w:val="both"/>
      </w:pPr>
    </w:p>
    <w:p w:rsidR="004F753D" w:rsidRDefault="004F753D" w:rsidP="009C36AF">
      <w:pPr>
        <w:jc w:val="both"/>
      </w:pPr>
    </w:p>
    <w:sectPr w:rsidR="004F753D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6E3F" w:rsidRDefault="000F6E3F" w:rsidP="009C36AF">
      <w:pPr>
        <w:spacing w:after="0" w:line="240" w:lineRule="auto"/>
      </w:pPr>
      <w:r>
        <w:separator/>
      </w:r>
    </w:p>
  </w:endnote>
  <w:endnote w:type="continuationSeparator" w:id="0">
    <w:p w:rsidR="000F6E3F" w:rsidRDefault="000F6E3F" w:rsidP="009C36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6E3F" w:rsidRDefault="000F6E3F" w:rsidP="009C36AF">
      <w:pPr>
        <w:spacing w:after="0" w:line="240" w:lineRule="auto"/>
      </w:pPr>
      <w:r>
        <w:separator/>
      </w:r>
    </w:p>
  </w:footnote>
  <w:footnote w:type="continuationSeparator" w:id="0">
    <w:p w:rsidR="000F6E3F" w:rsidRDefault="000F6E3F" w:rsidP="009C36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69E9" w:rsidRPr="000E677E" w:rsidRDefault="000E677E" w:rsidP="000E677E">
    <w:pPr>
      <w:pStyle w:val="Header"/>
    </w:pPr>
    <w:r>
      <w:rPr>
        <w:noProof/>
        <w:lang w:val="en-US"/>
      </w:rPr>
      <w:drawing>
        <wp:inline distT="0" distB="0" distL="0" distR="0">
          <wp:extent cx="5740779" cy="7429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luiddynamics_2020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0592" cy="7442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883749"/>
    <w:multiLevelType w:val="hybridMultilevel"/>
    <w:tmpl w:val="FFC6197A"/>
    <w:lvl w:ilvl="0" w:tplc="9CA26D8C">
      <w:start w:val="1"/>
      <w:numFmt w:val="upperRoman"/>
      <w:lvlText w:val="%1."/>
      <w:lvlJc w:val="left"/>
      <w:pPr>
        <w:ind w:left="11" w:hanging="72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371" w:hanging="360"/>
      </w:pPr>
    </w:lvl>
    <w:lvl w:ilvl="2" w:tplc="4009001B" w:tentative="1">
      <w:start w:val="1"/>
      <w:numFmt w:val="lowerRoman"/>
      <w:lvlText w:val="%3."/>
      <w:lvlJc w:val="right"/>
      <w:pPr>
        <w:ind w:left="1091" w:hanging="180"/>
      </w:pPr>
    </w:lvl>
    <w:lvl w:ilvl="3" w:tplc="4009000F" w:tentative="1">
      <w:start w:val="1"/>
      <w:numFmt w:val="decimal"/>
      <w:lvlText w:val="%4."/>
      <w:lvlJc w:val="left"/>
      <w:pPr>
        <w:ind w:left="1811" w:hanging="360"/>
      </w:pPr>
    </w:lvl>
    <w:lvl w:ilvl="4" w:tplc="40090019" w:tentative="1">
      <w:start w:val="1"/>
      <w:numFmt w:val="lowerLetter"/>
      <w:lvlText w:val="%5."/>
      <w:lvlJc w:val="left"/>
      <w:pPr>
        <w:ind w:left="2531" w:hanging="360"/>
      </w:pPr>
    </w:lvl>
    <w:lvl w:ilvl="5" w:tplc="4009001B" w:tentative="1">
      <w:start w:val="1"/>
      <w:numFmt w:val="lowerRoman"/>
      <w:lvlText w:val="%6."/>
      <w:lvlJc w:val="right"/>
      <w:pPr>
        <w:ind w:left="3251" w:hanging="180"/>
      </w:pPr>
    </w:lvl>
    <w:lvl w:ilvl="6" w:tplc="4009000F" w:tentative="1">
      <w:start w:val="1"/>
      <w:numFmt w:val="decimal"/>
      <w:lvlText w:val="%7."/>
      <w:lvlJc w:val="left"/>
      <w:pPr>
        <w:ind w:left="3971" w:hanging="360"/>
      </w:pPr>
    </w:lvl>
    <w:lvl w:ilvl="7" w:tplc="40090019" w:tentative="1">
      <w:start w:val="1"/>
      <w:numFmt w:val="lowerLetter"/>
      <w:lvlText w:val="%8."/>
      <w:lvlJc w:val="left"/>
      <w:pPr>
        <w:ind w:left="4691" w:hanging="360"/>
      </w:pPr>
    </w:lvl>
    <w:lvl w:ilvl="8" w:tplc="4009001B" w:tentative="1">
      <w:start w:val="1"/>
      <w:numFmt w:val="lowerRoman"/>
      <w:lvlText w:val="%9."/>
      <w:lvlJc w:val="right"/>
      <w:pPr>
        <w:ind w:left="541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6AF"/>
    <w:rsid w:val="000544DE"/>
    <w:rsid w:val="000E677E"/>
    <w:rsid w:val="000F6E3F"/>
    <w:rsid w:val="001A5940"/>
    <w:rsid w:val="00401E15"/>
    <w:rsid w:val="00455F1E"/>
    <w:rsid w:val="004F753D"/>
    <w:rsid w:val="005915D9"/>
    <w:rsid w:val="005C6F91"/>
    <w:rsid w:val="00601435"/>
    <w:rsid w:val="00664FC4"/>
    <w:rsid w:val="009C36AF"/>
    <w:rsid w:val="00B5702C"/>
    <w:rsid w:val="00B60349"/>
    <w:rsid w:val="00C46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010640"/>
  <w15:docId w15:val="{453F3CA3-4E94-4CF8-B616-1A4B118DF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6AF"/>
    <w:pPr>
      <w:spacing w:after="160" w:line="259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6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6AF"/>
  </w:style>
  <w:style w:type="paragraph" w:styleId="Footer">
    <w:name w:val="footer"/>
    <w:basedOn w:val="Normal"/>
    <w:link w:val="FooterChar"/>
    <w:uiPriority w:val="99"/>
    <w:unhideWhenUsed/>
    <w:rsid w:val="009C36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6AF"/>
  </w:style>
  <w:style w:type="paragraph" w:styleId="BodyText">
    <w:name w:val="Body Text"/>
    <w:basedOn w:val="Normal"/>
    <w:link w:val="BodyTextChar"/>
    <w:uiPriority w:val="1"/>
    <w:qFormat/>
    <w:rsid w:val="009C36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9"/>
      <w:szCs w:val="19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9C36AF"/>
    <w:rPr>
      <w:rFonts w:ascii="Times New Roman" w:eastAsia="Times New Roman" w:hAnsi="Times New Roman" w:cs="Times New Roman"/>
      <w:sz w:val="19"/>
      <w:szCs w:val="19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36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6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://www.openaccessjournals.com/articles/major-risk-factors-for-atherosclerosis-and-metabolic-syndrome-the-uhs-12178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Fitness Expo 2018</dc:creator>
  <cp:lastModifiedBy>baniksagnik121@gmail.com</cp:lastModifiedBy>
  <cp:revision>2</cp:revision>
  <dcterms:created xsi:type="dcterms:W3CDTF">2019-09-11T04:14:00Z</dcterms:created>
  <dcterms:modified xsi:type="dcterms:W3CDTF">2019-09-11T04:14:00Z</dcterms:modified>
</cp:coreProperties>
</file>