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823" w:rsidRDefault="00365823">
      <w:pPr>
        <w:rPr>
          <w:rFonts w:ascii="Times New Roman" w:hAnsi="Times New Roman" w:cs="Times New Roman"/>
          <w:color w:val="242021"/>
          <w:sz w:val="40"/>
          <w:szCs w:val="40"/>
        </w:rPr>
      </w:pPr>
      <w:r>
        <w:rPr>
          <w:rFonts w:ascii="Times New Roman" w:hAnsi="Times New Roman" w:cs="Times New Roman"/>
          <w:color w:val="242021"/>
          <w:sz w:val="40"/>
          <w:szCs w:val="40"/>
        </w:rPr>
        <w:t>Poster</w:t>
      </w:r>
      <w:bookmarkStart w:id="0" w:name="_GoBack"/>
      <w:bookmarkEnd w:id="0"/>
    </w:p>
    <w:p w:rsidR="00365823" w:rsidRPr="00365823" w:rsidRDefault="00365823">
      <w:pPr>
        <w:rPr>
          <w:rFonts w:ascii="Times New Roman" w:hAnsi="Times New Roman" w:cs="Times New Roman"/>
          <w:color w:val="242021"/>
          <w:sz w:val="40"/>
          <w:szCs w:val="40"/>
        </w:rPr>
      </w:pPr>
      <w:r w:rsidRPr="00365823">
        <w:rPr>
          <w:rFonts w:ascii="Times New Roman" w:hAnsi="Times New Roman" w:cs="Times New Roman"/>
          <w:color w:val="242021"/>
          <w:sz w:val="40"/>
          <w:szCs w:val="40"/>
        </w:rPr>
        <w:t>Going green – treatment outcome and</w:t>
      </w:r>
      <w:r>
        <w:rPr>
          <w:rFonts w:ascii="Times New Roman" w:hAnsi="Times New Roman" w:cs="Times New Roman"/>
          <w:color w:val="242021"/>
          <w:sz w:val="40"/>
          <w:szCs w:val="40"/>
        </w:rPr>
        <w:t xml:space="preserve"> </w:t>
      </w:r>
      <w:r w:rsidRPr="00365823">
        <w:rPr>
          <w:rFonts w:ascii="Times New Roman" w:hAnsi="Times New Roman" w:cs="Times New Roman"/>
          <w:color w:val="242021"/>
          <w:sz w:val="40"/>
          <w:szCs w:val="40"/>
        </w:rPr>
        <w:t>safety prof</w:t>
      </w:r>
      <w:r>
        <w:rPr>
          <w:rFonts w:ascii="Times New Roman" w:hAnsi="Times New Roman" w:cs="Times New Roman"/>
          <w:color w:val="242021"/>
          <w:sz w:val="40"/>
          <w:szCs w:val="40"/>
        </w:rPr>
        <w:t>i</w:t>
      </w:r>
      <w:r w:rsidRPr="00365823">
        <w:rPr>
          <w:rFonts w:ascii="Times New Roman" w:hAnsi="Times New Roman" w:cs="Times New Roman"/>
          <w:color w:val="242021"/>
          <w:sz w:val="40"/>
          <w:szCs w:val="40"/>
        </w:rPr>
        <w:t>le of chronic central serous</w:t>
      </w:r>
      <w:r>
        <w:rPr>
          <w:rFonts w:ascii="Times New Roman" w:hAnsi="Times New Roman" w:cs="Times New Roman"/>
          <w:color w:val="242021"/>
          <w:sz w:val="40"/>
          <w:szCs w:val="40"/>
        </w:rPr>
        <w:t xml:space="preserve"> </w:t>
      </w:r>
      <w:proofErr w:type="spellStart"/>
      <w:r w:rsidRPr="00365823">
        <w:rPr>
          <w:rFonts w:ascii="Times New Roman" w:hAnsi="Times New Roman" w:cs="Times New Roman"/>
          <w:color w:val="242021"/>
          <w:sz w:val="40"/>
          <w:szCs w:val="40"/>
        </w:rPr>
        <w:t>chorioretinopathy</w:t>
      </w:r>
      <w:proofErr w:type="spellEnd"/>
      <w:r w:rsidRPr="00365823">
        <w:rPr>
          <w:rFonts w:ascii="Times New Roman" w:hAnsi="Times New Roman" w:cs="Times New Roman"/>
          <w:color w:val="242021"/>
          <w:sz w:val="40"/>
          <w:szCs w:val="40"/>
        </w:rPr>
        <w:t xml:space="preserve"> treated with </w:t>
      </w:r>
      <w:proofErr w:type="spellStart"/>
      <w:r w:rsidRPr="00365823">
        <w:rPr>
          <w:rFonts w:ascii="Times New Roman" w:hAnsi="Times New Roman" w:cs="Times New Roman"/>
          <w:color w:val="242021"/>
          <w:sz w:val="40"/>
          <w:szCs w:val="40"/>
        </w:rPr>
        <w:t>subthreshold</w:t>
      </w:r>
      <w:proofErr w:type="spellEnd"/>
      <w:r>
        <w:rPr>
          <w:rFonts w:ascii="Times New Roman" w:hAnsi="Times New Roman" w:cs="Times New Roman"/>
          <w:color w:val="242021"/>
          <w:sz w:val="40"/>
          <w:szCs w:val="40"/>
        </w:rPr>
        <w:t xml:space="preserve"> </w:t>
      </w:r>
      <w:r w:rsidRPr="00365823">
        <w:rPr>
          <w:rFonts w:ascii="Times New Roman" w:hAnsi="Times New Roman" w:cs="Times New Roman"/>
          <w:color w:val="242021"/>
          <w:sz w:val="40"/>
          <w:szCs w:val="40"/>
        </w:rPr>
        <w:t>green laser</w:t>
      </w:r>
    </w:p>
    <w:p w:rsidR="00365823" w:rsidRPr="00365823" w:rsidRDefault="00365823">
      <w:pPr>
        <w:rPr>
          <w:rStyle w:val="fontstyle01"/>
          <w:rFonts w:ascii="Times New Roman" w:hAnsi="Times New Roman" w:cs="Times New Roman"/>
          <w:sz w:val="40"/>
          <w:szCs w:val="40"/>
        </w:rPr>
      </w:pPr>
      <w:proofErr w:type="spellStart"/>
      <w:r w:rsidRPr="00365823">
        <w:rPr>
          <w:rFonts w:ascii="Times New Roman" w:hAnsi="Times New Roman" w:cs="Times New Roman"/>
          <w:color w:val="242021"/>
          <w:sz w:val="40"/>
          <w:szCs w:val="40"/>
        </w:rPr>
        <w:t>Anadi</w:t>
      </w:r>
      <w:proofErr w:type="spellEnd"/>
      <w:r w:rsidRPr="00365823">
        <w:rPr>
          <w:rFonts w:ascii="Times New Roman" w:hAnsi="Times New Roman" w:cs="Times New Roman"/>
          <w:color w:val="242021"/>
          <w:sz w:val="40"/>
          <w:szCs w:val="40"/>
        </w:rPr>
        <w:t xml:space="preserve"> </w:t>
      </w:r>
      <w:proofErr w:type="spellStart"/>
      <w:r w:rsidRPr="00365823">
        <w:rPr>
          <w:rFonts w:ascii="Times New Roman" w:hAnsi="Times New Roman" w:cs="Times New Roman"/>
          <w:color w:val="242021"/>
          <w:sz w:val="40"/>
          <w:szCs w:val="40"/>
        </w:rPr>
        <w:t>Khatri</w:t>
      </w:r>
      <w:proofErr w:type="spellEnd"/>
      <w:r w:rsidRPr="00365823">
        <w:rPr>
          <w:rFonts w:ascii="Times New Roman" w:hAnsi="Times New Roman" w:cs="Times New Roman"/>
          <w:color w:val="242021"/>
          <w:sz w:val="40"/>
          <w:szCs w:val="40"/>
        </w:rPr>
        <w:br/>
      </w:r>
      <w:proofErr w:type="spellStart"/>
      <w:r w:rsidRPr="00365823">
        <w:rPr>
          <w:rFonts w:ascii="Times New Roman" w:hAnsi="Times New Roman" w:cs="Times New Roman"/>
          <w:color w:val="242021"/>
          <w:sz w:val="40"/>
          <w:szCs w:val="40"/>
        </w:rPr>
        <w:t>Vitreoretinal</w:t>
      </w:r>
      <w:proofErr w:type="spellEnd"/>
      <w:r w:rsidRPr="00365823">
        <w:rPr>
          <w:rFonts w:ascii="Times New Roman" w:hAnsi="Times New Roman" w:cs="Times New Roman"/>
          <w:color w:val="242021"/>
          <w:sz w:val="40"/>
          <w:szCs w:val="40"/>
        </w:rPr>
        <w:t xml:space="preserve"> Consultant, </w:t>
      </w:r>
      <w:proofErr w:type="spellStart"/>
      <w:r w:rsidRPr="00365823">
        <w:rPr>
          <w:rFonts w:ascii="Times New Roman" w:hAnsi="Times New Roman" w:cs="Times New Roman"/>
          <w:color w:val="242021"/>
          <w:sz w:val="40"/>
          <w:szCs w:val="40"/>
        </w:rPr>
        <w:t>Birat</w:t>
      </w:r>
      <w:proofErr w:type="spellEnd"/>
      <w:r w:rsidRPr="00365823">
        <w:rPr>
          <w:rFonts w:ascii="Times New Roman" w:hAnsi="Times New Roman" w:cs="Times New Roman"/>
          <w:color w:val="242021"/>
          <w:sz w:val="40"/>
          <w:szCs w:val="40"/>
        </w:rPr>
        <w:t xml:space="preserve"> Eye Hospital, </w:t>
      </w:r>
      <w:proofErr w:type="spellStart"/>
      <w:r w:rsidRPr="00365823">
        <w:rPr>
          <w:rFonts w:ascii="Times New Roman" w:hAnsi="Times New Roman" w:cs="Times New Roman"/>
          <w:color w:val="242021"/>
          <w:sz w:val="40"/>
          <w:szCs w:val="40"/>
        </w:rPr>
        <w:t>Biratnagar</w:t>
      </w:r>
      <w:proofErr w:type="gramStart"/>
      <w:r w:rsidRPr="00365823">
        <w:rPr>
          <w:rFonts w:ascii="Times New Roman" w:hAnsi="Times New Roman" w:cs="Times New Roman"/>
          <w:color w:val="242021"/>
          <w:sz w:val="40"/>
          <w:szCs w:val="40"/>
        </w:rPr>
        <w:t>,Nepal</w:t>
      </w:r>
      <w:proofErr w:type="spellEnd"/>
      <w:proofErr w:type="gramEnd"/>
      <w:r w:rsidRPr="00365823">
        <w:rPr>
          <w:rFonts w:ascii="Times New Roman" w:hAnsi="Times New Roman" w:cs="Times New Roman"/>
          <w:color w:val="242021"/>
          <w:sz w:val="40"/>
          <w:szCs w:val="40"/>
        </w:rPr>
        <w:br/>
      </w:r>
      <w:r w:rsidRPr="00365823">
        <w:rPr>
          <w:rFonts w:ascii="Times New Roman" w:hAnsi="Times New Roman" w:cs="Times New Roman"/>
          <w:color w:val="242021"/>
          <w:sz w:val="40"/>
          <w:szCs w:val="40"/>
        </w:rPr>
        <w:br/>
      </w:r>
    </w:p>
    <w:p w:rsidR="00365823" w:rsidRPr="00365823" w:rsidRDefault="00365823">
      <w:pPr>
        <w:rPr>
          <w:rStyle w:val="fontstyle01"/>
          <w:rFonts w:ascii="Times New Roman" w:hAnsi="Times New Roman" w:cs="Times New Roman"/>
          <w:sz w:val="36"/>
          <w:szCs w:val="36"/>
        </w:rPr>
      </w:pPr>
    </w:p>
    <w:p w:rsidR="00365823" w:rsidRDefault="00365823">
      <w:pPr>
        <w:rPr>
          <w:rStyle w:val="fontstyle01"/>
          <w:rFonts w:ascii="Times New Roman" w:hAnsi="Times New Roman" w:cs="Times New Roman"/>
          <w:sz w:val="36"/>
          <w:szCs w:val="36"/>
        </w:rPr>
      </w:pPr>
      <w:r w:rsidRPr="00365823">
        <w:rPr>
          <w:rStyle w:val="fontstyle01"/>
          <w:rFonts w:ascii="Times New Roman" w:hAnsi="Times New Roman" w:cs="Times New Roman"/>
          <w:sz w:val="36"/>
          <w:szCs w:val="36"/>
        </w:rPr>
        <w:t xml:space="preserve">Aim: </w:t>
      </w:r>
      <w:proofErr w:type="spellStart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Subthreshold</w:t>
      </w:r>
      <w:proofErr w:type="spellEnd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 lasers have gained popularity in the treatment of </w:t>
      </w:r>
      <w:proofErr w:type="spellStart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chorioretinopathy</w:t>
      </w:r>
      <w:proofErr w:type="spellEnd"/>
      <w:r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central serous </w:t>
      </w:r>
      <w:proofErr w:type="spellStart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chorioretinopathy</w:t>
      </w:r>
      <w:proofErr w:type="spellEnd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 (CSCR) and yellow (577 nm) lasers have completely revolutionized the treatment. However, there is very little literature regarding the use of a more</w:t>
      </w:r>
      <w:r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common and conventional – green (532 nm) </w:t>
      </w:r>
      <w:proofErr w:type="spellStart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subthreshold</w:t>
      </w:r>
      <w:proofErr w:type="spellEnd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 laser for the treatment of chronic</w:t>
      </w:r>
      <w:r w:rsidRPr="00365823">
        <w:rPr>
          <w:rFonts w:ascii="Times New Roman" w:hAnsi="Times New Roman" w:cs="Times New Roman"/>
          <w:color w:val="242021"/>
          <w:sz w:val="36"/>
          <w:szCs w:val="36"/>
        </w:rPr>
        <w:br/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CSCR. We report the use of green (532 nm) laser for the treatment of chronic CSCR and its</w:t>
      </w:r>
      <w:r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outcome.</w:t>
      </w:r>
      <w:r w:rsidRPr="00365823">
        <w:rPr>
          <w:rFonts w:ascii="Times New Roman" w:hAnsi="Times New Roman" w:cs="Times New Roman"/>
          <w:color w:val="242021"/>
          <w:sz w:val="36"/>
          <w:szCs w:val="36"/>
        </w:rPr>
        <w:br/>
      </w:r>
    </w:p>
    <w:p w:rsidR="00365823" w:rsidRDefault="00365823">
      <w:pPr>
        <w:rPr>
          <w:rStyle w:val="fontstyle01"/>
          <w:rFonts w:ascii="Times New Roman" w:hAnsi="Times New Roman" w:cs="Times New Roman"/>
          <w:sz w:val="36"/>
          <w:szCs w:val="36"/>
        </w:rPr>
      </w:pPr>
      <w:r w:rsidRPr="00365823">
        <w:rPr>
          <w:rStyle w:val="fontstyle01"/>
          <w:rFonts w:ascii="Times New Roman" w:hAnsi="Times New Roman" w:cs="Times New Roman"/>
          <w:sz w:val="36"/>
          <w:szCs w:val="36"/>
        </w:rPr>
        <w:t xml:space="preserve">Methods: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Eyes with </w:t>
      </w:r>
      <w:proofErr w:type="spellStart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nonresolving</w:t>
      </w:r>
      <w:proofErr w:type="spellEnd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 CSCR were treated with green </w:t>
      </w:r>
      <w:proofErr w:type="spellStart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subthreshold</w:t>
      </w:r>
      <w:proofErr w:type="spellEnd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 laser and</w:t>
      </w:r>
      <w:r w:rsidRPr="00365823">
        <w:rPr>
          <w:rFonts w:ascii="Times New Roman" w:hAnsi="Times New Roman" w:cs="Times New Roman"/>
          <w:color w:val="242021"/>
          <w:sz w:val="36"/>
          <w:szCs w:val="36"/>
        </w:rPr>
        <w:br/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evaluated at the end of 5 months. Visual acuity, central macular thickness (CMT), and macular</w:t>
      </w:r>
      <w:r w:rsidRPr="00365823">
        <w:rPr>
          <w:rFonts w:ascii="Times New Roman" w:hAnsi="Times New Roman" w:cs="Times New Roman"/>
          <w:color w:val="242021"/>
          <w:sz w:val="36"/>
          <w:szCs w:val="36"/>
        </w:rPr>
        <w:br/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volume (MV) at baseline and at 5 months following treatment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lastRenderedPageBreak/>
        <w:t>were evaluated.</w:t>
      </w:r>
      <w:r w:rsidRPr="00365823">
        <w:rPr>
          <w:rFonts w:ascii="Times New Roman" w:hAnsi="Times New Roman" w:cs="Times New Roman"/>
          <w:color w:val="242021"/>
          <w:sz w:val="36"/>
          <w:szCs w:val="36"/>
        </w:rPr>
        <w:br/>
      </w:r>
      <w:r w:rsidRPr="00365823">
        <w:rPr>
          <w:rStyle w:val="fontstyle01"/>
          <w:rFonts w:ascii="Times New Roman" w:hAnsi="Times New Roman" w:cs="Times New Roman"/>
          <w:sz w:val="36"/>
          <w:szCs w:val="36"/>
        </w:rPr>
        <w:t xml:space="preserve">Results: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Thirteen eyes with chronic CSCR were treated with green laser in SP-Mode™. The</w:t>
      </w:r>
      <w:r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mean duration of CSCR was 7.64</w:t>
      </w:r>
      <w:r w:rsidRPr="00365823">
        <w:rPr>
          <w:rStyle w:val="fontstyle31"/>
          <w:rFonts w:ascii="Times New Roman" w:hAnsi="Times New Roman" w:cs="Times New Roman"/>
          <w:sz w:val="36"/>
          <w:szCs w:val="36"/>
        </w:rPr>
        <w:t>±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3.77 months at the time of treatment. The median age of the</w:t>
      </w:r>
      <w:r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patients was 41 (35–57) years. The baseline mean best-corrected visual acuity (BCVA) was</w:t>
      </w:r>
      <w:r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0.96 </w:t>
      </w:r>
      <w:proofErr w:type="spellStart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logMAR</w:t>
      </w:r>
      <w:proofErr w:type="spellEnd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31"/>
          <w:rFonts w:ascii="Times New Roman" w:hAnsi="Times New Roman" w:cs="Times New Roman"/>
          <w:sz w:val="36"/>
          <w:szCs w:val="36"/>
        </w:rPr>
        <w:t xml:space="preserve">±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0.17, with mean baseline CMT of 503.8 </w:t>
      </w:r>
      <w:proofErr w:type="spellStart"/>
      <w:r w:rsidRPr="00365823">
        <w:rPr>
          <w:rStyle w:val="fontstyle31"/>
          <w:rFonts w:ascii="Times New Roman" w:hAnsi="Times New Roman" w:cs="Times New Roman"/>
          <w:sz w:val="36"/>
          <w:szCs w:val="36"/>
        </w:rPr>
        <w:t>μ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m</w:t>
      </w:r>
      <w:proofErr w:type="spellEnd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31"/>
          <w:rFonts w:ascii="Times New Roman" w:hAnsi="Times New Roman" w:cs="Times New Roman"/>
          <w:sz w:val="36"/>
          <w:szCs w:val="36"/>
        </w:rPr>
        <w:t xml:space="preserve">±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181.9 and MV of 12.8 mm3 </w:t>
      </w:r>
      <w:r w:rsidRPr="00365823">
        <w:rPr>
          <w:rStyle w:val="fontstyle31"/>
          <w:rFonts w:ascii="Times New Roman" w:hAnsi="Times New Roman" w:cs="Times New Roman"/>
          <w:sz w:val="36"/>
          <w:szCs w:val="36"/>
        </w:rPr>
        <w:t>±</w:t>
      </w:r>
      <w:r>
        <w:rPr>
          <w:rStyle w:val="fontstyle3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3.81. The mean CMT at 5 months was 211 </w:t>
      </w:r>
      <w:proofErr w:type="spellStart"/>
      <w:r w:rsidRPr="00365823">
        <w:rPr>
          <w:rStyle w:val="fontstyle31"/>
          <w:rFonts w:ascii="Times New Roman" w:hAnsi="Times New Roman" w:cs="Times New Roman"/>
          <w:sz w:val="36"/>
          <w:szCs w:val="36"/>
        </w:rPr>
        <w:t>μ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m</w:t>
      </w:r>
      <w:proofErr w:type="spellEnd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31"/>
          <w:rFonts w:ascii="Times New Roman" w:hAnsi="Times New Roman" w:cs="Times New Roman"/>
          <w:sz w:val="36"/>
          <w:szCs w:val="36"/>
        </w:rPr>
        <w:t xml:space="preserve">±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31.7 and mean MV was 9.65 mm3 </w:t>
      </w:r>
      <w:r w:rsidRPr="00365823">
        <w:rPr>
          <w:rStyle w:val="fontstyle31"/>
          <w:rFonts w:ascii="Times New Roman" w:hAnsi="Times New Roman" w:cs="Times New Roman"/>
          <w:sz w:val="36"/>
          <w:szCs w:val="36"/>
        </w:rPr>
        <w:t xml:space="preserve">±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0.60,</w:t>
      </w:r>
      <w:r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correlating to a mean decrease of 292 </w:t>
      </w:r>
      <w:proofErr w:type="spellStart"/>
      <w:r w:rsidRPr="00365823">
        <w:rPr>
          <w:rStyle w:val="fontstyle31"/>
          <w:rFonts w:ascii="Times New Roman" w:hAnsi="Times New Roman" w:cs="Times New Roman"/>
          <w:sz w:val="36"/>
          <w:szCs w:val="36"/>
        </w:rPr>
        <w:t>μ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m</w:t>
      </w:r>
      <w:proofErr w:type="spellEnd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31"/>
          <w:rFonts w:ascii="Times New Roman" w:hAnsi="Times New Roman" w:cs="Times New Roman"/>
          <w:sz w:val="36"/>
          <w:szCs w:val="36"/>
        </w:rPr>
        <w:t xml:space="preserve">±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79 in CMT and mean decrease of 3.18 mm3 </w:t>
      </w:r>
      <w:r w:rsidRPr="00365823">
        <w:rPr>
          <w:rStyle w:val="fontstyle31"/>
          <w:rFonts w:ascii="Times New Roman" w:hAnsi="Times New Roman" w:cs="Times New Roman"/>
          <w:sz w:val="36"/>
          <w:szCs w:val="36"/>
        </w:rPr>
        <w:t xml:space="preserve">±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1.87</w:t>
      </w:r>
      <w:r w:rsidRPr="00365823">
        <w:rPr>
          <w:rFonts w:ascii="Times New Roman" w:hAnsi="Times New Roman" w:cs="Times New Roman"/>
          <w:color w:val="242021"/>
          <w:sz w:val="36"/>
          <w:szCs w:val="36"/>
        </w:rPr>
        <w:br/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in the MV from baseline (</w:t>
      </w:r>
      <w:r w:rsidRPr="00365823">
        <w:rPr>
          <w:rStyle w:val="fontstyle41"/>
          <w:rFonts w:ascii="Times New Roman" w:hAnsi="Times New Roman" w:cs="Times New Roman"/>
          <w:sz w:val="36"/>
          <w:szCs w:val="36"/>
        </w:rPr>
        <w:t>P</w:t>
      </w:r>
      <w:r w:rsidRPr="00365823">
        <w:rPr>
          <w:rStyle w:val="fontstyle51"/>
          <w:rFonts w:ascii="Times New Roman" w:hAnsi="Times New Roman" w:cs="Times New Roman"/>
          <w:sz w:val="36"/>
          <w:szCs w:val="36"/>
        </w:rPr>
        <w:t>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0.05). The mean BCVA after treatment was 0.18 logMAR</w:t>
      </w:r>
      <w:r w:rsidRPr="00365823">
        <w:rPr>
          <w:rStyle w:val="fontstyle31"/>
          <w:rFonts w:ascii="Times New Roman" w:hAnsi="Times New Roman" w:cs="Times New Roman"/>
          <w:sz w:val="36"/>
          <w:szCs w:val="36"/>
        </w:rPr>
        <w:t>±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0.09</w:t>
      </w:r>
      <w:r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(</w:t>
      </w:r>
      <w:r w:rsidRPr="00365823">
        <w:rPr>
          <w:rStyle w:val="fontstyle41"/>
          <w:rFonts w:ascii="Times New Roman" w:hAnsi="Times New Roman" w:cs="Times New Roman"/>
          <w:sz w:val="36"/>
          <w:szCs w:val="36"/>
        </w:rPr>
        <w:t>P</w:t>
      </w:r>
      <w:r w:rsidRPr="00365823">
        <w:rPr>
          <w:rStyle w:val="fontstyle51"/>
          <w:rFonts w:ascii="Times New Roman" w:hAnsi="Times New Roman" w:cs="Times New Roman"/>
          <w:sz w:val="36"/>
          <w:szCs w:val="36"/>
        </w:rPr>
        <w:t>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0.05). Two cases of CSCR with pigment epithelial detachment (PED) also had complete</w:t>
      </w:r>
      <w:r>
        <w:rPr>
          <w:rStyle w:val="fontstyle21"/>
          <w:rFonts w:ascii="Times New Roman" w:hAnsi="Times New Roman" w:cs="Times New Roman"/>
          <w:sz w:val="36"/>
          <w:szCs w:val="36"/>
        </w:rPr>
        <w:t xml:space="preserve">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resolution of both at 5 months.</w:t>
      </w:r>
      <w:r w:rsidRPr="00365823">
        <w:rPr>
          <w:rFonts w:ascii="Times New Roman" w:hAnsi="Times New Roman" w:cs="Times New Roman"/>
          <w:color w:val="242021"/>
          <w:sz w:val="36"/>
          <w:szCs w:val="36"/>
        </w:rPr>
        <w:br/>
      </w:r>
    </w:p>
    <w:p w:rsidR="00365823" w:rsidRDefault="00365823">
      <w:pPr>
        <w:rPr>
          <w:rStyle w:val="fontstyle21"/>
          <w:rFonts w:ascii="Times New Roman" w:hAnsi="Times New Roman" w:cs="Times New Roman"/>
          <w:sz w:val="36"/>
          <w:szCs w:val="36"/>
        </w:rPr>
      </w:pPr>
      <w:r w:rsidRPr="00365823">
        <w:rPr>
          <w:rStyle w:val="fontstyle01"/>
          <w:rFonts w:ascii="Times New Roman" w:hAnsi="Times New Roman" w:cs="Times New Roman"/>
          <w:sz w:val="36"/>
          <w:szCs w:val="36"/>
        </w:rPr>
        <w:t xml:space="preserve">Conclusion: </w:t>
      </w:r>
      <w:proofErr w:type="spellStart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Subthreshold</w:t>
      </w:r>
      <w:proofErr w:type="spellEnd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 green laser (532 nm) is a safe and effective modality for the treatment of chronic CSCR with very good and stable outcomes. It may also be </w:t>
      </w:r>
      <w:proofErr w:type="spellStart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benefcial</w:t>
      </w:r>
      <w:proofErr w:type="spellEnd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 in the</w:t>
      </w:r>
      <w:r w:rsidRPr="00365823">
        <w:rPr>
          <w:rFonts w:ascii="Times New Roman" w:hAnsi="Times New Roman" w:cs="Times New Roman"/>
          <w:color w:val="242021"/>
          <w:sz w:val="36"/>
          <w:szCs w:val="36"/>
        </w:rPr>
        <w:br/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treatment of PEDs.</w:t>
      </w:r>
    </w:p>
    <w:p w:rsidR="00A633A9" w:rsidRPr="00365823" w:rsidRDefault="00365823">
      <w:pPr>
        <w:rPr>
          <w:rFonts w:ascii="Times New Roman" w:hAnsi="Times New Roman" w:cs="Times New Roman"/>
          <w:sz w:val="36"/>
          <w:szCs w:val="36"/>
        </w:rPr>
      </w:pPr>
      <w:r w:rsidRPr="00365823">
        <w:rPr>
          <w:rFonts w:ascii="Times New Roman" w:hAnsi="Times New Roman" w:cs="Times New Roman"/>
          <w:color w:val="242021"/>
          <w:sz w:val="36"/>
          <w:szCs w:val="36"/>
        </w:rPr>
        <w:br/>
      </w:r>
      <w:r w:rsidRPr="00365823">
        <w:rPr>
          <w:rStyle w:val="fontstyle01"/>
          <w:rFonts w:ascii="Times New Roman" w:hAnsi="Times New Roman" w:cs="Times New Roman"/>
          <w:sz w:val="36"/>
          <w:szCs w:val="36"/>
        </w:rPr>
        <w:t xml:space="preserve">Keywords: </w:t>
      </w:r>
      <w:r w:rsidRPr="00365823">
        <w:rPr>
          <w:rStyle w:val="fontstyle21"/>
          <w:rFonts w:ascii="Times New Roman" w:hAnsi="Times New Roman" w:cs="Times New Roman"/>
          <w:sz w:val="36"/>
          <w:szCs w:val="36"/>
        </w:rPr>
        <w:t xml:space="preserve">CSCR, green laser, </w:t>
      </w:r>
      <w:proofErr w:type="spellStart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subthreshold</w:t>
      </w:r>
      <w:proofErr w:type="spellEnd"/>
      <w:r w:rsidRPr="00365823">
        <w:rPr>
          <w:rStyle w:val="fontstyle21"/>
          <w:rFonts w:ascii="Times New Roman" w:hAnsi="Times New Roman" w:cs="Times New Roman"/>
          <w:sz w:val="36"/>
          <w:szCs w:val="36"/>
        </w:rPr>
        <w:t>, 532 nm, PED</w:t>
      </w:r>
    </w:p>
    <w:sectPr w:rsidR="00A633A9" w:rsidRPr="003658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SansMT-Bold">
    <w:altName w:val="Times New Roman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ymbol-Identity-H">
    <w:altName w:val="Times New Roman"/>
    <w:panose1 w:val="00000000000000000000"/>
    <w:charset w:val="00"/>
    <w:family w:val="roman"/>
    <w:notTrueType/>
    <w:pitch w:val="default"/>
  </w:font>
  <w:font w:name="TimesNewRomanPS-Italic">
    <w:altName w:val="Times New Roman"/>
    <w:panose1 w:val="00000000000000000000"/>
    <w:charset w:val="00"/>
    <w:family w:val="roman"/>
    <w:notTrueType/>
    <w:pitch w:val="default"/>
  </w:font>
  <w:font w:name="MathematicalPi-One-Identity-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MDE0NzE3MTC2tDRU0lEKTi0uzszPAykwrAUAvquclCwAAAA="/>
  </w:docVars>
  <w:rsids>
    <w:rsidRoot w:val="00365823"/>
    <w:rsid w:val="00365823"/>
    <w:rsid w:val="00A6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65823"/>
    <w:rPr>
      <w:rFonts w:ascii="GillSansMT-Bold" w:hAnsi="GillSansMT-Bold" w:hint="default"/>
      <w:b/>
      <w:bCs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365823"/>
    <w:rPr>
      <w:rFonts w:ascii="TimesNewRomanPS" w:hAnsi="TimesNewRomanPS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DefaultParagraphFont"/>
    <w:rsid w:val="00365823"/>
    <w:rPr>
      <w:rFonts w:ascii="Symbol-Identity-H" w:hAnsi="Symbol-Identity-H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41">
    <w:name w:val="fontstyle41"/>
    <w:basedOn w:val="DefaultParagraphFont"/>
    <w:rsid w:val="00365823"/>
    <w:rPr>
      <w:rFonts w:ascii="TimesNewRomanPS-Italic" w:hAnsi="TimesNewRomanPS-Italic" w:hint="default"/>
      <w:b w:val="0"/>
      <w:bCs w:val="0"/>
      <w:i/>
      <w:iCs/>
      <w:color w:val="242021"/>
      <w:sz w:val="18"/>
      <w:szCs w:val="18"/>
    </w:rPr>
  </w:style>
  <w:style w:type="character" w:customStyle="1" w:styleId="fontstyle51">
    <w:name w:val="fontstyle51"/>
    <w:basedOn w:val="DefaultParagraphFont"/>
    <w:rsid w:val="00365823"/>
    <w:rPr>
      <w:rFonts w:ascii="MathematicalPi-One-Identity-H" w:hAnsi="MathematicalPi-One-Identity-H" w:hint="default"/>
      <w:b w:val="0"/>
      <w:bCs w:val="0"/>
      <w:i w:val="0"/>
      <w:iCs w:val="0"/>
      <w:color w:val="24202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65823"/>
    <w:rPr>
      <w:rFonts w:ascii="GillSansMT-Bold" w:hAnsi="GillSansMT-Bold" w:hint="default"/>
      <w:b/>
      <w:bCs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365823"/>
    <w:rPr>
      <w:rFonts w:ascii="TimesNewRomanPS" w:hAnsi="TimesNewRomanPS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DefaultParagraphFont"/>
    <w:rsid w:val="00365823"/>
    <w:rPr>
      <w:rFonts w:ascii="Symbol-Identity-H" w:hAnsi="Symbol-Identity-H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41">
    <w:name w:val="fontstyle41"/>
    <w:basedOn w:val="DefaultParagraphFont"/>
    <w:rsid w:val="00365823"/>
    <w:rPr>
      <w:rFonts w:ascii="TimesNewRomanPS-Italic" w:hAnsi="TimesNewRomanPS-Italic" w:hint="default"/>
      <w:b w:val="0"/>
      <w:bCs w:val="0"/>
      <w:i/>
      <w:iCs/>
      <w:color w:val="242021"/>
      <w:sz w:val="18"/>
      <w:szCs w:val="18"/>
    </w:rPr>
  </w:style>
  <w:style w:type="character" w:customStyle="1" w:styleId="fontstyle51">
    <w:name w:val="fontstyle51"/>
    <w:basedOn w:val="DefaultParagraphFont"/>
    <w:rsid w:val="00365823"/>
    <w:rPr>
      <w:rFonts w:ascii="MathematicalPi-One-Identity-H" w:hAnsi="MathematicalPi-One-Identity-H" w:hint="default"/>
      <w:b w:val="0"/>
      <w:bCs w:val="0"/>
      <w:i w:val="0"/>
      <w:iCs w:val="0"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</dc:creator>
  <cp:lastModifiedBy>KC</cp:lastModifiedBy>
  <cp:revision>1</cp:revision>
  <dcterms:created xsi:type="dcterms:W3CDTF">2019-03-03T16:29:00Z</dcterms:created>
  <dcterms:modified xsi:type="dcterms:W3CDTF">2019-03-03T16:33:00Z</dcterms:modified>
</cp:coreProperties>
</file>