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12E" w:rsidRPr="00221F31" w:rsidRDefault="0031512E" w:rsidP="0031512E">
      <w:pPr>
        <w:pStyle w:val="Default"/>
        <w:jc w:val="both"/>
        <w:rPr>
          <w:rFonts w:asciiTheme="minorBidi" w:hAnsiTheme="minorBidi" w:cstheme="minorBidi"/>
          <w:b/>
          <w:bCs/>
          <w:sz w:val="28"/>
          <w:szCs w:val="28"/>
        </w:rPr>
      </w:pPr>
      <w:r w:rsidRPr="00221F31">
        <w:rPr>
          <w:rFonts w:asciiTheme="minorBidi" w:hAnsiTheme="minorBidi" w:cstheme="minorBidi"/>
          <w:b/>
          <w:bCs/>
          <w:sz w:val="28"/>
          <w:szCs w:val="28"/>
        </w:rPr>
        <w:t xml:space="preserve">Correlation between optical  coherence  tomography (OCT) for optic nerve head parameters and pattern </w:t>
      </w:r>
      <w:proofErr w:type="spellStart"/>
      <w:r w:rsidRPr="00221F31">
        <w:rPr>
          <w:rFonts w:asciiTheme="minorBidi" w:hAnsiTheme="minorBidi" w:cstheme="minorBidi"/>
          <w:b/>
          <w:bCs/>
          <w:sz w:val="28"/>
          <w:szCs w:val="28"/>
        </w:rPr>
        <w:t>electroretinogram</w:t>
      </w:r>
      <w:proofErr w:type="spellEnd"/>
      <w:r w:rsidRPr="00221F31">
        <w:rPr>
          <w:rFonts w:asciiTheme="minorBidi" w:hAnsiTheme="minorBidi" w:cstheme="minorBidi"/>
          <w:b/>
          <w:bCs/>
          <w:sz w:val="28"/>
          <w:szCs w:val="28"/>
        </w:rPr>
        <w:t xml:space="preserve"> (PERG) in primary open angle glaucoma and ocular hypertension</w:t>
      </w:r>
    </w:p>
    <w:p w:rsidR="0031512E" w:rsidRPr="0031512E" w:rsidRDefault="0031512E" w:rsidP="0031512E">
      <w:pPr>
        <w:pStyle w:val="Default"/>
        <w:jc w:val="both"/>
        <w:rPr>
          <w:b/>
          <w:bCs/>
          <w:sz w:val="28"/>
          <w:szCs w:val="28"/>
        </w:rPr>
      </w:pPr>
    </w:p>
    <w:p w:rsidR="00000000" w:rsidRDefault="0031512E">
      <w:pPr>
        <w:rPr>
          <w:rFonts w:ascii="Arial" w:hAnsi="Arial" w:cs="Arial"/>
          <w:b/>
          <w:bCs/>
          <w:sz w:val="28"/>
          <w:szCs w:val="28"/>
          <w:shd w:val="clear" w:color="auto" w:fill="FFFFFF"/>
        </w:rPr>
      </w:pPr>
      <w:r w:rsidRPr="0031512E">
        <w:rPr>
          <w:rFonts w:ascii="Arial" w:hAnsi="Arial" w:cs="Arial"/>
          <w:b/>
          <w:bCs/>
          <w:sz w:val="28"/>
          <w:szCs w:val="28"/>
          <w:shd w:val="clear" w:color="auto" w:fill="FFFFFF"/>
        </w:rPr>
        <w:t>Abstract</w:t>
      </w:r>
      <w:r>
        <w:rPr>
          <w:rFonts w:ascii="Arial" w:hAnsi="Arial" w:cs="Arial"/>
          <w:b/>
          <w:bCs/>
          <w:sz w:val="28"/>
          <w:szCs w:val="28"/>
          <w:shd w:val="clear" w:color="auto" w:fill="FFFFFF"/>
        </w:rPr>
        <w:t xml:space="preserve"> </w:t>
      </w:r>
    </w:p>
    <w:p w:rsidR="0031512E" w:rsidRPr="00221F31" w:rsidRDefault="0031512E" w:rsidP="0031512E">
      <w:pPr>
        <w:shd w:val="clear" w:color="auto" w:fill="FFFFFF"/>
        <w:spacing w:after="0" w:line="240" w:lineRule="auto"/>
        <w:ind w:right="60"/>
        <w:outlineLvl w:val="3"/>
        <w:rPr>
          <w:rFonts w:asciiTheme="minorBidi" w:hAnsiTheme="minorBidi"/>
          <w:sz w:val="24"/>
          <w:szCs w:val="24"/>
        </w:rPr>
      </w:pPr>
      <w:r w:rsidRPr="0031512E">
        <w:rPr>
          <w:rFonts w:ascii="Arial" w:eastAsia="Times New Roman" w:hAnsi="Arial" w:cs="Arial"/>
          <w:b/>
          <w:bCs/>
          <w:caps/>
          <w:color w:val="000000"/>
          <w:sz w:val="24"/>
          <w:szCs w:val="24"/>
        </w:rPr>
        <w:t>PURPOSE:</w:t>
      </w:r>
      <w:r>
        <w:rPr>
          <w:rFonts w:ascii="Arial" w:eastAsia="Times New Roman" w:hAnsi="Arial" w:cs="Arial"/>
          <w:b/>
          <w:bCs/>
          <w:caps/>
          <w:color w:val="000000"/>
          <w:sz w:val="24"/>
          <w:szCs w:val="24"/>
        </w:rPr>
        <w:t xml:space="preserve"> </w:t>
      </w:r>
      <w:r w:rsidRPr="00221F31">
        <w:rPr>
          <w:rFonts w:asciiTheme="minorBidi" w:hAnsiTheme="minorBidi"/>
          <w:noProof/>
          <w:sz w:val="24"/>
          <w:szCs w:val="24"/>
        </w:rPr>
        <w:t>The PERG can help in decision making in cases of OHT, in the absence of visual field and OCT abnormalities, and select cases showing RGC dysfunction in which treatment should start.</w:t>
      </w:r>
      <w:r w:rsidR="00011C02" w:rsidRPr="00221F31">
        <w:rPr>
          <w:rFonts w:asciiTheme="minorBidi" w:hAnsiTheme="minorBidi"/>
          <w:sz w:val="24"/>
          <w:szCs w:val="24"/>
        </w:rPr>
        <w:t>T</w:t>
      </w:r>
      <w:r w:rsidRPr="00221F31">
        <w:rPr>
          <w:rFonts w:asciiTheme="minorBidi" w:hAnsiTheme="minorBidi"/>
          <w:sz w:val="24"/>
          <w:szCs w:val="24"/>
        </w:rPr>
        <w:t xml:space="preserve">his cross section study was designed to detect RGC dysfunction in early glaucoma and OHT , correlate between PERG wave amplitudes changes </w:t>
      </w:r>
      <w:r w:rsidR="00011C02" w:rsidRPr="00221F31">
        <w:rPr>
          <w:rFonts w:asciiTheme="minorBidi" w:hAnsiTheme="minorBidi"/>
          <w:sz w:val="24"/>
          <w:szCs w:val="24"/>
        </w:rPr>
        <w:t xml:space="preserve">and </w:t>
      </w:r>
      <w:r w:rsidRPr="00221F31">
        <w:rPr>
          <w:rFonts w:asciiTheme="minorBidi" w:hAnsiTheme="minorBidi"/>
          <w:sz w:val="24"/>
          <w:szCs w:val="24"/>
        </w:rPr>
        <w:t>OCT (optical head criteria and</w:t>
      </w:r>
      <w:r w:rsidR="00011C02" w:rsidRPr="00221F31">
        <w:rPr>
          <w:rFonts w:asciiTheme="minorBidi" w:hAnsiTheme="minorBidi"/>
          <w:sz w:val="24"/>
          <w:szCs w:val="24"/>
        </w:rPr>
        <w:t xml:space="preserve">  RNFL thickness).</w:t>
      </w:r>
    </w:p>
    <w:p w:rsidR="00011C02" w:rsidRPr="0031512E" w:rsidRDefault="00011C02" w:rsidP="0031512E">
      <w:pPr>
        <w:shd w:val="clear" w:color="auto" w:fill="FFFFFF"/>
        <w:spacing w:after="0" w:line="240" w:lineRule="auto"/>
        <w:ind w:right="60"/>
        <w:outlineLvl w:val="3"/>
        <w:rPr>
          <w:rFonts w:ascii="Arial" w:eastAsia="Times New Roman" w:hAnsi="Arial" w:cs="Arial"/>
          <w:b/>
          <w:bCs/>
          <w:caps/>
          <w:color w:val="000000"/>
          <w:sz w:val="24"/>
          <w:szCs w:val="24"/>
        </w:rPr>
      </w:pPr>
    </w:p>
    <w:p w:rsidR="00221F31" w:rsidRPr="00221F31" w:rsidRDefault="00011C02" w:rsidP="00221F31">
      <w:pPr>
        <w:pStyle w:val="Heading4"/>
        <w:shd w:val="clear" w:color="auto" w:fill="FFFFFF"/>
        <w:spacing w:before="0" w:beforeAutospacing="0" w:after="0" w:afterAutospacing="0"/>
        <w:ind w:right="60"/>
        <w:jc w:val="both"/>
        <w:rPr>
          <w:rFonts w:asciiTheme="minorBidi" w:eastAsia="Calibri" w:hAnsiTheme="minorBidi" w:cstheme="minorBidi"/>
          <w:b w:val="0"/>
          <w:bCs w:val="0"/>
          <w:noProof/>
        </w:rPr>
      </w:pPr>
      <w:r w:rsidRPr="00011C02">
        <w:rPr>
          <w:rFonts w:ascii="Arial" w:hAnsi="Arial" w:cs="Arial"/>
          <w:caps/>
          <w:color w:val="000000"/>
        </w:rPr>
        <w:t>METHODS</w:t>
      </w:r>
      <w:r w:rsidRPr="00221F31">
        <w:rPr>
          <w:rFonts w:ascii="Arial" w:hAnsi="Arial" w:cs="Arial"/>
          <w:b w:val="0"/>
          <w:bCs w:val="0"/>
          <w:caps/>
          <w:color w:val="000000"/>
        </w:rPr>
        <w:t>:</w:t>
      </w:r>
      <w:r w:rsidR="00221F31" w:rsidRPr="00221F31">
        <w:rPr>
          <w:rFonts w:eastAsia="Calibri" w:cstheme="minorHAnsi"/>
          <w:b w:val="0"/>
          <w:bCs w:val="0"/>
        </w:rPr>
        <w:t xml:space="preserve"> </w:t>
      </w:r>
      <w:r w:rsidR="00221F31" w:rsidRPr="00221F31">
        <w:rPr>
          <w:rFonts w:asciiTheme="minorBidi" w:eastAsia="Calibri" w:hAnsiTheme="minorBidi" w:cstheme="minorBidi"/>
          <w:b w:val="0"/>
          <w:bCs w:val="0"/>
        </w:rPr>
        <w:t>T</w:t>
      </w:r>
      <w:r w:rsidRPr="00221F31">
        <w:rPr>
          <w:rFonts w:asciiTheme="minorBidi" w:eastAsia="Calibri" w:hAnsiTheme="minorBidi" w:cstheme="minorBidi"/>
          <w:b w:val="0"/>
          <w:bCs w:val="0"/>
        </w:rPr>
        <w:t>he study included 90 eyes of 90 participants</w:t>
      </w:r>
      <w:r w:rsidRPr="00221F31">
        <w:rPr>
          <w:rFonts w:asciiTheme="minorBidi" w:hAnsiTheme="minorBidi" w:cstheme="minorBidi"/>
          <w:b w:val="0"/>
          <w:bCs w:val="0"/>
        </w:rPr>
        <w:t xml:space="preserve">. </w:t>
      </w:r>
      <w:r w:rsidRPr="00221F31">
        <w:rPr>
          <w:rFonts w:asciiTheme="minorBidi" w:eastAsia="Calibri" w:hAnsiTheme="minorBidi" w:cstheme="minorBidi"/>
          <w:b w:val="0"/>
          <w:bCs w:val="0"/>
        </w:rPr>
        <w:t xml:space="preserve">The participants </w:t>
      </w:r>
      <w:r w:rsidRPr="00221F31">
        <w:rPr>
          <w:rFonts w:asciiTheme="minorBidi" w:eastAsia="Calibri" w:hAnsiTheme="minorBidi" w:cstheme="minorBidi"/>
          <w:b w:val="0"/>
          <w:bCs w:val="0"/>
          <w:noProof/>
        </w:rPr>
        <w:t>were divided</w:t>
      </w:r>
      <w:r w:rsidRPr="00221F31">
        <w:rPr>
          <w:rFonts w:asciiTheme="minorBidi" w:eastAsia="Calibri" w:hAnsiTheme="minorBidi" w:cstheme="minorBidi"/>
          <w:b w:val="0"/>
          <w:bCs w:val="0"/>
        </w:rPr>
        <w:t xml:space="preserve"> into three groups. Control Group included 30 </w:t>
      </w:r>
      <w:r w:rsidRPr="00221F31">
        <w:rPr>
          <w:rFonts w:asciiTheme="minorBidi" w:eastAsia="Calibri" w:hAnsiTheme="minorBidi" w:cstheme="minorBidi"/>
          <w:b w:val="0"/>
          <w:bCs w:val="0"/>
          <w:noProof/>
        </w:rPr>
        <w:t>normal</w:t>
      </w:r>
      <w:r w:rsidR="00221F31" w:rsidRPr="00221F31">
        <w:rPr>
          <w:rFonts w:asciiTheme="minorBidi" w:eastAsia="Calibri" w:hAnsiTheme="minorBidi" w:cstheme="minorBidi"/>
          <w:b w:val="0"/>
          <w:bCs w:val="0"/>
        </w:rPr>
        <w:t xml:space="preserve"> eyes .</w:t>
      </w:r>
      <w:r w:rsidRPr="00221F31">
        <w:rPr>
          <w:rFonts w:asciiTheme="minorBidi" w:eastAsia="Calibri" w:hAnsiTheme="minorBidi" w:cstheme="minorBidi"/>
          <w:b w:val="0"/>
          <w:bCs w:val="0"/>
        </w:rPr>
        <w:t xml:space="preserve"> Primary open- angle glaucoma (POAG) g</w:t>
      </w:r>
      <w:r w:rsidR="00221F31" w:rsidRPr="00221F31">
        <w:rPr>
          <w:rFonts w:asciiTheme="minorBidi" w:eastAsia="Calibri" w:hAnsiTheme="minorBidi" w:cstheme="minorBidi"/>
          <w:b w:val="0"/>
          <w:bCs w:val="0"/>
        </w:rPr>
        <w:t xml:space="preserve">roup included 30 eyes </w:t>
      </w:r>
      <w:r w:rsidRPr="00221F31">
        <w:rPr>
          <w:rFonts w:asciiTheme="minorBidi" w:eastAsia="Calibri" w:hAnsiTheme="minorBidi" w:cstheme="minorBidi"/>
          <w:b w:val="0"/>
          <w:bCs w:val="0"/>
        </w:rPr>
        <w:t xml:space="preserve"> with mild to moderate glaucoma controlled with medical treatment . Ocular hypertension group (OHT) included 30 eyes </w:t>
      </w:r>
      <w:r w:rsidRPr="00221F31">
        <w:rPr>
          <w:rFonts w:asciiTheme="minorBidi" w:eastAsia="Calibri" w:hAnsiTheme="minorBidi" w:cstheme="minorBidi"/>
          <w:b w:val="0"/>
          <w:bCs w:val="0"/>
          <w:noProof/>
        </w:rPr>
        <w:t xml:space="preserve"> having IOP&gt;21 mmhg.</w:t>
      </w:r>
      <w:r w:rsidRPr="00221F31">
        <w:rPr>
          <w:rFonts w:asciiTheme="minorBidi" w:eastAsia="Calibri" w:hAnsiTheme="minorBidi" w:cstheme="minorBidi"/>
          <w:b w:val="0"/>
          <w:bCs w:val="0"/>
        </w:rPr>
        <w:t xml:space="preserve"> All cases undergone ophthalmic examination including: intraocular pressure measurement </w:t>
      </w:r>
      <w:r w:rsidRPr="00221F31">
        <w:rPr>
          <w:rFonts w:asciiTheme="minorBidi" w:eastAsia="Calibri" w:hAnsiTheme="minorBidi" w:cstheme="minorBidi"/>
          <w:b w:val="0"/>
          <w:bCs w:val="0"/>
          <w:noProof/>
        </w:rPr>
        <w:t>, s</w:t>
      </w:r>
      <w:r w:rsidRPr="00221F31">
        <w:rPr>
          <w:rFonts w:asciiTheme="minorBidi" w:eastAsia="Calibri" w:hAnsiTheme="minorBidi" w:cstheme="minorBidi"/>
          <w:b w:val="0"/>
          <w:bCs w:val="0"/>
        </w:rPr>
        <w:t xml:space="preserve">lit lamp </w:t>
      </w:r>
      <w:proofErr w:type="spellStart"/>
      <w:r w:rsidRPr="00221F31">
        <w:rPr>
          <w:rFonts w:asciiTheme="minorBidi" w:eastAsia="Calibri" w:hAnsiTheme="minorBidi" w:cstheme="minorBidi"/>
          <w:b w:val="0"/>
          <w:bCs w:val="0"/>
        </w:rPr>
        <w:t>biomicroscopy</w:t>
      </w:r>
      <w:proofErr w:type="spellEnd"/>
      <w:r w:rsidRPr="00221F31">
        <w:rPr>
          <w:rFonts w:asciiTheme="minorBidi" w:eastAsia="Calibri" w:hAnsiTheme="minorBidi" w:cstheme="minorBidi"/>
          <w:b w:val="0"/>
          <w:bCs w:val="0"/>
        </w:rPr>
        <w:t xml:space="preserve">, anterior chamber angle assessment using a </w:t>
      </w:r>
      <w:r w:rsidRPr="00221F31">
        <w:rPr>
          <w:rFonts w:asciiTheme="minorBidi" w:eastAsia="Calibri" w:hAnsiTheme="minorBidi" w:cstheme="minorBidi"/>
          <w:b w:val="0"/>
          <w:bCs w:val="0"/>
          <w:noProof/>
        </w:rPr>
        <w:t>gonio-3</w:t>
      </w:r>
      <w:r w:rsidRPr="00221F31">
        <w:rPr>
          <w:rFonts w:asciiTheme="minorBidi" w:eastAsia="Calibri" w:hAnsiTheme="minorBidi" w:cstheme="minorBidi"/>
          <w:b w:val="0"/>
          <w:bCs w:val="0"/>
        </w:rPr>
        <w:t xml:space="preserve"> mirror lens. Visual field examination was done using automated </w:t>
      </w:r>
      <w:r w:rsidRPr="00221F31">
        <w:rPr>
          <w:rFonts w:asciiTheme="minorBidi" w:eastAsia="Calibri" w:hAnsiTheme="minorBidi" w:cstheme="minorBidi"/>
          <w:b w:val="0"/>
          <w:bCs w:val="0"/>
          <w:noProof/>
        </w:rPr>
        <w:t>perimetry(Humphrey), optical coherent tomography (OCT) to assess the optic nerve head criteria including neuroretinal rim area in mm², vertical C/D ratio and average superior and inferior retinal nerve fiber layer (RNFL) thickness in µm ,</w:t>
      </w:r>
      <w:r w:rsidRPr="00221F31">
        <w:rPr>
          <w:rFonts w:asciiTheme="minorBidi" w:eastAsia="Calibri" w:hAnsiTheme="minorBidi" w:cstheme="minorBidi"/>
          <w:b w:val="0"/>
          <w:bCs w:val="0"/>
        </w:rPr>
        <w:t xml:space="preserve">pattern </w:t>
      </w:r>
      <w:proofErr w:type="spellStart"/>
      <w:r w:rsidRPr="00221F31">
        <w:rPr>
          <w:rFonts w:asciiTheme="minorBidi" w:eastAsia="Calibri" w:hAnsiTheme="minorBidi" w:cstheme="minorBidi"/>
          <w:b w:val="0"/>
          <w:bCs w:val="0"/>
        </w:rPr>
        <w:t>electroretinogram</w:t>
      </w:r>
      <w:proofErr w:type="spellEnd"/>
      <w:r w:rsidRPr="00221F31">
        <w:rPr>
          <w:rFonts w:asciiTheme="minorBidi" w:eastAsia="Calibri" w:hAnsiTheme="minorBidi" w:cstheme="minorBidi"/>
          <w:b w:val="0"/>
          <w:bCs w:val="0"/>
        </w:rPr>
        <w:t xml:space="preserve">(PERG) </w:t>
      </w:r>
      <w:r w:rsidRPr="00221F31">
        <w:rPr>
          <w:rFonts w:asciiTheme="minorBidi" w:eastAsia="Calibri" w:hAnsiTheme="minorBidi" w:cstheme="minorBidi"/>
          <w:b w:val="0"/>
          <w:bCs w:val="0"/>
          <w:noProof/>
        </w:rPr>
        <w:t>was recorded</w:t>
      </w:r>
      <w:r w:rsidR="00221F31" w:rsidRPr="00221F31">
        <w:rPr>
          <w:rFonts w:asciiTheme="minorBidi" w:eastAsia="Calibri" w:hAnsiTheme="minorBidi" w:cstheme="minorBidi"/>
          <w:b w:val="0"/>
          <w:bCs w:val="0"/>
        </w:rPr>
        <w:t xml:space="preserve"> binocularly  .</w:t>
      </w:r>
      <w:r w:rsidRPr="00221F31">
        <w:rPr>
          <w:rFonts w:asciiTheme="minorBidi" w:eastAsia="Calibri" w:hAnsiTheme="minorBidi" w:cstheme="minorBidi"/>
          <w:b w:val="0"/>
          <w:bCs w:val="0"/>
        </w:rPr>
        <w:t>PERG measurements using Dawson-Trick-</w:t>
      </w:r>
      <w:proofErr w:type="spellStart"/>
      <w:r w:rsidRPr="00221F31">
        <w:rPr>
          <w:rFonts w:asciiTheme="minorBidi" w:eastAsia="Calibri" w:hAnsiTheme="minorBidi" w:cstheme="minorBidi"/>
          <w:b w:val="0"/>
          <w:bCs w:val="0"/>
        </w:rPr>
        <w:t>Litzkow</w:t>
      </w:r>
      <w:proofErr w:type="spellEnd"/>
      <w:r w:rsidRPr="00221F31">
        <w:rPr>
          <w:rFonts w:asciiTheme="minorBidi" w:eastAsia="Calibri" w:hAnsiTheme="minorBidi" w:cstheme="minorBidi"/>
          <w:b w:val="0"/>
          <w:bCs w:val="0"/>
        </w:rPr>
        <w:t xml:space="preserve"> (DTL) electrodes . A checkerboard pattern of 95% contrast black and white </w:t>
      </w:r>
      <w:r w:rsidRPr="00221F31">
        <w:rPr>
          <w:rFonts w:asciiTheme="minorBidi" w:eastAsia="Calibri" w:hAnsiTheme="minorBidi" w:cstheme="minorBidi"/>
          <w:b w:val="0"/>
          <w:bCs w:val="0"/>
          <w:noProof/>
        </w:rPr>
        <w:t>was used</w:t>
      </w:r>
      <w:r w:rsidRPr="00221F31">
        <w:rPr>
          <w:rFonts w:asciiTheme="minorBidi" w:eastAsia="Calibri" w:hAnsiTheme="minorBidi" w:cstheme="minorBidi"/>
          <w:b w:val="0"/>
          <w:bCs w:val="0"/>
        </w:rPr>
        <w:t xml:space="preserve"> with reversing checkerboard with 40-minute checks in a 10-16 degree field for PERG measurements. Stimulus frequency was 2 Hz, </w:t>
      </w:r>
      <w:r w:rsidRPr="00221F31">
        <w:rPr>
          <w:rFonts w:asciiTheme="minorBidi" w:eastAsia="Calibri" w:hAnsiTheme="minorBidi" w:cstheme="minorBidi"/>
          <w:b w:val="0"/>
          <w:bCs w:val="0"/>
          <w:noProof/>
        </w:rPr>
        <w:t>and</w:t>
      </w:r>
      <w:r w:rsidRPr="00221F31">
        <w:rPr>
          <w:rFonts w:asciiTheme="minorBidi" w:eastAsia="Calibri" w:hAnsiTheme="minorBidi" w:cstheme="minorBidi"/>
          <w:b w:val="0"/>
          <w:bCs w:val="0"/>
        </w:rPr>
        <w:t xml:space="preserve"> the </w:t>
      </w:r>
      <w:r w:rsidRPr="00221F31">
        <w:rPr>
          <w:rFonts w:asciiTheme="minorBidi" w:eastAsia="Calibri" w:hAnsiTheme="minorBidi" w:cstheme="minorBidi"/>
          <w:b w:val="0"/>
          <w:bCs w:val="0"/>
          <w:noProof/>
        </w:rPr>
        <w:t>analogue</w:t>
      </w:r>
      <w:r w:rsidRPr="00221F31">
        <w:rPr>
          <w:rFonts w:asciiTheme="minorBidi" w:eastAsia="Calibri" w:hAnsiTheme="minorBidi" w:cstheme="minorBidi"/>
          <w:b w:val="0"/>
          <w:bCs w:val="0"/>
        </w:rPr>
        <w:t xml:space="preserve"> filter was bet</w:t>
      </w:r>
      <w:r w:rsidR="00221F31" w:rsidRPr="00221F31">
        <w:rPr>
          <w:rFonts w:asciiTheme="minorBidi" w:eastAsia="Calibri" w:hAnsiTheme="minorBidi" w:cstheme="minorBidi"/>
          <w:b w:val="0"/>
          <w:bCs w:val="0"/>
        </w:rPr>
        <w:t>ween 0.03 and 100 Hz</w:t>
      </w:r>
      <w:r w:rsidRPr="00221F31">
        <w:rPr>
          <w:rFonts w:asciiTheme="minorBidi" w:eastAsia="Calibri" w:hAnsiTheme="minorBidi" w:cstheme="minorBidi"/>
          <w:b w:val="0"/>
          <w:bCs w:val="0"/>
        </w:rPr>
        <w:t>. All electrophysiology traces were characterized by two negative and one positive deflection in the order N35, P50, and N95. A</w:t>
      </w:r>
      <w:r w:rsidRPr="00221F31">
        <w:rPr>
          <w:rFonts w:asciiTheme="minorBidi" w:eastAsia="Calibri" w:hAnsiTheme="minorBidi" w:cstheme="minorBidi"/>
          <w:b w:val="0"/>
          <w:bCs w:val="0"/>
          <w:noProof/>
        </w:rPr>
        <w:t xml:space="preserve">mplitude and latency of P50 and N95 were recorded. </w:t>
      </w:r>
    </w:p>
    <w:p w:rsidR="00221F31" w:rsidRPr="00221F31" w:rsidRDefault="00221F31" w:rsidP="00221F31">
      <w:pPr>
        <w:pStyle w:val="Heading4"/>
        <w:shd w:val="clear" w:color="auto" w:fill="FFFFFF"/>
        <w:spacing w:before="0" w:beforeAutospacing="0" w:after="0" w:afterAutospacing="0"/>
        <w:ind w:right="60"/>
        <w:jc w:val="both"/>
        <w:rPr>
          <w:rFonts w:asciiTheme="minorBidi" w:hAnsiTheme="minorBidi" w:cstheme="minorBidi"/>
          <w:b w:val="0"/>
          <w:bCs w:val="0"/>
          <w:caps/>
          <w:color w:val="000000"/>
        </w:rPr>
      </w:pPr>
    </w:p>
    <w:p w:rsidR="00221F31" w:rsidRDefault="00221F31" w:rsidP="00BC0CF4">
      <w:pPr>
        <w:pStyle w:val="Heading4"/>
        <w:shd w:val="clear" w:color="auto" w:fill="FFFFFF"/>
        <w:spacing w:before="0" w:beforeAutospacing="0" w:after="0" w:afterAutospacing="0"/>
        <w:ind w:right="60"/>
        <w:jc w:val="both"/>
        <w:rPr>
          <w:rFonts w:asciiTheme="minorBidi" w:eastAsia="Calibri" w:hAnsiTheme="minorBidi" w:cstheme="minorBidi"/>
          <w:b w:val="0"/>
          <w:bCs w:val="0"/>
        </w:rPr>
      </w:pPr>
      <w:proofErr w:type="spellStart"/>
      <w:r w:rsidRPr="00221F31">
        <w:rPr>
          <w:rFonts w:ascii="Arial" w:hAnsi="Arial" w:cs="Arial"/>
          <w:caps/>
          <w:color w:val="000000"/>
        </w:rPr>
        <w:t>RESULTS</w:t>
      </w:r>
      <w:r>
        <w:rPr>
          <w:rFonts w:ascii="Arial" w:hAnsi="Arial" w:cs="Arial"/>
          <w:caps/>
          <w:color w:val="000000"/>
        </w:rPr>
        <w:t>:</w:t>
      </w:r>
      <w:r w:rsidRPr="00BC0CF4">
        <w:rPr>
          <w:rFonts w:asciiTheme="minorBidi" w:eastAsia="Calibri" w:hAnsiTheme="minorBidi" w:cstheme="minorBidi"/>
          <w:b w:val="0"/>
          <w:bCs w:val="0"/>
        </w:rPr>
        <w:t>The</w:t>
      </w:r>
      <w:proofErr w:type="spellEnd"/>
      <w:r w:rsidRPr="00BC0CF4">
        <w:rPr>
          <w:rFonts w:asciiTheme="minorBidi" w:eastAsia="Calibri" w:hAnsiTheme="minorBidi" w:cstheme="minorBidi"/>
          <w:b w:val="0"/>
          <w:bCs w:val="0"/>
        </w:rPr>
        <w:t xml:space="preserve"> mean P50 and N95 latency were significantly higher in the POAG group and the OHT group compared to the control group (p &lt; 0.001,&lt; 0.001, respectively). Also, the mean P50 and N95 amplitude were significantly lower in the POAG group and the OHT group compared to the control group (p &lt; 0.001, &lt; 0.001, respectively).</w:t>
      </w:r>
      <w:r w:rsidRPr="00BC0CF4">
        <w:rPr>
          <w:rFonts w:asciiTheme="minorBidi" w:hAnsiTheme="minorBidi" w:cstheme="minorBidi"/>
          <w:b w:val="0"/>
          <w:bCs w:val="0"/>
          <w:color w:val="000000" w:themeColor="text1"/>
        </w:rPr>
        <w:t xml:space="preserve"> However, there was no significant correlation between</w:t>
      </w:r>
      <w:r w:rsidRPr="00BC0CF4">
        <w:rPr>
          <w:rFonts w:asciiTheme="minorBidi" w:hAnsiTheme="minorBidi" w:cstheme="minorBidi"/>
          <w:b w:val="0"/>
          <w:bCs w:val="0"/>
          <w:noProof/>
          <w:color w:val="000000" w:themeColor="text1"/>
        </w:rPr>
        <w:t xml:space="preserve"> PERG</w:t>
      </w:r>
      <w:r w:rsidRPr="00BC0CF4">
        <w:rPr>
          <w:rFonts w:asciiTheme="minorBidi" w:hAnsiTheme="minorBidi" w:cstheme="minorBidi"/>
          <w:b w:val="0"/>
          <w:bCs w:val="0"/>
          <w:color w:val="000000" w:themeColor="text1"/>
        </w:rPr>
        <w:t xml:space="preserve"> parameters and </w:t>
      </w:r>
      <w:r w:rsidRPr="00BC0CF4">
        <w:rPr>
          <w:rFonts w:asciiTheme="minorBidi" w:eastAsia="Calibri" w:hAnsiTheme="minorBidi" w:cstheme="minorBidi"/>
          <w:b w:val="0"/>
          <w:bCs w:val="0"/>
        </w:rPr>
        <w:t>OCT parameters.</w:t>
      </w:r>
    </w:p>
    <w:p w:rsidR="00BC0CF4" w:rsidRPr="00BC0CF4" w:rsidRDefault="00BC0CF4" w:rsidP="00BC0CF4">
      <w:pPr>
        <w:pStyle w:val="Heading4"/>
        <w:shd w:val="clear" w:color="auto" w:fill="FFFFFF"/>
        <w:spacing w:before="0" w:beforeAutospacing="0" w:after="0" w:afterAutospacing="0"/>
        <w:ind w:right="60"/>
        <w:jc w:val="both"/>
        <w:rPr>
          <w:rFonts w:ascii="Arial" w:hAnsi="Arial" w:cs="Arial"/>
          <w:caps/>
          <w:color w:val="000000"/>
          <w:sz w:val="44"/>
          <w:szCs w:val="44"/>
        </w:rPr>
      </w:pPr>
    </w:p>
    <w:p w:rsidR="00BC0CF4" w:rsidRPr="00BC0CF4" w:rsidRDefault="00BC0CF4" w:rsidP="00BC0CF4">
      <w:pPr>
        <w:pStyle w:val="Heading4"/>
        <w:shd w:val="clear" w:color="auto" w:fill="FFFFFF"/>
        <w:spacing w:before="0" w:beforeAutospacing="0" w:after="0" w:afterAutospacing="0"/>
        <w:ind w:right="60"/>
        <w:jc w:val="both"/>
        <w:rPr>
          <w:rFonts w:ascii="Arial" w:hAnsi="Arial" w:cs="Arial"/>
          <w:b w:val="0"/>
          <w:bCs w:val="0"/>
          <w:caps/>
          <w:color w:val="000000"/>
        </w:rPr>
      </w:pPr>
      <w:r w:rsidRPr="00BC0CF4">
        <w:rPr>
          <w:rFonts w:ascii="Arial" w:hAnsi="Arial" w:cs="Arial"/>
          <w:caps/>
          <w:color w:val="000000"/>
        </w:rPr>
        <w:t>CONCLUSIONS:</w:t>
      </w:r>
      <w:r w:rsidRPr="00BC0CF4">
        <w:rPr>
          <w:rFonts w:asciiTheme="minorBidi" w:eastAsia="Calibri" w:hAnsiTheme="minorBidi" w:cstheme="minorBidi"/>
          <w:b w:val="0"/>
          <w:bCs w:val="0"/>
        </w:rPr>
        <w:t xml:space="preserve">PERG can detect the dysfunctional but still viable ganglion cell earlier than OCT in OHT cases allowing the early start of treatment that can restore the ganglion cell function before </w:t>
      </w:r>
      <w:bookmarkStart w:id="0" w:name="_GoBack"/>
      <w:bookmarkEnd w:id="0"/>
      <w:r w:rsidRPr="00BC0CF4">
        <w:rPr>
          <w:rFonts w:asciiTheme="minorBidi" w:eastAsia="Calibri" w:hAnsiTheme="minorBidi" w:cstheme="minorBidi"/>
          <w:b w:val="0"/>
          <w:bCs w:val="0"/>
        </w:rPr>
        <w:t xml:space="preserve">irreversible damage occurs. </w:t>
      </w:r>
    </w:p>
    <w:p w:rsidR="0031512E" w:rsidRPr="00BC0CF4" w:rsidRDefault="0031512E" w:rsidP="00BC0CF4">
      <w:pPr>
        <w:spacing w:after="0"/>
        <w:jc w:val="both"/>
        <w:rPr>
          <w:sz w:val="52"/>
          <w:szCs w:val="52"/>
        </w:rPr>
      </w:pPr>
    </w:p>
    <w:sectPr w:rsidR="0031512E" w:rsidRPr="00BC0C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20"/>
  <w:characterSpacingControl w:val="doNotCompress"/>
  <w:compat>
    <w:useFELayout/>
  </w:compat>
  <w:rsids>
    <w:rsidRoot w:val="0031512E"/>
    <w:rsid w:val="00011C02"/>
    <w:rsid w:val="00221F31"/>
    <w:rsid w:val="0031512E"/>
    <w:rsid w:val="00BC0CF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1512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512E"/>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Heading4Char">
    <w:name w:val="Heading 4 Char"/>
    <w:basedOn w:val="DefaultParagraphFont"/>
    <w:link w:val="Heading4"/>
    <w:uiPriority w:val="9"/>
    <w:rsid w:val="0031512E"/>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844124876">
      <w:bodyDiv w:val="1"/>
      <w:marLeft w:val="0"/>
      <w:marRight w:val="0"/>
      <w:marTop w:val="0"/>
      <w:marBottom w:val="0"/>
      <w:divBdr>
        <w:top w:val="none" w:sz="0" w:space="0" w:color="auto"/>
        <w:left w:val="none" w:sz="0" w:space="0" w:color="auto"/>
        <w:bottom w:val="none" w:sz="0" w:space="0" w:color="auto"/>
        <w:right w:val="none" w:sz="0" w:space="0" w:color="auto"/>
      </w:divBdr>
    </w:div>
    <w:div w:id="1324774945">
      <w:bodyDiv w:val="1"/>
      <w:marLeft w:val="0"/>
      <w:marRight w:val="0"/>
      <w:marTop w:val="0"/>
      <w:marBottom w:val="0"/>
      <w:divBdr>
        <w:top w:val="none" w:sz="0" w:space="0" w:color="auto"/>
        <w:left w:val="none" w:sz="0" w:space="0" w:color="auto"/>
        <w:bottom w:val="none" w:sz="0" w:space="0" w:color="auto"/>
        <w:right w:val="none" w:sz="0" w:space="0" w:color="auto"/>
      </w:divBdr>
    </w:div>
    <w:div w:id="1616518813">
      <w:bodyDiv w:val="1"/>
      <w:marLeft w:val="0"/>
      <w:marRight w:val="0"/>
      <w:marTop w:val="0"/>
      <w:marBottom w:val="0"/>
      <w:divBdr>
        <w:top w:val="none" w:sz="0" w:space="0" w:color="auto"/>
        <w:left w:val="none" w:sz="0" w:space="0" w:color="auto"/>
        <w:bottom w:val="none" w:sz="0" w:space="0" w:color="auto"/>
        <w:right w:val="none" w:sz="0" w:space="0" w:color="auto"/>
      </w:divBdr>
    </w:div>
    <w:div w:id="172375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dc:creator>
  <cp:keywords/>
  <dc:description/>
  <cp:lastModifiedBy>hp1</cp:lastModifiedBy>
  <cp:revision>2</cp:revision>
  <dcterms:created xsi:type="dcterms:W3CDTF">2019-02-23T17:18:00Z</dcterms:created>
  <dcterms:modified xsi:type="dcterms:W3CDTF">2019-02-23T17:51:00Z</dcterms:modified>
</cp:coreProperties>
</file>