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A53" w:rsidRPr="00B13A53" w:rsidRDefault="00B13A53" w:rsidP="00B13A53">
      <w:pPr>
        <w:tabs>
          <w:tab w:val="left" w:pos="426"/>
          <w:tab w:val="right" w:pos="7371"/>
        </w:tabs>
        <w:autoSpaceDE w:val="0"/>
        <w:autoSpaceDN w:val="0"/>
        <w:bidi w:val="0"/>
        <w:adjustRightInd w:val="0"/>
        <w:snapToGrid w:val="0"/>
        <w:spacing w:after="0" w:line="360" w:lineRule="auto"/>
        <w:ind w:firstLine="567"/>
        <w:rPr>
          <w:rFonts w:ascii="Times New Roman" w:hAnsi="Times New Roman" w:cs="Times New Roman"/>
          <w:b/>
          <w:bCs/>
          <w:color w:val="000000" w:themeColor="text1"/>
          <w:sz w:val="21"/>
          <w:szCs w:val="21"/>
        </w:rPr>
      </w:pPr>
      <w:r w:rsidRPr="00B13A53">
        <w:rPr>
          <w:rFonts w:ascii="Times New Roman" w:hAnsi="Times New Roman" w:cs="Times New Roman"/>
          <w:b/>
          <w:bCs/>
          <w:color w:val="000000" w:themeColor="text1"/>
          <w:sz w:val="21"/>
          <w:szCs w:val="21"/>
          <w:highlight w:val="white"/>
        </w:rPr>
        <w:t xml:space="preserve">Impact of topical </w:t>
      </w:r>
      <w:proofErr w:type="spellStart"/>
      <w:r w:rsidRPr="00B13A53">
        <w:rPr>
          <w:rFonts w:ascii="Times New Roman" w:hAnsi="Times New Roman" w:cs="Times New Roman"/>
          <w:b/>
          <w:bCs/>
          <w:color w:val="000000" w:themeColor="text1"/>
          <w:sz w:val="21"/>
          <w:szCs w:val="21"/>
          <w:highlight w:val="white"/>
        </w:rPr>
        <w:t>nonsteroidal</w:t>
      </w:r>
      <w:proofErr w:type="spellEnd"/>
      <w:r w:rsidRPr="00B13A53">
        <w:rPr>
          <w:rFonts w:ascii="Times New Roman" w:hAnsi="Times New Roman" w:cs="Times New Roman"/>
          <w:b/>
          <w:bCs/>
          <w:color w:val="000000" w:themeColor="text1"/>
          <w:sz w:val="21"/>
          <w:szCs w:val="21"/>
          <w:highlight w:val="white"/>
        </w:rPr>
        <w:t xml:space="preserve"> anti-inflammatory drugs in prevention of macular edema following cataract surgery in diabetic patients</w:t>
      </w:r>
    </w:p>
    <w:p w:rsidR="00B13A53" w:rsidRPr="00B13A53" w:rsidRDefault="00B13A53" w:rsidP="00B13A53">
      <w:pPr>
        <w:tabs>
          <w:tab w:val="left" w:pos="426"/>
          <w:tab w:val="right" w:pos="7371"/>
        </w:tabs>
        <w:autoSpaceDE w:val="0"/>
        <w:autoSpaceDN w:val="0"/>
        <w:bidi w:val="0"/>
        <w:adjustRightInd w:val="0"/>
        <w:snapToGrid w:val="0"/>
        <w:spacing w:after="0" w:line="360" w:lineRule="auto"/>
        <w:ind w:firstLine="567"/>
        <w:rPr>
          <w:rFonts w:ascii="Times New Roman" w:hAnsi="Times New Roman" w:cs="Times New Roman"/>
          <w:i/>
          <w:iCs/>
          <w:color w:val="000000" w:themeColor="text1"/>
          <w:sz w:val="21"/>
          <w:szCs w:val="21"/>
        </w:rPr>
      </w:pPr>
      <w:r w:rsidRPr="00B13A53">
        <w:rPr>
          <w:rFonts w:ascii="Times New Roman" w:eastAsia="Times New Roman" w:hAnsi="Times New Roman" w:cs="Times New Roman"/>
          <w:color w:val="000000" w:themeColor="text1"/>
          <w:sz w:val="21"/>
          <w:szCs w:val="21"/>
        </w:rPr>
        <w:t xml:space="preserve">Ahmed </w:t>
      </w:r>
      <w:proofErr w:type="spellStart"/>
      <w:r w:rsidRPr="00B13A53">
        <w:rPr>
          <w:rFonts w:ascii="Times New Roman" w:eastAsia="Times New Roman" w:hAnsi="Times New Roman" w:cs="Times New Roman"/>
          <w:color w:val="000000" w:themeColor="text1"/>
          <w:sz w:val="21"/>
          <w:szCs w:val="21"/>
        </w:rPr>
        <w:t>Alnagdy</w:t>
      </w:r>
      <w:proofErr w:type="gramStart"/>
      <w:r w:rsidRPr="00B13A53">
        <w:rPr>
          <w:rFonts w:ascii="Times New Roman" w:hAnsi="Times New Roman" w:cs="Times New Roman"/>
          <w:i/>
          <w:iCs/>
          <w:color w:val="000000" w:themeColor="text1"/>
          <w:sz w:val="21"/>
          <w:szCs w:val="21"/>
        </w:rPr>
        <w:t>,</w:t>
      </w:r>
      <w:r w:rsidRPr="00B13A53">
        <w:rPr>
          <w:rFonts w:ascii="Times New Roman" w:eastAsia="Times New Roman" w:hAnsi="Times New Roman" w:cs="Times New Roman"/>
          <w:color w:val="000000" w:themeColor="text1"/>
          <w:sz w:val="21"/>
          <w:szCs w:val="21"/>
        </w:rPr>
        <w:t>Hossam</w:t>
      </w:r>
      <w:proofErr w:type="spellEnd"/>
      <w:proofErr w:type="gramEnd"/>
      <w:r w:rsidRPr="00B13A53">
        <w:rPr>
          <w:rFonts w:ascii="Times New Roman" w:eastAsia="Times New Roman" w:hAnsi="Times New Roman" w:cs="Times New Roman"/>
          <w:color w:val="000000" w:themeColor="text1"/>
          <w:sz w:val="21"/>
          <w:szCs w:val="21"/>
        </w:rPr>
        <w:t xml:space="preserve"> </w:t>
      </w:r>
      <w:proofErr w:type="spellStart"/>
      <w:r w:rsidRPr="00B13A53">
        <w:rPr>
          <w:rFonts w:ascii="Times New Roman" w:eastAsia="Times New Roman" w:hAnsi="Times New Roman" w:cs="Times New Roman"/>
          <w:color w:val="000000" w:themeColor="text1"/>
          <w:sz w:val="21"/>
          <w:szCs w:val="21"/>
        </w:rPr>
        <w:t>Abouelkheir</w:t>
      </w:r>
      <w:r w:rsidRPr="00B13A53">
        <w:rPr>
          <w:rFonts w:ascii="Times New Roman" w:hAnsi="Times New Roman" w:cs="Times New Roman"/>
          <w:i/>
          <w:iCs/>
          <w:color w:val="000000" w:themeColor="text1"/>
          <w:sz w:val="21"/>
          <w:szCs w:val="21"/>
        </w:rPr>
        <w:t>,</w:t>
      </w:r>
      <w:r w:rsidRPr="00B13A53">
        <w:rPr>
          <w:rFonts w:ascii="Times New Roman" w:eastAsia="Times New Roman" w:hAnsi="Times New Roman" w:cs="Times New Roman"/>
          <w:color w:val="000000" w:themeColor="text1"/>
          <w:sz w:val="21"/>
          <w:szCs w:val="21"/>
        </w:rPr>
        <w:t>Sherief</w:t>
      </w:r>
      <w:proofErr w:type="spellEnd"/>
      <w:r w:rsidRPr="00B13A53">
        <w:rPr>
          <w:rFonts w:ascii="Times New Roman" w:eastAsia="Times New Roman" w:hAnsi="Times New Roman" w:cs="Times New Roman"/>
          <w:color w:val="000000" w:themeColor="text1"/>
          <w:sz w:val="21"/>
          <w:szCs w:val="21"/>
        </w:rPr>
        <w:t xml:space="preserve"> </w:t>
      </w:r>
      <w:proofErr w:type="spellStart"/>
      <w:r w:rsidRPr="00B13A53">
        <w:rPr>
          <w:rFonts w:ascii="Times New Roman" w:eastAsia="Times New Roman" w:hAnsi="Times New Roman" w:cs="Times New Roman"/>
          <w:color w:val="000000" w:themeColor="text1"/>
          <w:sz w:val="21"/>
          <w:szCs w:val="21"/>
        </w:rPr>
        <w:t>E.</w:t>
      </w:r>
      <w:r w:rsidRPr="00B13A53">
        <w:rPr>
          <w:rFonts w:ascii="Times New Roman" w:eastAsia="Times New Roman" w:hAnsi="Times New Roman" w:cs="Times New Roman"/>
          <w:i/>
          <w:iCs/>
          <w:color w:val="000000" w:themeColor="text1"/>
          <w:sz w:val="21"/>
          <w:szCs w:val="21"/>
        </w:rPr>
        <w:t>El-Khouly</w:t>
      </w:r>
      <w:proofErr w:type="spellEnd"/>
      <w:r w:rsidRPr="00B13A53">
        <w:rPr>
          <w:rFonts w:ascii="Times New Roman" w:eastAsia="Times New Roman" w:hAnsi="Times New Roman" w:cs="Times New Roman"/>
          <w:i/>
          <w:iCs/>
          <w:color w:val="000000" w:themeColor="text1"/>
          <w:sz w:val="21"/>
          <w:szCs w:val="21"/>
        </w:rPr>
        <w:t xml:space="preserve">, </w:t>
      </w:r>
      <w:proofErr w:type="spellStart"/>
      <w:r w:rsidRPr="00B13A53">
        <w:rPr>
          <w:rFonts w:ascii="Times New Roman" w:eastAsia="Times New Roman" w:hAnsi="Times New Roman" w:cs="Times New Roman"/>
          <w:i/>
          <w:iCs/>
          <w:color w:val="000000" w:themeColor="text1"/>
          <w:sz w:val="21"/>
          <w:szCs w:val="21"/>
        </w:rPr>
        <w:t>Sahar</w:t>
      </w:r>
      <w:proofErr w:type="spellEnd"/>
      <w:r w:rsidRPr="00B13A53">
        <w:rPr>
          <w:rFonts w:ascii="Times New Roman" w:eastAsia="Times New Roman" w:hAnsi="Times New Roman" w:cs="Times New Roman"/>
          <w:i/>
          <w:iCs/>
          <w:color w:val="000000" w:themeColor="text1"/>
          <w:sz w:val="21"/>
          <w:szCs w:val="21"/>
        </w:rPr>
        <w:t xml:space="preserve"> M. El </w:t>
      </w:r>
      <w:proofErr w:type="spellStart"/>
      <w:r w:rsidRPr="00B13A53">
        <w:rPr>
          <w:rFonts w:ascii="Times New Roman" w:eastAsia="Times New Roman" w:hAnsi="Times New Roman" w:cs="Times New Roman"/>
          <w:i/>
          <w:iCs/>
          <w:color w:val="000000" w:themeColor="text1"/>
          <w:sz w:val="21"/>
          <w:szCs w:val="21"/>
        </w:rPr>
        <w:t>Tarshouby</w:t>
      </w:r>
      <w:proofErr w:type="spellEnd"/>
    </w:p>
    <w:p w:rsidR="00B13A53" w:rsidRPr="00B13A53" w:rsidRDefault="00B13A53" w:rsidP="00B13A53">
      <w:pPr>
        <w:widowControl w:val="0"/>
        <w:tabs>
          <w:tab w:val="left" w:pos="426"/>
          <w:tab w:val="right" w:pos="7371"/>
        </w:tabs>
        <w:autoSpaceDE w:val="0"/>
        <w:autoSpaceDN w:val="0"/>
        <w:bidi w:val="0"/>
        <w:adjustRightInd w:val="0"/>
        <w:snapToGrid w:val="0"/>
        <w:spacing w:after="0" w:line="360" w:lineRule="auto"/>
        <w:ind w:firstLine="567"/>
        <w:rPr>
          <w:rFonts w:ascii="Times New Roman" w:eastAsia="Times New Roman" w:hAnsi="Times New Roman" w:cs="Times New Roman"/>
          <w:color w:val="000000" w:themeColor="text1"/>
          <w:sz w:val="21"/>
          <w:szCs w:val="21"/>
        </w:rPr>
      </w:pPr>
      <w:r w:rsidRPr="00B13A53">
        <w:rPr>
          <w:rFonts w:ascii="Times New Roman" w:eastAsia="Times New Roman" w:hAnsi="Times New Roman" w:cs="Times New Roman"/>
          <w:color w:val="000000" w:themeColor="text1"/>
          <w:sz w:val="21"/>
          <w:szCs w:val="21"/>
        </w:rPr>
        <w:t>Mansoura ophthalmology center, Faculty of medicine, Mansoura University 2017</w:t>
      </w:r>
    </w:p>
    <w:p w:rsidR="00B13A53" w:rsidRPr="00B13A53" w:rsidRDefault="00B13A53" w:rsidP="00B13A53">
      <w:pPr>
        <w:bidi w:val="0"/>
        <w:adjustRightInd w:val="0"/>
        <w:snapToGrid w:val="0"/>
        <w:spacing w:after="0" w:line="360" w:lineRule="auto"/>
        <w:ind w:firstLine="567"/>
        <w:rPr>
          <w:rFonts w:ascii="Times New Roman" w:hAnsi="Times New Roman" w:cs="Times New Roman"/>
          <w:iCs/>
          <w:color w:val="000000" w:themeColor="text1"/>
          <w:sz w:val="21"/>
          <w:szCs w:val="21"/>
        </w:rPr>
      </w:pPr>
      <w:r w:rsidRPr="00B13A53">
        <w:rPr>
          <w:rFonts w:ascii="Times New Roman" w:hAnsi="Times New Roman" w:cs="Times New Roman"/>
          <w:b/>
          <w:bCs/>
          <w:iCs/>
          <w:color w:val="000000" w:themeColor="text1"/>
          <w:sz w:val="21"/>
          <w:szCs w:val="21"/>
        </w:rPr>
        <w:t>Running title</w:t>
      </w:r>
      <w:r w:rsidRPr="00B13A53">
        <w:rPr>
          <w:rFonts w:ascii="Times New Roman" w:hAnsi="Times New Roman" w:cs="Times New Roman"/>
          <w:iCs/>
          <w:color w:val="000000" w:themeColor="text1"/>
          <w:sz w:val="21"/>
          <w:szCs w:val="21"/>
        </w:rPr>
        <w:t xml:space="preserve">: </w:t>
      </w:r>
      <w:r w:rsidRPr="00B13A53">
        <w:rPr>
          <w:rFonts w:ascii="Times New Roman" w:hAnsi="Times New Roman" w:cs="Times New Roman"/>
          <w:b/>
          <w:bCs/>
          <w:color w:val="000000" w:themeColor="text1"/>
          <w:sz w:val="21"/>
          <w:szCs w:val="21"/>
          <w:highlight w:val="white"/>
        </w:rPr>
        <w:t xml:space="preserve">NSAIDs in prevention of </w:t>
      </w:r>
      <w:r w:rsidRPr="00B13A53">
        <w:rPr>
          <w:rFonts w:ascii="Times New Roman" w:hAnsi="Times New Roman" w:cs="Times New Roman"/>
          <w:b/>
          <w:bCs/>
          <w:color w:val="000000" w:themeColor="text1"/>
          <w:sz w:val="21"/>
          <w:szCs w:val="21"/>
        </w:rPr>
        <w:t>CME</w:t>
      </w:r>
      <w:r w:rsidRPr="00B13A53">
        <w:rPr>
          <w:rFonts w:ascii="Times New Roman" w:hAnsi="Times New Roman" w:cs="Times New Roman"/>
          <w:b/>
          <w:bCs/>
          <w:color w:val="000000" w:themeColor="text1"/>
          <w:sz w:val="21"/>
          <w:szCs w:val="21"/>
          <w:highlight w:val="white"/>
        </w:rPr>
        <w:t xml:space="preserve"> following cataract surgery in diabetics</w:t>
      </w:r>
    </w:p>
    <w:p w:rsidR="00B13A53" w:rsidRPr="00B13A53" w:rsidRDefault="00B13A53" w:rsidP="00B13A53">
      <w:pPr>
        <w:bidi w:val="0"/>
        <w:adjustRightInd w:val="0"/>
        <w:snapToGrid w:val="0"/>
        <w:spacing w:after="0" w:line="360" w:lineRule="auto"/>
        <w:ind w:firstLine="567"/>
        <w:rPr>
          <w:rFonts w:ascii="Times New Roman" w:eastAsiaTheme="minorEastAsia" w:hAnsi="Times New Roman" w:cs="Times New Roman"/>
          <w:iCs/>
          <w:color w:val="000000" w:themeColor="text1"/>
          <w:sz w:val="21"/>
          <w:szCs w:val="21"/>
        </w:rPr>
      </w:pPr>
      <w:r w:rsidRPr="00B13A53">
        <w:rPr>
          <w:rFonts w:ascii="Times New Roman" w:eastAsiaTheme="minorEastAsia" w:hAnsi="Times New Roman" w:cs="Times New Roman"/>
          <w:iCs/>
          <w:color w:val="000000" w:themeColor="text1"/>
          <w:sz w:val="21"/>
          <w:szCs w:val="21"/>
        </w:rPr>
        <w:t>The authors have no proprietary interest.</w:t>
      </w:r>
    </w:p>
    <w:p w:rsidR="00B13A53" w:rsidRPr="00B13A53" w:rsidRDefault="00B13A53" w:rsidP="00B13A53">
      <w:pPr>
        <w:bidi w:val="0"/>
        <w:adjustRightInd w:val="0"/>
        <w:snapToGrid w:val="0"/>
        <w:spacing w:after="0" w:line="360" w:lineRule="auto"/>
        <w:ind w:firstLine="567"/>
        <w:rPr>
          <w:rFonts w:ascii="Times New Roman" w:eastAsiaTheme="minorEastAsia" w:hAnsi="Times New Roman" w:cs="Times New Roman"/>
          <w:iCs/>
          <w:color w:val="000000" w:themeColor="text1"/>
          <w:sz w:val="21"/>
          <w:szCs w:val="21"/>
        </w:rPr>
      </w:pPr>
      <w:r w:rsidRPr="00B13A53">
        <w:rPr>
          <w:rFonts w:ascii="Times New Roman" w:eastAsiaTheme="minorEastAsia" w:hAnsi="Times New Roman" w:cs="Times New Roman"/>
          <w:iCs/>
          <w:color w:val="000000" w:themeColor="text1"/>
          <w:sz w:val="21"/>
          <w:szCs w:val="21"/>
        </w:rPr>
        <w:t>Financial support: no</w:t>
      </w:r>
    </w:p>
    <w:p w:rsidR="00B13A53" w:rsidRPr="00B13A53" w:rsidRDefault="00B13A53" w:rsidP="00B13A53">
      <w:pPr>
        <w:bidi w:val="0"/>
        <w:spacing w:line="360" w:lineRule="auto"/>
        <w:rPr>
          <w:rFonts w:ascii="Times New Roman" w:eastAsiaTheme="minorEastAsia" w:hAnsi="Times New Roman" w:cs="Times New Roman"/>
          <w:b/>
          <w:iCs/>
          <w:color w:val="000000" w:themeColor="text1"/>
          <w:sz w:val="21"/>
          <w:szCs w:val="21"/>
          <w:lang w:eastAsia="zh-CN"/>
        </w:rPr>
      </w:pPr>
      <w:r w:rsidRPr="00B13A53">
        <w:rPr>
          <w:rFonts w:ascii="Times New Roman" w:eastAsiaTheme="minorEastAsia" w:hAnsi="Times New Roman" w:cs="Times New Roman" w:hint="eastAsia"/>
          <w:b/>
          <w:iCs/>
          <w:color w:val="000000" w:themeColor="text1"/>
          <w:sz w:val="21"/>
          <w:szCs w:val="21"/>
          <w:lang w:eastAsia="zh-CN"/>
        </w:rPr>
        <w:t>Abstract</w:t>
      </w:r>
    </w:p>
    <w:p w:rsidR="00B13A53" w:rsidRPr="00B13A53" w:rsidRDefault="00B13A53" w:rsidP="00B13A53">
      <w:pPr>
        <w:pStyle w:val="Default"/>
        <w:snapToGrid w:val="0"/>
        <w:spacing w:line="360" w:lineRule="auto"/>
        <w:ind w:firstLine="567"/>
        <w:jc w:val="both"/>
        <w:rPr>
          <w:rFonts w:ascii="Times New Roman" w:eastAsia="Times New Roman" w:hAnsi="Times New Roman" w:cs="Times New Roman"/>
          <w:bCs/>
          <w:color w:val="000000" w:themeColor="text1"/>
          <w:spacing w:val="-7"/>
          <w:w w:val="111"/>
          <w:sz w:val="21"/>
          <w:szCs w:val="21"/>
        </w:rPr>
      </w:pPr>
      <w:r w:rsidRPr="00B13A53">
        <w:rPr>
          <w:rFonts w:ascii="Times New Roman" w:eastAsiaTheme="minorEastAsia" w:hAnsi="Times New Roman" w:cs="Times New Roman" w:hint="eastAsia"/>
          <w:b/>
          <w:iCs/>
          <w:color w:val="000000" w:themeColor="text1"/>
          <w:sz w:val="21"/>
          <w:szCs w:val="21"/>
          <w:lang w:eastAsia="zh-CN"/>
        </w:rPr>
        <w:t>AIM</w:t>
      </w:r>
      <w:r w:rsidRPr="00B13A53">
        <w:rPr>
          <w:rFonts w:ascii="Times New Roman" w:eastAsiaTheme="minorEastAsia" w:hAnsi="Times New Roman" w:cs="Times New Roman"/>
          <w:b/>
          <w:iCs/>
          <w:color w:val="000000" w:themeColor="text1"/>
          <w:sz w:val="21"/>
          <w:szCs w:val="21"/>
          <w:lang w:eastAsia="zh-CN"/>
        </w:rPr>
        <w:t xml:space="preserve">: </w:t>
      </w:r>
      <w:r w:rsidRPr="00B13A53">
        <w:rPr>
          <w:rFonts w:ascii="Times New Roman" w:eastAsia="Times New Roman" w:hAnsi="Times New Roman" w:cs="Times New Roman"/>
          <w:bCs/>
          <w:color w:val="000000" w:themeColor="text1"/>
          <w:spacing w:val="-7"/>
          <w:w w:val="111"/>
          <w:sz w:val="21"/>
          <w:szCs w:val="21"/>
        </w:rPr>
        <w:t xml:space="preserve">Evaluating the efficacy of prophylactic administration of topical non-steroidal anti-inflammatory drugs on macular edema following cataract surgery in diabetic patients, and comparing between types of non-steroidal anti-inflammatory drugs (ketorolac </w:t>
      </w:r>
      <w:proofErr w:type="spellStart"/>
      <w:r w:rsidRPr="00B13A53">
        <w:rPr>
          <w:rFonts w:ascii="Times New Roman" w:eastAsia="Times New Roman" w:hAnsi="Times New Roman" w:cs="Times New Roman"/>
          <w:bCs/>
          <w:color w:val="000000" w:themeColor="text1"/>
          <w:spacing w:val="-7"/>
          <w:w w:val="111"/>
          <w:sz w:val="21"/>
          <w:szCs w:val="21"/>
        </w:rPr>
        <w:t>tromethamine</w:t>
      </w:r>
      <w:proofErr w:type="spellEnd"/>
      <w:r w:rsidRPr="00B13A53">
        <w:rPr>
          <w:rFonts w:ascii="Times New Roman" w:eastAsia="Times New Roman" w:hAnsi="Times New Roman" w:cs="Times New Roman"/>
          <w:bCs/>
          <w:color w:val="000000" w:themeColor="text1"/>
          <w:spacing w:val="-7"/>
          <w:w w:val="111"/>
          <w:sz w:val="21"/>
          <w:szCs w:val="21"/>
        </w:rPr>
        <w:t xml:space="preserve"> 0.4% and </w:t>
      </w:r>
      <w:proofErr w:type="spellStart"/>
      <w:r w:rsidRPr="00B13A53">
        <w:rPr>
          <w:rFonts w:ascii="Times New Roman" w:eastAsia="Times New Roman" w:hAnsi="Times New Roman" w:cs="Times New Roman"/>
          <w:bCs/>
          <w:color w:val="000000" w:themeColor="text1"/>
          <w:spacing w:val="-7"/>
          <w:w w:val="111"/>
          <w:sz w:val="21"/>
          <w:szCs w:val="21"/>
        </w:rPr>
        <w:t>nepafenac</w:t>
      </w:r>
      <w:proofErr w:type="spellEnd"/>
      <w:r w:rsidRPr="00B13A53">
        <w:rPr>
          <w:rFonts w:ascii="Times New Roman" w:eastAsia="Times New Roman" w:hAnsi="Times New Roman" w:cs="Times New Roman"/>
          <w:bCs/>
          <w:color w:val="000000" w:themeColor="text1"/>
          <w:spacing w:val="-7"/>
          <w:w w:val="111"/>
          <w:sz w:val="21"/>
          <w:szCs w:val="21"/>
        </w:rPr>
        <w:t xml:space="preserve"> 0.1%) in preventing macular edema in diabetic patients undergoing phacoemulsification cataract surgery.</w:t>
      </w:r>
    </w:p>
    <w:p w:rsidR="00B13A53" w:rsidRPr="00B13A53" w:rsidRDefault="00B13A53" w:rsidP="00B13A53">
      <w:pPr>
        <w:tabs>
          <w:tab w:val="left" w:pos="426"/>
          <w:tab w:val="right" w:pos="7371"/>
        </w:tabs>
        <w:bidi w:val="0"/>
        <w:adjustRightInd w:val="0"/>
        <w:snapToGrid w:val="0"/>
        <w:spacing w:after="0" w:line="360" w:lineRule="auto"/>
        <w:ind w:firstLine="567"/>
        <w:jc w:val="both"/>
        <w:rPr>
          <w:rFonts w:ascii="Times New Roman" w:eastAsia="Times New Roman" w:hAnsi="Times New Roman" w:cs="Times New Roman"/>
          <w:bCs/>
          <w:color w:val="000000" w:themeColor="text1"/>
          <w:spacing w:val="-7"/>
          <w:w w:val="111"/>
          <w:sz w:val="21"/>
          <w:szCs w:val="21"/>
        </w:rPr>
      </w:pPr>
      <w:r w:rsidRPr="00B13A53">
        <w:rPr>
          <w:rFonts w:ascii="Times New Roman" w:eastAsia="Times New Roman" w:hAnsi="Times New Roman" w:cs="Times New Roman"/>
          <w:b/>
          <w:bCs/>
          <w:color w:val="000000" w:themeColor="text1"/>
          <w:spacing w:val="4"/>
          <w:sz w:val="21"/>
          <w:szCs w:val="21"/>
        </w:rPr>
        <w:t xml:space="preserve">METHODS: </w:t>
      </w:r>
      <w:r w:rsidRPr="00B13A53">
        <w:rPr>
          <w:rFonts w:ascii="Times New Roman" w:eastAsia="Times New Roman" w:hAnsi="Times New Roman" w:cs="Times New Roman"/>
          <w:bCs/>
          <w:color w:val="000000" w:themeColor="text1"/>
          <w:spacing w:val="-7"/>
          <w:w w:val="111"/>
          <w:sz w:val="21"/>
          <w:szCs w:val="21"/>
        </w:rPr>
        <w:t>Group1 (control) received artificial tears substitute as a placebo group, group 2</w:t>
      </w:r>
      <w:r>
        <w:rPr>
          <w:rFonts w:ascii="Times New Roman" w:eastAsia="Times New Roman" w:hAnsi="Times New Roman" w:cs="Times New Roman"/>
          <w:bCs/>
          <w:color w:val="000000" w:themeColor="text1"/>
          <w:spacing w:val="-7"/>
          <w:w w:val="111"/>
          <w:sz w:val="21"/>
          <w:szCs w:val="21"/>
        </w:rPr>
        <w:t xml:space="preserve"> </w:t>
      </w:r>
      <w:bookmarkStart w:id="0" w:name="_GoBack"/>
      <w:bookmarkEnd w:id="0"/>
      <w:r w:rsidRPr="00B13A53">
        <w:rPr>
          <w:rFonts w:ascii="Times New Roman" w:eastAsia="Times New Roman" w:hAnsi="Times New Roman" w:cs="Times New Roman"/>
          <w:bCs/>
          <w:color w:val="000000" w:themeColor="text1"/>
          <w:spacing w:val="-7"/>
          <w:w w:val="111"/>
          <w:sz w:val="21"/>
          <w:szCs w:val="21"/>
        </w:rPr>
        <w:t xml:space="preserve">(Nepafenac) received topical </w:t>
      </w:r>
      <w:proofErr w:type="spellStart"/>
      <w:r w:rsidRPr="00B13A53">
        <w:rPr>
          <w:rFonts w:ascii="Times New Roman" w:eastAsia="Times New Roman" w:hAnsi="Times New Roman" w:cs="Times New Roman"/>
          <w:bCs/>
          <w:color w:val="000000" w:themeColor="text1"/>
          <w:spacing w:val="-7"/>
          <w:w w:val="111"/>
          <w:sz w:val="21"/>
          <w:szCs w:val="21"/>
        </w:rPr>
        <w:t>nepafenac</w:t>
      </w:r>
      <w:proofErr w:type="spellEnd"/>
      <w:r w:rsidRPr="00B13A53">
        <w:rPr>
          <w:rFonts w:ascii="Times New Roman" w:eastAsia="Times New Roman" w:hAnsi="Times New Roman" w:cs="Times New Roman"/>
          <w:bCs/>
          <w:color w:val="000000" w:themeColor="text1"/>
          <w:spacing w:val="-7"/>
          <w:w w:val="111"/>
          <w:sz w:val="21"/>
          <w:szCs w:val="21"/>
        </w:rPr>
        <w:t xml:space="preserve"> 0.1%, group 3(Ketorolac) received topical ketorolac </w:t>
      </w:r>
      <w:proofErr w:type="spellStart"/>
      <w:r w:rsidRPr="00B13A53">
        <w:rPr>
          <w:rFonts w:ascii="Times New Roman" w:eastAsia="Times New Roman" w:hAnsi="Times New Roman" w:cs="Times New Roman"/>
          <w:bCs/>
          <w:color w:val="000000" w:themeColor="text1"/>
          <w:spacing w:val="-7"/>
          <w:w w:val="111"/>
          <w:sz w:val="21"/>
          <w:szCs w:val="21"/>
        </w:rPr>
        <w:t>tromethamine</w:t>
      </w:r>
      <w:proofErr w:type="spellEnd"/>
      <w:r w:rsidRPr="00B13A53">
        <w:rPr>
          <w:rFonts w:ascii="Times New Roman" w:eastAsia="Times New Roman" w:hAnsi="Times New Roman" w:cs="Times New Roman"/>
          <w:bCs/>
          <w:color w:val="000000" w:themeColor="text1"/>
          <w:spacing w:val="-7"/>
          <w:w w:val="111"/>
          <w:sz w:val="21"/>
          <w:szCs w:val="21"/>
        </w:rPr>
        <w:t xml:space="preserve"> 0.4%. Patients were examined postoperatively after completing one week, one month, two months and three months’ intervals for evaluating cystoid macular edema (CME) development. The main study outcomes were achieving the best corrected visual acuity (BCVA) and change in the central macular thickness measured with optical coherence topography (OCT).</w:t>
      </w:r>
    </w:p>
    <w:p w:rsidR="00B13A53" w:rsidRPr="00B13A53" w:rsidRDefault="00B13A53" w:rsidP="00B13A53">
      <w:pPr>
        <w:tabs>
          <w:tab w:val="left" w:pos="426"/>
          <w:tab w:val="right" w:pos="7371"/>
        </w:tabs>
        <w:bidi w:val="0"/>
        <w:adjustRightInd w:val="0"/>
        <w:snapToGrid w:val="0"/>
        <w:spacing w:after="0" w:line="360" w:lineRule="auto"/>
        <w:ind w:firstLine="567"/>
        <w:jc w:val="both"/>
        <w:rPr>
          <w:rFonts w:ascii="Times New Roman" w:eastAsia="Times New Roman" w:hAnsi="Times New Roman" w:cs="Times New Roman"/>
          <w:bCs/>
          <w:color w:val="000000" w:themeColor="text1"/>
          <w:spacing w:val="-7"/>
          <w:w w:val="111"/>
          <w:sz w:val="21"/>
          <w:szCs w:val="21"/>
        </w:rPr>
      </w:pPr>
      <w:r w:rsidRPr="00B13A53">
        <w:rPr>
          <w:rFonts w:ascii="Times New Roman" w:eastAsia="Times New Roman" w:hAnsi="Times New Roman" w:cs="Times New Roman"/>
          <w:b/>
          <w:color w:val="000000" w:themeColor="text1"/>
          <w:sz w:val="21"/>
          <w:szCs w:val="21"/>
        </w:rPr>
        <w:t xml:space="preserve">RESULTS: </w:t>
      </w:r>
      <w:r w:rsidRPr="00B13A53">
        <w:rPr>
          <w:rFonts w:ascii="Times New Roman" w:eastAsia="Times New Roman" w:hAnsi="Times New Roman" w:cs="Times New Roman"/>
          <w:bCs/>
          <w:color w:val="000000" w:themeColor="text1"/>
          <w:spacing w:val="-7"/>
          <w:w w:val="111"/>
          <w:sz w:val="21"/>
          <w:szCs w:val="21"/>
        </w:rPr>
        <w:t xml:space="preserve">Eighty eyes of 76 patients were included in this study. BCVA showed a statistically significant difference at the third month postoperative follow up between the control group and the </w:t>
      </w:r>
      <w:proofErr w:type="spellStart"/>
      <w:r w:rsidRPr="00B13A53">
        <w:rPr>
          <w:rFonts w:ascii="Times New Roman" w:eastAsia="Times New Roman" w:hAnsi="Times New Roman" w:cs="Times New Roman"/>
          <w:bCs/>
          <w:color w:val="000000" w:themeColor="text1"/>
          <w:spacing w:val="-7"/>
          <w:w w:val="111"/>
          <w:sz w:val="21"/>
          <w:szCs w:val="21"/>
        </w:rPr>
        <w:t>nonsteroidal</w:t>
      </w:r>
      <w:proofErr w:type="spellEnd"/>
      <w:r w:rsidRPr="00B13A53">
        <w:rPr>
          <w:rFonts w:ascii="Times New Roman" w:eastAsia="Times New Roman" w:hAnsi="Times New Roman" w:cs="Times New Roman"/>
          <w:bCs/>
          <w:color w:val="000000" w:themeColor="text1"/>
          <w:spacing w:val="-7"/>
          <w:w w:val="111"/>
          <w:sz w:val="21"/>
          <w:szCs w:val="21"/>
        </w:rPr>
        <w:t xml:space="preserve"> anti-inflammatory (NSAIDs) groups. There was an increase in the central macular thickness (CMT) in all cases starting from postoperative first week until third month. CMT showed a statistically significant difference between control group and NSAIDs groups from postoperative first month until third month. There was no statistically significant difference between </w:t>
      </w:r>
      <w:proofErr w:type="spellStart"/>
      <w:r w:rsidRPr="00B13A53">
        <w:rPr>
          <w:rFonts w:ascii="Times New Roman" w:eastAsia="Times New Roman" w:hAnsi="Times New Roman" w:cs="Times New Roman"/>
          <w:bCs/>
          <w:color w:val="000000" w:themeColor="text1"/>
          <w:spacing w:val="-7"/>
          <w:w w:val="111"/>
          <w:sz w:val="21"/>
          <w:szCs w:val="21"/>
        </w:rPr>
        <w:t>Nepafenac</w:t>
      </w:r>
      <w:proofErr w:type="spellEnd"/>
      <w:r w:rsidRPr="00B13A53">
        <w:rPr>
          <w:rFonts w:ascii="Times New Roman" w:eastAsia="Times New Roman" w:hAnsi="Times New Roman" w:cs="Times New Roman"/>
          <w:bCs/>
          <w:color w:val="000000" w:themeColor="text1"/>
          <w:spacing w:val="-7"/>
          <w:w w:val="111"/>
          <w:sz w:val="21"/>
          <w:szCs w:val="21"/>
        </w:rPr>
        <w:t xml:space="preserve"> and Ketorolac groups in BCVA and OCT CMT. </w:t>
      </w:r>
    </w:p>
    <w:p w:rsidR="00B13A53" w:rsidRPr="00B13A53" w:rsidRDefault="00B13A53" w:rsidP="00B13A53">
      <w:pPr>
        <w:tabs>
          <w:tab w:val="left" w:pos="426"/>
          <w:tab w:val="right" w:pos="7371"/>
        </w:tabs>
        <w:bidi w:val="0"/>
        <w:adjustRightInd w:val="0"/>
        <w:snapToGrid w:val="0"/>
        <w:spacing w:after="0" w:line="360" w:lineRule="auto"/>
        <w:ind w:firstLine="567"/>
        <w:jc w:val="both"/>
        <w:rPr>
          <w:rFonts w:ascii="Times New Roman" w:eastAsia="Times New Roman" w:hAnsi="Times New Roman" w:cs="Times New Roman"/>
          <w:bCs/>
          <w:color w:val="000000" w:themeColor="text1"/>
          <w:spacing w:val="-7"/>
          <w:w w:val="111"/>
          <w:sz w:val="21"/>
          <w:szCs w:val="21"/>
        </w:rPr>
      </w:pPr>
      <w:r w:rsidRPr="00B13A53">
        <w:rPr>
          <w:rFonts w:ascii="Times New Roman" w:eastAsia="Times New Roman" w:hAnsi="Times New Roman" w:cs="Times New Roman"/>
          <w:b/>
          <w:color w:val="000000" w:themeColor="text1"/>
          <w:spacing w:val="2"/>
          <w:w w:val="105"/>
          <w:sz w:val="21"/>
          <w:szCs w:val="21"/>
        </w:rPr>
        <w:t>CONCLUSION:</w:t>
      </w:r>
      <w:r w:rsidRPr="00B13A53">
        <w:rPr>
          <w:rFonts w:ascii="Times New Roman" w:eastAsia="Times New Roman" w:hAnsi="Times New Roman" w:cs="Times New Roman"/>
          <w:bCs/>
          <w:color w:val="000000" w:themeColor="text1"/>
          <w:spacing w:val="-7"/>
          <w:w w:val="111"/>
          <w:sz w:val="21"/>
          <w:szCs w:val="21"/>
        </w:rPr>
        <w:t xml:space="preserve"> Prophylactic preoperative and postoperative NSAIDs may have a role in reducing the frequency and severity of CME in diabetic eyes following cataract surgery.</w:t>
      </w:r>
    </w:p>
    <w:p w:rsidR="00B13A53" w:rsidRPr="00B13A53" w:rsidRDefault="00B13A53" w:rsidP="00B13A53">
      <w:pPr>
        <w:tabs>
          <w:tab w:val="left" w:pos="426"/>
          <w:tab w:val="right" w:pos="7371"/>
        </w:tabs>
        <w:bidi w:val="0"/>
        <w:adjustRightInd w:val="0"/>
        <w:snapToGrid w:val="0"/>
        <w:spacing w:after="0" w:line="360" w:lineRule="auto"/>
        <w:ind w:firstLine="567"/>
        <w:jc w:val="both"/>
        <w:rPr>
          <w:rFonts w:ascii="Times New Roman" w:eastAsia="Times New Roman" w:hAnsi="Times New Roman" w:cs="Times New Roman"/>
          <w:bCs/>
          <w:color w:val="000000" w:themeColor="text1"/>
          <w:spacing w:val="-7"/>
          <w:w w:val="111"/>
          <w:sz w:val="21"/>
          <w:szCs w:val="21"/>
        </w:rPr>
      </w:pPr>
      <w:r w:rsidRPr="00B13A53">
        <w:rPr>
          <w:rFonts w:ascii="Times New Roman" w:eastAsia="Times New Roman" w:hAnsi="Times New Roman" w:cs="Times New Roman"/>
          <w:b/>
          <w:color w:val="000000" w:themeColor="text1"/>
          <w:spacing w:val="-1"/>
          <w:sz w:val="21"/>
          <w:szCs w:val="21"/>
        </w:rPr>
        <w:t>K</w:t>
      </w:r>
      <w:r w:rsidRPr="00B13A53">
        <w:rPr>
          <w:rFonts w:ascii="Times New Roman" w:eastAsia="Times New Roman" w:hAnsi="Times New Roman" w:cs="Times New Roman"/>
          <w:b/>
          <w:color w:val="000000" w:themeColor="text1"/>
          <w:spacing w:val="7"/>
          <w:sz w:val="21"/>
          <w:szCs w:val="21"/>
        </w:rPr>
        <w:t>E</w:t>
      </w:r>
      <w:r w:rsidRPr="00B13A53">
        <w:rPr>
          <w:rFonts w:ascii="Times New Roman" w:eastAsia="Times New Roman" w:hAnsi="Times New Roman" w:cs="Times New Roman"/>
          <w:b/>
          <w:color w:val="000000" w:themeColor="text1"/>
          <w:spacing w:val="10"/>
          <w:sz w:val="21"/>
          <w:szCs w:val="21"/>
        </w:rPr>
        <w:t>Y</w:t>
      </w:r>
      <w:r w:rsidRPr="00B13A53">
        <w:rPr>
          <w:rFonts w:ascii="Times New Roman" w:eastAsia="Times New Roman" w:hAnsi="Times New Roman" w:cs="Times New Roman"/>
          <w:b/>
          <w:color w:val="000000" w:themeColor="text1"/>
          <w:spacing w:val="6"/>
          <w:sz w:val="21"/>
          <w:szCs w:val="21"/>
        </w:rPr>
        <w:t>W</w:t>
      </w:r>
      <w:r w:rsidRPr="00B13A53">
        <w:rPr>
          <w:rFonts w:ascii="Times New Roman" w:eastAsia="Times New Roman" w:hAnsi="Times New Roman" w:cs="Times New Roman"/>
          <w:b/>
          <w:color w:val="000000" w:themeColor="text1"/>
          <w:spacing w:val="10"/>
          <w:sz w:val="21"/>
          <w:szCs w:val="21"/>
        </w:rPr>
        <w:t>O</w:t>
      </w:r>
      <w:r w:rsidRPr="00B13A53">
        <w:rPr>
          <w:rFonts w:ascii="Times New Roman" w:eastAsia="Times New Roman" w:hAnsi="Times New Roman" w:cs="Times New Roman"/>
          <w:b/>
          <w:color w:val="000000" w:themeColor="text1"/>
          <w:spacing w:val="7"/>
          <w:sz w:val="21"/>
          <w:szCs w:val="21"/>
        </w:rPr>
        <w:t>R</w:t>
      </w:r>
      <w:r w:rsidRPr="00B13A53">
        <w:rPr>
          <w:rFonts w:ascii="Times New Roman" w:eastAsia="Times New Roman" w:hAnsi="Times New Roman" w:cs="Times New Roman"/>
          <w:b/>
          <w:color w:val="000000" w:themeColor="text1"/>
          <w:spacing w:val="10"/>
          <w:sz w:val="21"/>
          <w:szCs w:val="21"/>
        </w:rPr>
        <w:t>DS</w:t>
      </w:r>
      <w:r w:rsidRPr="00B13A53">
        <w:rPr>
          <w:rFonts w:ascii="Times New Roman" w:eastAsia="Times New Roman" w:hAnsi="Times New Roman" w:cs="Times New Roman"/>
          <w:b/>
          <w:color w:val="000000" w:themeColor="text1"/>
          <w:sz w:val="21"/>
          <w:szCs w:val="21"/>
        </w:rPr>
        <w:t xml:space="preserve">: </w:t>
      </w:r>
      <w:r w:rsidRPr="00B13A53">
        <w:rPr>
          <w:rFonts w:ascii="Times New Roman" w:eastAsia="Times New Roman" w:hAnsi="Times New Roman" w:cs="Times New Roman"/>
          <w:bCs/>
          <w:color w:val="000000" w:themeColor="text1"/>
          <w:spacing w:val="-7"/>
          <w:w w:val="111"/>
          <w:sz w:val="21"/>
          <w:szCs w:val="21"/>
        </w:rPr>
        <w:t xml:space="preserve">diabetes mellitus, cataract surgery, central macular thickness, NSAIDs, Ketorolac, </w:t>
      </w:r>
      <w:proofErr w:type="spellStart"/>
      <w:r w:rsidRPr="00B13A53">
        <w:rPr>
          <w:rFonts w:ascii="Times New Roman" w:eastAsia="Times New Roman" w:hAnsi="Times New Roman" w:cs="Times New Roman"/>
          <w:bCs/>
          <w:color w:val="000000" w:themeColor="text1"/>
          <w:spacing w:val="-7"/>
          <w:w w:val="111"/>
          <w:sz w:val="21"/>
          <w:szCs w:val="21"/>
        </w:rPr>
        <w:t>Nepafenac</w:t>
      </w:r>
      <w:proofErr w:type="spellEnd"/>
      <w:r w:rsidRPr="00B13A53">
        <w:rPr>
          <w:rFonts w:ascii="Times New Roman" w:eastAsia="Times New Roman" w:hAnsi="Times New Roman" w:cs="Times New Roman"/>
          <w:bCs/>
          <w:color w:val="000000" w:themeColor="text1"/>
          <w:spacing w:val="-7"/>
          <w:w w:val="111"/>
          <w:sz w:val="21"/>
          <w:szCs w:val="21"/>
        </w:rPr>
        <w:t>.</w:t>
      </w:r>
    </w:p>
    <w:p w:rsidR="00B13A53" w:rsidRPr="00B13A53" w:rsidRDefault="00B13A53" w:rsidP="00B13A53">
      <w:pPr>
        <w:tabs>
          <w:tab w:val="left" w:pos="426"/>
          <w:tab w:val="right" w:pos="7371"/>
        </w:tabs>
        <w:bidi w:val="0"/>
        <w:adjustRightInd w:val="0"/>
        <w:snapToGrid w:val="0"/>
        <w:spacing w:after="0" w:line="360" w:lineRule="auto"/>
        <w:ind w:firstLine="567"/>
        <w:rPr>
          <w:rFonts w:ascii="Times New Roman" w:hAnsi="Times New Roman" w:cs="Times New Roman"/>
          <w:b/>
          <w:bCs/>
          <w:color w:val="000000" w:themeColor="text1"/>
          <w:sz w:val="21"/>
          <w:szCs w:val="21"/>
          <w:lang w:eastAsia="zh-CN"/>
        </w:rPr>
      </w:pPr>
    </w:p>
    <w:p w:rsidR="00E6266D" w:rsidRPr="00B13A53" w:rsidRDefault="00E6266D">
      <w:pPr>
        <w:rPr>
          <w:color w:val="000000" w:themeColor="text1"/>
        </w:rPr>
      </w:pPr>
    </w:p>
    <w:sectPr w:rsidR="00E6266D" w:rsidRPr="00B13A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A53"/>
    <w:rsid w:val="008B7E31"/>
    <w:rsid w:val="00B13A53"/>
    <w:rsid w:val="00BA1ADD"/>
    <w:rsid w:val="00E626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001B2C-0982-4032-8599-A308BFBE3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A53"/>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B13A53"/>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dc:creator>
  <cp:keywords/>
  <dc:description/>
  <cp:lastModifiedBy>TAHA</cp:lastModifiedBy>
  <cp:revision>1</cp:revision>
  <dcterms:created xsi:type="dcterms:W3CDTF">2019-02-14T10:51:00Z</dcterms:created>
  <dcterms:modified xsi:type="dcterms:W3CDTF">2019-02-14T10:52:00Z</dcterms:modified>
</cp:coreProperties>
</file>