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826D9" w14:textId="77777777" w:rsidR="00150D92" w:rsidRDefault="00E83D47" w:rsidP="00E83D47">
      <w:pPr>
        <w:rPr>
          <w:b/>
          <w:bCs/>
          <w:sz w:val="32"/>
          <w:szCs w:val="32"/>
        </w:rPr>
      </w:pPr>
      <w:r w:rsidRPr="00E83D47">
        <w:rPr>
          <w:b/>
          <w:bCs/>
          <w:sz w:val="32"/>
          <w:szCs w:val="32"/>
        </w:rPr>
        <w:t>Title - From Toothache to Tragedy</w:t>
      </w:r>
    </w:p>
    <w:p w14:paraId="08984128" w14:textId="77777777" w:rsidR="0061412D" w:rsidRPr="0061412D" w:rsidRDefault="00150D92" w:rsidP="00E83D47">
      <w:pPr>
        <w:rPr>
          <w:sz w:val="32"/>
          <w:szCs w:val="32"/>
          <w:vertAlign w:val="superscript"/>
        </w:rPr>
      </w:pPr>
      <w:r w:rsidRPr="0061412D">
        <w:rPr>
          <w:sz w:val="32"/>
          <w:szCs w:val="32"/>
        </w:rPr>
        <w:t>Shrutakirty Parida</w:t>
      </w:r>
      <w:r w:rsidRPr="0061412D">
        <w:rPr>
          <w:sz w:val="32"/>
          <w:szCs w:val="32"/>
          <w:vertAlign w:val="superscript"/>
        </w:rPr>
        <w:t>1</w:t>
      </w:r>
      <w:r w:rsidRPr="0061412D">
        <w:rPr>
          <w:sz w:val="32"/>
          <w:szCs w:val="32"/>
        </w:rPr>
        <w:t>, Matuli Das</w:t>
      </w:r>
      <w:r w:rsidRPr="0061412D">
        <w:rPr>
          <w:sz w:val="32"/>
          <w:szCs w:val="32"/>
          <w:vertAlign w:val="superscript"/>
        </w:rPr>
        <w:t>2</w:t>
      </w:r>
    </w:p>
    <w:p w14:paraId="4AA0C7A1" w14:textId="77777777" w:rsidR="00002373" w:rsidRDefault="00002373" w:rsidP="00E83D47">
      <w:pPr>
        <w:rPr>
          <w:sz w:val="32"/>
          <w:szCs w:val="32"/>
        </w:rPr>
      </w:pPr>
      <w:r>
        <w:rPr>
          <w:sz w:val="32"/>
          <w:szCs w:val="32"/>
        </w:rPr>
        <w:t xml:space="preserve">Assistant professor, </w:t>
      </w:r>
      <w:bookmarkStart w:id="0" w:name="_Hlk208310661"/>
      <w:r>
        <w:rPr>
          <w:sz w:val="32"/>
          <w:szCs w:val="32"/>
        </w:rPr>
        <w:t xml:space="preserve">Department of Ophthalmology, </w:t>
      </w:r>
      <w:r w:rsidR="0061412D" w:rsidRPr="0061412D">
        <w:rPr>
          <w:sz w:val="32"/>
          <w:szCs w:val="32"/>
        </w:rPr>
        <w:t>Kalinga Institute of medical sciences,</w:t>
      </w:r>
      <w:r w:rsidR="0061412D">
        <w:rPr>
          <w:sz w:val="32"/>
          <w:szCs w:val="32"/>
        </w:rPr>
        <w:t xml:space="preserve"> </w:t>
      </w:r>
      <w:r w:rsidR="0061412D" w:rsidRPr="0061412D">
        <w:rPr>
          <w:sz w:val="32"/>
          <w:szCs w:val="32"/>
        </w:rPr>
        <w:t>Bhubaneswar,</w:t>
      </w:r>
      <w:r w:rsidR="0061412D">
        <w:rPr>
          <w:sz w:val="32"/>
          <w:szCs w:val="32"/>
        </w:rPr>
        <w:t xml:space="preserve"> </w:t>
      </w:r>
      <w:r w:rsidR="0061412D" w:rsidRPr="0061412D">
        <w:rPr>
          <w:sz w:val="32"/>
          <w:szCs w:val="32"/>
        </w:rPr>
        <w:t>Odisha,</w:t>
      </w:r>
      <w:r w:rsidR="0061412D">
        <w:rPr>
          <w:sz w:val="32"/>
          <w:szCs w:val="32"/>
        </w:rPr>
        <w:t xml:space="preserve"> </w:t>
      </w:r>
      <w:r w:rsidR="0061412D" w:rsidRPr="0061412D">
        <w:rPr>
          <w:sz w:val="32"/>
          <w:szCs w:val="32"/>
        </w:rPr>
        <w:t>India</w:t>
      </w:r>
      <w:bookmarkEnd w:id="0"/>
    </w:p>
    <w:p w14:paraId="04AE5D91" w14:textId="376D41AE" w:rsidR="00E83D47" w:rsidRPr="0061412D" w:rsidRDefault="00002373" w:rsidP="00E83D47">
      <w:pPr>
        <w:rPr>
          <w:sz w:val="32"/>
          <w:szCs w:val="32"/>
        </w:rPr>
      </w:pPr>
      <w:r>
        <w:rPr>
          <w:sz w:val="32"/>
          <w:szCs w:val="32"/>
        </w:rPr>
        <w:t>Professor</w:t>
      </w:r>
      <w:r w:rsidR="00181F32">
        <w:rPr>
          <w:sz w:val="32"/>
          <w:szCs w:val="32"/>
        </w:rPr>
        <w:t xml:space="preserve"> and HOD,</w:t>
      </w:r>
      <w:r>
        <w:rPr>
          <w:sz w:val="32"/>
          <w:szCs w:val="32"/>
        </w:rPr>
        <w:t xml:space="preserve"> </w:t>
      </w:r>
      <w:r w:rsidRPr="00002373">
        <w:rPr>
          <w:sz w:val="32"/>
          <w:szCs w:val="32"/>
        </w:rPr>
        <w:t>Department of Ophthalmology, Kalinga Institute of medical sciences, Bhubaneswar, Odisha, India</w:t>
      </w:r>
    </w:p>
    <w:p w14:paraId="5C0B9543" w14:textId="7E2E7E09" w:rsidR="00E83D47" w:rsidRDefault="009A2FE7" w:rsidP="00E83D47">
      <w:pPr>
        <w:rPr>
          <w:sz w:val="32"/>
          <w:szCs w:val="32"/>
        </w:rPr>
      </w:pPr>
      <w:r w:rsidRPr="009A2FE7">
        <w:rPr>
          <w:b/>
          <w:bCs/>
          <w:sz w:val="32"/>
          <w:szCs w:val="32"/>
        </w:rPr>
        <w:t>Abstract:</w:t>
      </w:r>
      <w:r>
        <w:rPr>
          <w:sz w:val="32"/>
          <w:szCs w:val="32"/>
        </w:rPr>
        <w:t xml:space="preserve"> </w:t>
      </w:r>
      <w:r w:rsidR="00E83D47" w:rsidRPr="00E83D47">
        <w:rPr>
          <w:sz w:val="32"/>
          <w:szCs w:val="32"/>
        </w:rPr>
        <w:t xml:space="preserve">Purpose: To report a rare case of orbital apex syndrome complicating an orbital cellulitis after dental extraction. Methodology: </w:t>
      </w:r>
      <w:r w:rsidR="00FB4AB2" w:rsidRPr="00FB4AB2">
        <w:rPr>
          <w:sz w:val="32"/>
          <w:szCs w:val="32"/>
        </w:rPr>
        <w:t>A 60-year-old diabetic and hypertensive female, presented with pain and swelling of both lids in left eye (LE) associated with facial pain for 5 days. She also complained of vision loss and restricted eye movements 5 days post left upper molar tooth extraction. Her best corrected visual acuity (BCVA) was 6/</w:t>
      </w:r>
      <w:r w:rsidR="00013F65">
        <w:rPr>
          <w:sz w:val="32"/>
          <w:szCs w:val="32"/>
        </w:rPr>
        <w:t>9</w:t>
      </w:r>
      <w:r w:rsidR="00FB4AB2" w:rsidRPr="00FB4AB2">
        <w:rPr>
          <w:sz w:val="32"/>
          <w:szCs w:val="32"/>
        </w:rPr>
        <w:t>, N6 in RE and PL -ve in LE. Left eye had severe ptosis, moderate proptosis, severe lid edema, conjunctival congestion, chemosis and grade 3 RAPD. Fundoscopy revealed a normal fundus in right eye (RE) while LE had a hazy media with normal disc.</w:t>
      </w:r>
      <w:r w:rsidR="00FB4AB2">
        <w:rPr>
          <w:sz w:val="32"/>
          <w:szCs w:val="32"/>
        </w:rPr>
        <w:t xml:space="preserve"> </w:t>
      </w:r>
      <w:r w:rsidR="00E83D47" w:rsidRPr="00E83D47">
        <w:rPr>
          <w:sz w:val="32"/>
          <w:szCs w:val="32"/>
        </w:rPr>
        <w:t>Results: C</w:t>
      </w:r>
      <w:r w:rsidR="00146FBE">
        <w:rPr>
          <w:sz w:val="32"/>
          <w:szCs w:val="32"/>
        </w:rPr>
        <w:t xml:space="preserve">ontrast enhanced </w:t>
      </w:r>
      <w:r w:rsidR="00E83D47" w:rsidRPr="00E83D47">
        <w:rPr>
          <w:sz w:val="32"/>
          <w:szCs w:val="32"/>
        </w:rPr>
        <w:t>MRI brain and orbit was suggestive of orbital cellulitis with intra-orbital abscess, with extension into PNS. Pus culture was positive for Streptococcus anginous. Incision and drainage of abscess along with treatment with IV antibiotics &amp; IVMP was done. At final follow up, her ptosis, lid edema, chemosis, proptosis, pupil status and motility showed significant improvement, while her vision was status quo in LE.</w:t>
      </w:r>
    </w:p>
    <w:p w14:paraId="4EA1A3AE" w14:textId="77777777" w:rsidR="00802602" w:rsidRDefault="00960A8C" w:rsidP="00E83D47">
      <w:pPr>
        <w:rPr>
          <w:sz w:val="32"/>
          <w:szCs w:val="32"/>
          <w:vertAlign w:val="superscript"/>
        </w:rPr>
      </w:pPr>
      <w:r>
        <w:rPr>
          <w:sz w:val="32"/>
          <w:szCs w:val="32"/>
        </w:rPr>
        <w:t>Discussion: Orbital apex syndrome is defined as the i</w:t>
      </w:r>
      <w:r w:rsidRPr="00960A8C">
        <w:rPr>
          <w:sz w:val="32"/>
          <w:szCs w:val="32"/>
        </w:rPr>
        <w:t>nvolvement of anatomical structures at the orbital apex because of compression, vasculitis or direct invasion</w:t>
      </w:r>
      <w:r>
        <w:rPr>
          <w:sz w:val="32"/>
          <w:szCs w:val="32"/>
        </w:rPr>
        <w:t>.</w:t>
      </w:r>
      <w:r w:rsidR="005B39F9">
        <w:rPr>
          <w:sz w:val="32"/>
          <w:szCs w:val="32"/>
          <w:vertAlign w:val="superscript"/>
        </w:rPr>
        <w:t>1</w:t>
      </w:r>
      <w:r>
        <w:rPr>
          <w:sz w:val="32"/>
          <w:szCs w:val="32"/>
        </w:rPr>
        <w:t xml:space="preserve"> It is characterized by vi</w:t>
      </w:r>
      <w:r w:rsidRPr="00960A8C">
        <w:rPr>
          <w:sz w:val="32"/>
          <w:szCs w:val="32"/>
        </w:rPr>
        <w:t>sion loss, ophthalmoplegia, periorbital pain, ptosis, proptosis, diplopia</w:t>
      </w:r>
      <w:r>
        <w:rPr>
          <w:sz w:val="32"/>
          <w:szCs w:val="32"/>
        </w:rPr>
        <w:t xml:space="preserve">, with or without </w:t>
      </w:r>
      <w:r w:rsidRPr="00960A8C">
        <w:rPr>
          <w:sz w:val="32"/>
          <w:szCs w:val="32"/>
        </w:rPr>
        <w:t>hypoesthesia of the forehead and diminished corneal sensations</w:t>
      </w:r>
      <w:r>
        <w:rPr>
          <w:sz w:val="32"/>
          <w:szCs w:val="32"/>
        </w:rPr>
        <w:t>.</w:t>
      </w:r>
      <w:r w:rsidR="005B39F9">
        <w:rPr>
          <w:sz w:val="32"/>
          <w:szCs w:val="32"/>
          <w:vertAlign w:val="superscript"/>
        </w:rPr>
        <w:t>1,2</w:t>
      </w:r>
      <w:r>
        <w:rPr>
          <w:sz w:val="32"/>
          <w:szCs w:val="32"/>
        </w:rPr>
        <w:t xml:space="preserve"> E</w:t>
      </w:r>
      <w:r w:rsidRPr="00960A8C">
        <w:rPr>
          <w:sz w:val="32"/>
          <w:szCs w:val="32"/>
        </w:rPr>
        <w:t>tiologies</w:t>
      </w:r>
      <w:r>
        <w:rPr>
          <w:sz w:val="32"/>
          <w:szCs w:val="32"/>
        </w:rPr>
        <w:t xml:space="preserve"> are varied like i</w:t>
      </w:r>
      <w:r w:rsidRPr="00960A8C">
        <w:rPr>
          <w:sz w:val="32"/>
          <w:szCs w:val="32"/>
        </w:rPr>
        <w:t>nflammatory, infectious, traumatic, neoplastic, iatrogenic and vascular</w:t>
      </w:r>
      <w:r>
        <w:rPr>
          <w:sz w:val="32"/>
          <w:szCs w:val="32"/>
        </w:rPr>
        <w:t>.</w:t>
      </w:r>
      <w:r w:rsidR="005B39F9">
        <w:rPr>
          <w:sz w:val="32"/>
          <w:szCs w:val="32"/>
          <w:vertAlign w:val="superscript"/>
        </w:rPr>
        <w:t>2</w:t>
      </w:r>
      <w:r w:rsidR="00802602">
        <w:rPr>
          <w:sz w:val="32"/>
          <w:szCs w:val="32"/>
          <w:vertAlign w:val="superscript"/>
        </w:rPr>
        <w:t xml:space="preserve"> </w:t>
      </w:r>
      <w:r w:rsidRPr="00960A8C">
        <w:rPr>
          <w:sz w:val="32"/>
          <w:szCs w:val="32"/>
        </w:rPr>
        <w:t xml:space="preserve">High-resolution MRI </w:t>
      </w:r>
      <w:r w:rsidRPr="00960A8C">
        <w:rPr>
          <w:sz w:val="32"/>
          <w:szCs w:val="32"/>
        </w:rPr>
        <w:lastRenderedPageBreak/>
        <w:t>brain and orbit with contrast (mainly the fat suppressed sequences) is regarded as the most accurate technique in characterization of pathological processes involving the orbital apex</w:t>
      </w:r>
      <w:r w:rsidR="00802602">
        <w:rPr>
          <w:sz w:val="32"/>
          <w:szCs w:val="32"/>
        </w:rPr>
        <w:t>.</w:t>
      </w:r>
      <w:r w:rsidR="00802602">
        <w:rPr>
          <w:sz w:val="32"/>
          <w:szCs w:val="32"/>
          <w:vertAlign w:val="superscript"/>
        </w:rPr>
        <w:t>3</w:t>
      </w:r>
    </w:p>
    <w:p w14:paraId="005364CF" w14:textId="6BDE6A51" w:rsidR="002E7628" w:rsidRPr="00802602" w:rsidRDefault="00E83D47" w:rsidP="00E83D47">
      <w:pPr>
        <w:rPr>
          <w:sz w:val="32"/>
          <w:szCs w:val="32"/>
          <w:vertAlign w:val="superscript"/>
        </w:rPr>
      </w:pPr>
      <w:r w:rsidRPr="00E83D47">
        <w:rPr>
          <w:sz w:val="32"/>
          <w:szCs w:val="32"/>
        </w:rPr>
        <w:t xml:space="preserve">Clinical Implication: </w:t>
      </w:r>
      <w:r w:rsidR="00D63F5F" w:rsidRPr="00D63F5F">
        <w:rPr>
          <w:sz w:val="32"/>
          <w:szCs w:val="32"/>
        </w:rPr>
        <w:t>Orbital apex syndrome can present as a constellation of cranial neuropathies including optic neuropathy with varied etiologies. Though vision loss remained permanent in our patient, initiation of broad-spectrum antibiotics and steroids after diagnosis prevented intracranial extension of infection and further complications thereof.</w:t>
      </w:r>
    </w:p>
    <w:p w14:paraId="797F465A" w14:textId="7BE61594" w:rsidR="009A2FE7" w:rsidRDefault="009A2FE7" w:rsidP="00E83D47">
      <w:pPr>
        <w:rPr>
          <w:sz w:val="32"/>
          <w:szCs w:val="32"/>
        </w:rPr>
      </w:pPr>
      <w:r>
        <w:rPr>
          <w:sz w:val="32"/>
          <w:szCs w:val="32"/>
        </w:rPr>
        <w:t xml:space="preserve">References: </w:t>
      </w:r>
    </w:p>
    <w:p w14:paraId="3ADE2157" w14:textId="77777777" w:rsidR="002343B6" w:rsidRPr="002343B6" w:rsidRDefault="002343B6" w:rsidP="002343B6">
      <w:pPr>
        <w:pStyle w:val="ListParagraph"/>
        <w:numPr>
          <w:ilvl w:val="0"/>
          <w:numId w:val="1"/>
        </w:numPr>
        <w:rPr>
          <w:sz w:val="32"/>
          <w:szCs w:val="32"/>
        </w:rPr>
      </w:pPr>
      <w:r w:rsidRPr="002343B6">
        <w:rPr>
          <w:sz w:val="32"/>
          <w:szCs w:val="32"/>
        </w:rPr>
        <w:t>Badakere A, Patil-Chhablani P. Orbital Apex Syndrome: A Review. Eye Brain. 2019 Dec 12; 11:63-72. doi: 10.2147/EB. S180190. PMID: 31849556; PMCID: PMC6913296</w:t>
      </w:r>
    </w:p>
    <w:p w14:paraId="7C92F715" w14:textId="42C393BA" w:rsidR="009A2FE7" w:rsidRDefault="002343B6" w:rsidP="002343B6">
      <w:pPr>
        <w:pStyle w:val="ListParagraph"/>
        <w:numPr>
          <w:ilvl w:val="0"/>
          <w:numId w:val="1"/>
        </w:numPr>
        <w:rPr>
          <w:sz w:val="32"/>
          <w:szCs w:val="32"/>
        </w:rPr>
      </w:pPr>
      <w:r w:rsidRPr="002343B6">
        <w:rPr>
          <w:sz w:val="32"/>
          <w:szCs w:val="32"/>
        </w:rPr>
        <w:t xml:space="preserve">Aryasit O, </w:t>
      </w:r>
      <w:r w:rsidRPr="002343B6">
        <w:rPr>
          <w:sz w:val="32"/>
          <w:szCs w:val="32"/>
        </w:rPr>
        <w:t>Preechawat</w:t>
      </w:r>
      <w:r w:rsidRPr="002343B6">
        <w:rPr>
          <w:sz w:val="32"/>
          <w:szCs w:val="32"/>
        </w:rPr>
        <w:t xml:space="preserve"> P, Aui-Aree N. Clinical presentation, aetiology and prognosis of orbital apex syndrome. Orbit. (2013) 32:91–4. doi: 10.3109/01676830.2013.764439</w:t>
      </w:r>
    </w:p>
    <w:p w14:paraId="6F0293FF" w14:textId="3DA37392" w:rsidR="00802602" w:rsidRDefault="00802602" w:rsidP="002343B6">
      <w:pPr>
        <w:pStyle w:val="ListParagraph"/>
        <w:numPr>
          <w:ilvl w:val="0"/>
          <w:numId w:val="1"/>
        </w:numPr>
        <w:rPr>
          <w:sz w:val="32"/>
          <w:szCs w:val="32"/>
        </w:rPr>
      </w:pPr>
      <w:r w:rsidRPr="00802602">
        <w:rPr>
          <w:sz w:val="32"/>
          <w:szCs w:val="32"/>
        </w:rPr>
        <w:t xml:space="preserve">Goyal P, Lee S, Gupta N, Kumar Y, Mangla M, Hooda K, Li S, Mangla R. Orbital apex disorders: Imaging findings and management. </w:t>
      </w:r>
      <w:r w:rsidRPr="00802602">
        <w:rPr>
          <w:sz w:val="32"/>
          <w:szCs w:val="32"/>
        </w:rPr>
        <w:t>Neuroradiology</w:t>
      </w:r>
      <w:r w:rsidRPr="00802602">
        <w:rPr>
          <w:sz w:val="32"/>
          <w:szCs w:val="32"/>
        </w:rPr>
        <w:t xml:space="preserve"> J. 2018 Apr;31(2):104-125. doi: 10.1177/1971400917740361.</w:t>
      </w:r>
    </w:p>
    <w:p w14:paraId="553BE0B6" w14:textId="77777777" w:rsidR="000052CC" w:rsidRDefault="000052CC" w:rsidP="000052CC">
      <w:pPr>
        <w:rPr>
          <w:sz w:val="32"/>
          <w:szCs w:val="32"/>
        </w:rPr>
      </w:pPr>
    </w:p>
    <w:p w14:paraId="16A2CBF4" w14:textId="77777777" w:rsidR="000052CC" w:rsidRDefault="000052CC" w:rsidP="000052CC">
      <w:pPr>
        <w:rPr>
          <w:sz w:val="32"/>
          <w:szCs w:val="32"/>
        </w:rPr>
      </w:pPr>
    </w:p>
    <w:p w14:paraId="39BEE50A" w14:textId="77777777" w:rsidR="000052CC" w:rsidRDefault="000052CC" w:rsidP="000052CC">
      <w:pPr>
        <w:rPr>
          <w:sz w:val="32"/>
          <w:szCs w:val="32"/>
        </w:rPr>
      </w:pPr>
    </w:p>
    <w:p w14:paraId="33444132" w14:textId="77777777" w:rsidR="000052CC" w:rsidRDefault="000052CC" w:rsidP="000052CC">
      <w:pPr>
        <w:rPr>
          <w:sz w:val="32"/>
          <w:szCs w:val="32"/>
        </w:rPr>
      </w:pPr>
    </w:p>
    <w:p w14:paraId="1A2BF801" w14:textId="77777777" w:rsidR="000052CC" w:rsidRDefault="000052CC" w:rsidP="000052CC">
      <w:pPr>
        <w:rPr>
          <w:sz w:val="32"/>
          <w:szCs w:val="32"/>
        </w:rPr>
      </w:pPr>
    </w:p>
    <w:p w14:paraId="62694E3D" w14:textId="77777777" w:rsidR="000052CC" w:rsidRDefault="000052CC" w:rsidP="000052CC">
      <w:pPr>
        <w:rPr>
          <w:sz w:val="32"/>
          <w:szCs w:val="32"/>
        </w:rPr>
      </w:pPr>
    </w:p>
    <w:p w14:paraId="702C9A2E" w14:textId="77777777" w:rsidR="000052CC" w:rsidRDefault="000052CC" w:rsidP="000052CC">
      <w:pPr>
        <w:rPr>
          <w:sz w:val="32"/>
          <w:szCs w:val="32"/>
        </w:rPr>
      </w:pPr>
    </w:p>
    <w:p w14:paraId="498BBCB0" w14:textId="77777777" w:rsidR="000052CC" w:rsidRDefault="000052CC" w:rsidP="000052CC">
      <w:pPr>
        <w:rPr>
          <w:sz w:val="32"/>
          <w:szCs w:val="32"/>
        </w:rPr>
      </w:pPr>
    </w:p>
    <w:p w14:paraId="798ADC22" w14:textId="77777777" w:rsidR="000052CC" w:rsidRDefault="000052CC" w:rsidP="000052CC">
      <w:pPr>
        <w:rPr>
          <w:sz w:val="32"/>
          <w:szCs w:val="32"/>
        </w:rPr>
      </w:pPr>
    </w:p>
    <w:p w14:paraId="330E777E" w14:textId="77777777" w:rsidR="000052CC" w:rsidRDefault="000052CC" w:rsidP="000052CC">
      <w:pPr>
        <w:rPr>
          <w:sz w:val="32"/>
          <w:szCs w:val="32"/>
        </w:rPr>
      </w:pPr>
    </w:p>
    <w:p w14:paraId="39BA8A2A" w14:textId="77777777" w:rsidR="000052CC" w:rsidRDefault="000052CC" w:rsidP="000052CC">
      <w:pPr>
        <w:rPr>
          <w:sz w:val="32"/>
          <w:szCs w:val="32"/>
        </w:rPr>
      </w:pPr>
    </w:p>
    <w:p w14:paraId="47601856" w14:textId="45025825" w:rsidR="000052CC" w:rsidRDefault="000052CC" w:rsidP="000052CC">
      <w:pPr>
        <w:rPr>
          <w:b/>
          <w:bCs/>
          <w:sz w:val="32"/>
          <w:szCs w:val="32"/>
        </w:rPr>
      </w:pPr>
      <w:r w:rsidRPr="000052CC">
        <w:rPr>
          <w:b/>
          <w:bCs/>
          <w:sz w:val="32"/>
          <w:szCs w:val="32"/>
        </w:rPr>
        <w:t>Biography:</w:t>
      </w:r>
    </w:p>
    <w:p w14:paraId="1FE61764" w14:textId="72046C12" w:rsidR="00D26D82" w:rsidRDefault="00D26D82" w:rsidP="000052CC">
      <w:pPr>
        <w:rPr>
          <w:b/>
          <w:bCs/>
          <w:sz w:val="32"/>
          <w:szCs w:val="32"/>
        </w:rPr>
      </w:pPr>
      <w:r>
        <w:rPr>
          <w:noProof/>
        </w:rPr>
        <w:drawing>
          <wp:inline distT="0" distB="0" distL="0" distR="0" wp14:anchorId="2EB2E647" wp14:editId="71B25FF6">
            <wp:extent cx="1803400" cy="2096597"/>
            <wp:effectExtent l="0" t="0" r="6350" b="0"/>
            <wp:docPr id="4" name="Content Placeholder 3">
              <a:extLst xmlns:a="http://schemas.openxmlformats.org/drawingml/2006/main">
                <a:ext uri="{FF2B5EF4-FFF2-40B4-BE49-F238E27FC236}">
                  <a16:creationId xmlns:a16="http://schemas.microsoft.com/office/drawing/2014/main" id="{8B9D189E-59CD-37F1-661B-153BB682A94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a:extLst>
                        <a:ext uri="{FF2B5EF4-FFF2-40B4-BE49-F238E27FC236}">
                          <a16:creationId xmlns:a16="http://schemas.microsoft.com/office/drawing/2014/main" id="{8B9D189E-59CD-37F1-661B-153BB682A945}"/>
                        </a:ext>
                      </a:extLst>
                    </pic:cNvPr>
                    <pic:cNvPicPr>
                      <a:picLocks noGrp="1" noChangeAspect="1"/>
                    </pic:cNvPicPr>
                  </pic:nvPicPr>
                  <pic:blipFill>
                    <a:blip r:embed="rId5"/>
                    <a:stretch>
                      <a:fillRect/>
                    </a:stretch>
                  </pic:blipFill>
                  <pic:spPr>
                    <a:xfrm>
                      <a:off x="0" y="0"/>
                      <a:ext cx="1814510" cy="2109514"/>
                    </a:xfrm>
                    <a:prstGeom prst="rect">
                      <a:avLst/>
                    </a:prstGeom>
                  </pic:spPr>
                </pic:pic>
              </a:graphicData>
            </a:graphic>
          </wp:inline>
        </w:drawing>
      </w:r>
    </w:p>
    <w:p w14:paraId="2812EA47" w14:textId="499311FF" w:rsidR="000052CC" w:rsidRPr="00D26D82" w:rsidRDefault="000606F5" w:rsidP="00D26D82">
      <w:pPr>
        <w:rPr>
          <w:sz w:val="32"/>
          <w:szCs w:val="32"/>
        </w:rPr>
      </w:pPr>
      <w:r w:rsidRPr="000606F5">
        <w:rPr>
          <w:sz w:val="32"/>
          <w:szCs w:val="32"/>
        </w:rPr>
        <w:t>Dr. Shrutakirty Parida is a practicing ophthalmologist and currently serves as an Assistant Professor at the Kalinga Institute of Medical Sciences. She completed her MBBS from MKCG Medical College and Hospital, followed by postgraduate training in ophthalmology at SCB Medical College and Hospital.</w:t>
      </w:r>
      <w:r>
        <w:rPr>
          <w:sz w:val="32"/>
          <w:szCs w:val="32"/>
        </w:rPr>
        <w:t xml:space="preserve"> </w:t>
      </w:r>
      <w:r w:rsidRPr="000606F5">
        <w:rPr>
          <w:sz w:val="32"/>
          <w:szCs w:val="32"/>
        </w:rPr>
        <w:t xml:space="preserve">She further pursued a long-term fellowship in Pediatric Ophthalmology, Strabismus, and Neuro-Ophthalmology at the prestigious LV Prasad Eye Institute, where she </w:t>
      </w:r>
      <w:r>
        <w:rPr>
          <w:sz w:val="32"/>
          <w:szCs w:val="32"/>
        </w:rPr>
        <w:t xml:space="preserve">was </w:t>
      </w:r>
      <w:r w:rsidRPr="000606F5">
        <w:rPr>
          <w:sz w:val="32"/>
          <w:szCs w:val="32"/>
        </w:rPr>
        <w:t>trained for three years.</w:t>
      </w:r>
      <w:r>
        <w:rPr>
          <w:sz w:val="32"/>
          <w:szCs w:val="32"/>
        </w:rPr>
        <w:t xml:space="preserve"> </w:t>
      </w:r>
      <w:r w:rsidRPr="000606F5">
        <w:rPr>
          <w:sz w:val="32"/>
          <w:szCs w:val="32"/>
        </w:rPr>
        <w:t>Dr. Parida has been serving as an Assistant Professor at Kalinga Institute of Medical Sciences for the past three years. She has delivered numerous presentations at state, national, and international conferences, earning several awards for her contributions. In addition, she has multiple publications in peer-reviewed journals and continues to contribute actively to clinical research and academic development in her field.</w:t>
      </w:r>
      <w:r w:rsidR="00FC55B0">
        <w:rPr>
          <w:sz w:val="32"/>
          <w:szCs w:val="32"/>
        </w:rPr>
        <w:t xml:space="preserve"> To add to that s</w:t>
      </w:r>
      <w:r w:rsidR="00FC55B0" w:rsidRPr="00FC55B0">
        <w:rPr>
          <w:sz w:val="32"/>
          <w:szCs w:val="32"/>
        </w:rPr>
        <w:t>he combines sound clinical expertise with meticulous surgical skills</w:t>
      </w:r>
      <w:r w:rsidR="00FC55B0">
        <w:rPr>
          <w:sz w:val="32"/>
          <w:szCs w:val="32"/>
        </w:rPr>
        <w:t>.</w:t>
      </w:r>
      <w:r w:rsidR="00D26D82" w:rsidRPr="00D26D82">
        <w:t xml:space="preserve"> </w:t>
      </w:r>
      <w:r w:rsidR="00D26D82" w:rsidRPr="00D26D82">
        <w:rPr>
          <w:sz w:val="32"/>
          <w:szCs w:val="32"/>
        </w:rPr>
        <w:t xml:space="preserve">She has served as a mentor, judge, and moderator at both AIOS and state-level conferences (OSOS), and has also held the role of Organizing Secretary for several state-level CMEs. Additionally, she </w:t>
      </w:r>
      <w:r w:rsidR="00D26D82" w:rsidRPr="00D26D82">
        <w:rPr>
          <w:sz w:val="32"/>
          <w:szCs w:val="32"/>
        </w:rPr>
        <w:lastRenderedPageBreak/>
        <w:t>has delivered invited faculty talks at various state, national, and international forums.</w:t>
      </w:r>
    </w:p>
    <w:p w14:paraId="49397251" w14:textId="54A0557F" w:rsidR="00D26D82" w:rsidRDefault="00D26D82" w:rsidP="000606F5">
      <w:pPr>
        <w:rPr>
          <w:sz w:val="32"/>
          <w:szCs w:val="32"/>
        </w:rPr>
      </w:pPr>
      <w:r>
        <w:rPr>
          <w:sz w:val="32"/>
          <w:szCs w:val="32"/>
        </w:rPr>
        <w:t>Full n</w:t>
      </w:r>
      <w:r w:rsidRPr="00D26D82">
        <w:rPr>
          <w:sz w:val="32"/>
          <w:szCs w:val="32"/>
        </w:rPr>
        <w:t>ame: Dr. Shrutakirty Parida</w:t>
      </w:r>
    </w:p>
    <w:p w14:paraId="6D691BA3" w14:textId="3AD7F43E" w:rsidR="00D26D82" w:rsidRDefault="00D26D82" w:rsidP="000606F5">
      <w:pPr>
        <w:rPr>
          <w:sz w:val="32"/>
          <w:szCs w:val="32"/>
        </w:rPr>
      </w:pPr>
      <w:r w:rsidRPr="00D26D82">
        <w:rPr>
          <w:sz w:val="32"/>
          <w:szCs w:val="32"/>
        </w:rPr>
        <w:t xml:space="preserve">E-Mail Id: - </w:t>
      </w:r>
      <w:hyperlink r:id="rId6" w:history="1">
        <w:r w:rsidR="00C5050B" w:rsidRPr="00D1254F">
          <w:rPr>
            <w:rStyle w:val="Hyperlink"/>
            <w:sz w:val="32"/>
            <w:szCs w:val="32"/>
          </w:rPr>
          <w:t>shruti.bunty@gmail.com</w:t>
        </w:r>
      </w:hyperlink>
    </w:p>
    <w:p w14:paraId="00D94717" w14:textId="0F940761" w:rsidR="00C5050B" w:rsidRDefault="00C5050B" w:rsidP="000606F5">
      <w:pPr>
        <w:rPr>
          <w:sz w:val="32"/>
          <w:szCs w:val="32"/>
        </w:rPr>
      </w:pPr>
      <w:r>
        <w:rPr>
          <w:sz w:val="32"/>
          <w:szCs w:val="32"/>
        </w:rPr>
        <w:t>Phone number: 9439505742</w:t>
      </w:r>
    </w:p>
    <w:p w14:paraId="40B0D758" w14:textId="3BB3012F" w:rsidR="00113278" w:rsidRPr="00113278" w:rsidRDefault="00113278" w:rsidP="00113278">
      <w:pPr>
        <w:rPr>
          <w:sz w:val="32"/>
          <w:szCs w:val="32"/>
        </w:rPr>
      </w:pPr>
      <w:r w:rsidRPr="00113278">
        <w:rPr>
          <w:sz w:val="32"/>
          <w:szCs w:val="32"/>
        </w:rPr>
        <w:t>Category: Oral presentation</w:t>
      </w:r>
    </w:p>
    <w:p w14:paraId="3A821E5D" w14:textId="0FA94852" w:rsidR="00C5050B" w:rsidRPr="000052CC" w:rsidRDefault="00113278" w:rsidP="00113278">
      <w:pPr>
        <w:rPr>
          <w:sz w:val="32"/>
          <w:szCs w:val="32"/>
        </w:rPr>
      </w:pPr>
      <w:r w:rsidRPr="00113278">
        <w:rPr>
          <w:sz w:val="32"/>
          <w:szCs w:val="32"/>
        </w:rPr>
        <w:t>Date of Birth:</w:t>
      </w:r>
      <w:r>
        <w:rPr>
          <w:sz w:val="32"/>
          <w:szCs w:val="32"/>
        </w:rPr>
        <w:t xml:space="preserve"> 05/06/1985</w:t>
      </w:r>
    </w:p>
    <w:sectPr w:rsidR="00C5050B" w:rsidRPr="000052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7A70AD"/>
    <w:multiLevelType w:val="hybridMultilevel"/>
    <w:tmpl w:val="9D4A977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347945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D47"/>
    <w:rsid w:val="00002373"/>
    <w:rsid w:val="000052CC"/>
    <w:rsid w:val="00013F65"/>
    <w:rsid w:val="000606F5"/>
    <w:rsid w:val="00113278"/>
    <w:rsid w:val="00146FBE"/>
    <w:rsid w:val="00150D92"/>
    <w:rsid w:val="00181F32"/>
    <w:rsid w:val="002343B6"/>
    <w:rsid w:val="002C2A05"/>
    <w:rsid w:val="002E7628"/>
    <w:rsid w:val="003270F7"/>
    <w:rsid w:val="00375BA4"/>
    <w:rsid w:val="005B39F9"/>
    <w:rsid w:val="0061412D"/>
    <w:rsid w:val="006E253D"/>
    <w:rsid w:val="00802602"/>
    <w:rsid w:val="008656EF"/>
    <w:rsid w:val="00960A8C"/>
    <w:rsid w:val="009970CC"/>
    <w:rsid w:val="009A2FE7"/>
    <w:rsid w:val="00A16910"/>
    <w:rsid w:val="00C0692A"/>
    <w:rsid w:val="00C5050B"/>
    <w:rsid w:val="00D26D82"/>
    <w:rsid w:val="00D63F5F"/>
    <w:rsid w:val="00E07191"/>
    <w:rsid w:val="00E83D47"/>
    <w:rsid w:val="00FB4AB2"/>
    <w:rsid w:val="00FC55B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42CE4"/>
  <w15:chartTrackingRefBased/>
  <w15:docId w15:val="{5BB31BA0-3D55-40F7-BAE2-A7F5DEDAE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3D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83D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83D4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83D4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83D4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83D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D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D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D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D4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83D4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83D4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83D4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83D4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83D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D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D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D47"/>
    <w:rPr>
      <w:rFonts w:eastAsiaTheme="majorEastAsia" w:cstheme="majorBidi"/>
      <w:color w:val="272727" w:themeColor="text1" w:themeTint="D8"/>
    </w:rPr>
  </w:style>
  <w:style w:type="paragraph" w:styleId="Title">
    <w:name w:val="Title"/>
    <w:basedOn w:val="Normal"/>
    <w:next w:val="Normal"/>
    <w:link w:val="TitleChar"/>
    <w:uiPriority w:val="10"/>
    <w:qFormat/>
    <w:rsid w:val="00E83D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D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D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D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D47"/>
    <w:pPr>
      <w:spacing w:before="160"/>
      <w:jc w:val="center"/>
    </w:pPr>
    <w:rPr>
      <w:i/>
      <w:iCs/>
      <w:color w:val="404040" w:themeColor="text1" w:themeTint="BF"/>
    </w:rPr>
  </w:style>
  <w:style w:type="character" w:customStyle="1" w:styleId="QuoteChar">
    <w:name w:val="Quote Char"/>
    <w:basedOn w:val="DefaultParagraphFont"/>
    <w:link w:val="Quote"/>
    <w:uiPriority w:val="29"/>
    <w:rsid w:val="00E83D47"/>
    <w:rPr>
      <w:i/>
      <w:iCs/>
      <w:color w:val="404040" w:themeColor="text1" w:themeTint="BF"/>
    </w:rPr>
  </w:style>
  <w:style w:type="paragraph" w:styleId="ListParagraph">
    <w:name w:val="List Paragraph"/>
    <w:basedOn w:val="Normal"/>
    <w:uiPriority w:val="34"/>
    <w:qFormat/>
    <w:rsid w:val="00E83D47"/>
    <w:pPr>
      <w:ind w:left="720"/>
      <w:contextualSpacing/>
    </w:pPr>
  </w:style>
  <w:style w:type="character" w:styleId="IntenseEmphasis">
    <w:name w:val="Intense Emphasis"/>
    <w:basedOn w:val="DefaultParagraphFont"/>
    <w:uiPriority w:val="21"/>
    <w:qFormat/>
    <w:rsid w:val="00E83D47"/>
    <w:rPr>
      <w:i/>
      <w:iCs/>
      <w:color w:val="2F5496" w:themeColor="accent1" w:themeShade="BF"/>
    </w:rPr>
  </w:style>
  <w:style w:type="paragraph" w:styleId="IntenseQuote">
    <w:name w:val="Intense Quote"/>
    <w:basedOn w:val="Normal"/>
    <w:next w:val="Normal"/>
    <w:link w:val="IntenseQuoteChar"/>
    <w:uiPriority w:val="30"/>
    <w:qFormat/>
    <w:rsid w:val="00E83D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83D47"/>
    <w:rPr>
      <w:i/>
      <w:iCs/>
      <w:color w:val="2F5496" w:themeColor="accent1" w:themeShade="BF"/>
    </w:rPr>
  </w:style>
  <w:style w:type="character" w:styleId="IntenseReference">
    <w:name w:val="Intense Reference"/>
    <w:basedOn w:val="DefaultParagraphFont"/>
    <w:uiPriority w:val="32"/>
    <w:qFormat/>
    <w:rsid w:val="00E83D47"/>
    <w:rPr>
      <w:b/>
      <w:bCs/>
      <w:smallCaps/>
      <w:color w:val="2F5496" w:themeColor="accent1" w:themeShade="BF"/>
      <w:spacing w:val="5"/>
    </w:rPr>
  </w:style>
  <w:style w:type="character" w:styleId="Hyperlink">
    <w:name w:val="Hyperlink"/>
    <w:basedOn w:val="DefaultParagraphFont"/>
    <w:uiPriority w:val="99"/>
    <w:unhideWhenUsed/>
    <w:rsid w:val="00C5050B"/>
    <w:rPr>
      <w:color w:val="0563C1" w:themeColor="hyperlink"/>
      <w:u w:val="single"/>
    </w:rPr>
  </w:style>
  <w:style w:type="character" w:styleId="UnresolvedMention">
    <w:name w:val="Unresolved Mention"/>
    <w:basedOn w:val="DefaultParagraphFont"/>
    <w:uiPriority w:val="99"/>
    <w:semiHidden/>
    <w:unhideWhenUsed/>
    <w:rsid w:val="00C505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ruti.bunty@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4</Pages>
  <Words>669</Words>
  <Characters>3815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shruti.bunty@gmail.com</dc:creator>
  <cp:keywords/>
  <dc:description/>
  <cp:lastModifiedBy>shruti.bunty@gmail.com</cp:lastModifiedBy>
  <cp:revision>26</cp:revision>
  <dcterms:created xsi:type="dcterms:W3CDTF">2025-05-16T07:15:00Z</dcterms:created>
  <dcterms:modified xsi:type="dcterms:W3CDTF">2025-09-09T06:14:00Z</dcterms:modified>
</cp:coreProperties>
</file>