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68ACD" w14:textId="77777777" w:rsidR="00FC62FF" w:rsidRPr="0069473A" w:rsidRDefault="00FC62FF" w:rsidP="00FC62FF">
      <w:pPr>
        <w:spacing w:line="276" w:lineRule="auto"/>
        <w:rPr>
          <w:rFonts w:ascii="Times New Roman" w:hAnsi="Times New Roman" w:cs="Times New Roman"/>
          <w:b/>
          <w:sz w:val="28"/>
          <w:szCs w:val="28"/>
        </w:rPr>
      </w:pPr>
      <w:r w:rsidRPr="0069473A">
        <w:rPr>
          <w:rFonts w:ascii="Times New Roman" w:hAnsi="Times New Roman" w:cs="Times New Roman"/>
          <w:b/>
          <w:sz w:val="28"/>
          <w:szCs w:val="28"/>
        </w:rPr>
        <w:t>Safety and efficacy of selective laser trabeculoplasty among Ethiopian open-angle glaucoma and ocular hypertension patients</w:t>
      </w:r>
    </w:p>
    <w:p w14:paraId="0E97AC99" w14:textId="77777777" w:rsidR="00FC62FF" w:rsidRPr="0069473A" w:rsidRDefault="00FC62FF" w:rsidP="00FC62FF">
      <w:pPr>
        <w:spacing w:line="276" w:lineRule="auto"/>
        <w:rPr>
          <w:rFonts w:ascii="Times New Roman" w:hAnsi="Times New Roman" w:cs="Times New Roman"/>
          <w:sz w:val="28"/>
          <w:szCs w:val="28"/>
        </w:rPr>
      </w:pPr>
      <w:r w:rsidRPr="0069473A">
        <w:rPr>
          <w:rFonts w:ascii="Times New Roman" w:hAnsi="Times New Roman" w:cs="Times New Roman"/>
          <w:sz w:val="28"/>
          <w:szCs w:val="28"/>
        </w:rPr>
        <w:t>Matiyas Engida Gebre Selase</w:t>
      </w:r>
      <w:r w:rsidRPr="0069473A">
        <w:rPr>
          <w:rFonts w:ascii="Times New Roman" w:hAnsi="Times New Roman" w:cs="Times New Roman"/>
          <w:sz w:val="28"/>
          <w:szCs w:val="28"/>
          <w:vertAlign w:val="superscript"/>
        </w:rPr>
        <w:t>1</w:t>
      </w:r>
      <w:r w:rsidRPr="0069473A">
        <w:rPr>
          <w:rFonts w:ascii="Times New Roman" w:hAnsi="Times New Roman" w:cs="Times New Roman"/>
          <w:sz w:val="28"/>
          <w:szCs w:val="28"/>
        </w:rPr>
        <w:t>Lemlem Tamrat Tigabu</w:t>
      </w:r>
      <w:r w:rsidRPr="0069473A">
        <w:rPr>
          <w:rFonts w:ascii="Times New Roman" w:hAnsi="Times New Roman" w:cs="Times New Roman"/>
          <w:sz w:val="28"/>
          <w:szCs w:val="28"/>
          <w:vertAlign w:val="superscript"/>
        </w:rPr>
        <w:t>1</w:t>
      </w:r>
      <w:r w:rsidRPr="0069473A">
        <w:rPr>
          <w:rFonts w:ascii="Times New Roman" w:hAnsi="Times New Roman" w:cs="Times New Roman"/>
          <w:sz w:val="28"/>
          <w:szCs w:val="28"/>
        </w:rPr>
        <w:t>Girum Welde Gebreal Gesesse</w:t>
      </w:r>
      <w:r w:rsidRPr="0069473A">
        <w:rPr>
          <w:rFonts w:ascii="Times New Roman" w:hAnsi="Times New Roman" w:cs="Times New Roman"/>
          <w:sz w:val="28"/>
          <w:szCs w:val="28"/>
          <w:vertAlign w:val="superscript"/>
        </w:rPr>
        <w:t>1</w:t>
      </w:r>
      <w:r w:rsidRPr="0069473A">
        <w:rPr>
          <w:rFonts w:ascii="Times New Roman" w:hAnsi="Times New Roman" w:cs="Times New Roman"/>
          <w:sz w:val="28"/>
          <w:szCs w:val="28"/>
        </w:rPr>
        <w:t>Abrham Getachew Dullo</w:t>
      </w:r>
      <w:r w:rsidRPr="0069473A">
        <w:rPr>
          <w:rFonts w:ascii="Times New Roman" w:hAnsi="Times New Roman" w:cs="Times New Roman"/>
          <w:sz w:val="28"/>
          <w:szCs w:val="28"/>
          <w:vertAlign w:val="superscript"/>
        </w:rPr>
        <w:t>2</w:t>
      </w:r>
    </w:p>
    <w:p w14:paraId="6BC5200D" w14:textId="77777777" w:rsidR="00FC62FF" w:rsidRPr="0069473A" w:rsidRDefault="00FC62FF" w:rsidP="00FC62FF">
      <w:pPr>
        <w:spacing w:line="276" w:lineRule="auto"/>
        <w:rPr>
          <w:rFonts w:ascii="Times New Roman" w:hAnsi="Times New Roman" w:cs="Times New Roman"/>
          <w:sz w:val="28"/>
          <w:szCs w:val="28"/>
        </w:rPr>
      </w:pPr>
      <w:r w:rsidRPr="0069473A">
        <w:rPr>
          <w:rFonts w:ascii="Times New Roman" w:hAnsi="Times New Roman" w:cs="Times New Roman"/>
          <w:sz w:val="28"/>
          <w:szCs w:val="28"/>
          <w:vertAlign w:val="superscript"/>
        </w:rPr>
        <w:t>1</w:t>
      </w:r>
      <w:r w:rsidRPr="0069473A">
        <w:rPr>
          <w:rFonts w:ascii="Times New Roman" w:hAnsi="Times New Roman" w:cs="Times New Roman"/>
          <w:sz w:val="28"/>
          <w:szCs w:val="28"/>
        </w:rPr>
        <w:t>Department of Ophthalmology, Saint Paul Hospital Millennium Medical College, Addis Ababa, Ethiopia</w:t>
      </w:r>
    </w:p>
    <w:p w14:paraId="046B94F4" w14:textId="77777777" w:rsidR="00FC62FF" w:rsidRPr="0069473A" w:rsidRDefault="00FC62FF" w:rsidP="00FC62FF">
      <w:pPr>
        <w:spacing w:line="276" w:lineRule="auto"/>
        <w:rPr>
          <w:rFonts w:ascii="Times New Roman" w:hAnsi="Times New Roman" w:cs="Times New Roman"/>
          <w:sz w:val="28"/>
          <w:szCs w:val="28"/>
        </w:rPr>
      </w:pPr>
      <w:r w:rsidRPr="0069473A">
        <w:rPr>
          <w:rFonts w:ascii="Times New Roman" w:hAnsi="Times New Roman" w:cs="Times New Roman"/>
          <w:sz w:val="28"/>
          <w:szCs w:val="28"/>
          <w:vertAlign w:val="superscript"/>
        </w:rPr>
        <w:t>2</w:t>
      </w:r>
      <w:r w:rsidRPr="0069473A">
        <w:rPr>
          <w:rFonts w:ascii="Times New Roman" w:hAnsi="Times New Roman" w:cs="Times New Roman"/>
          <w:sz w:val="28"/>
          <w:szCs w:val="28"/>
        </w:rPr>
        <w:t>Department of Public Health, Saint Paul Hospital Millennium Medical College, Addis Ababa, Ethiopia</w:t>
      </w:r>
    </w:p>
    <w:p w14:paraId="2E3DFC6E" w14:textId="77777777" w:rsidR="00FC62FF" w:rsidRPr="0069473A" w:rsidRDefault="00FC62FF" w:rsidP="00FC62FF">
      <w:pPr>
        <w:spacing w:line="276" w:lineRule="auto"/>
        <w:rPr>
          <w:rFonts w:ascii="Times New Roman" w:hAnsi="Times New Roman" w:cs="Times New Roman"/>
          <w:sz w:val="28"/>
          <w:szCs w:val="28"/>
        </w:rPr>
      </w:pPr>
      <w:r w:rsidRPr="0069473A">
        <w:rPr>
          <w:rFonts w:ascii="Times New Roman" w:hAnsi="Times New Roman" w:cs="Times New Roman"/>
          <w:sz w:val="28"/>
          <w:szCs w:val="28"/>
        </w:rPr>
        <w:t>Correspo</w:t>
      </w:r>
      <w:bookmarkStart w:id="0" w:name="_GoBack"/>
      <w:bookmarkEnd w:id="0"/>
      <w:r w:rsidRPr="0069473A">
        <w:rPr>
          <w:rFonts w:ascii="Times New Roman" w:hAnsi="Times New Roman" w:cs="Times New Roman"/>
          <w:sz w:val="28"/>
          <w:szCs w:val="28"/>
        </w:rPr>
        <w:t>nding author: Matiyas Engida Gebre Selase, Department of Ophthalmology, Saint Paul Hospital Millennium Medical College, Addis Ababa, Ethiopia; </w:t>
      </w:r>
    </w:p>
    <w:p w14:paraId="69150CB0" w14:textId="77777777" w:rsidR="0069473A" w:rsidRPr="0069473A" w:rsidRDefault="00FC62FF" w:rsidP="0069473A">
      <w:pPr>
        <w:spacing w:line="276" w:lineRule="auto"/>
        <w:rPr>
          <w:rFonts w:ascii="Times New Roman" w:hAnsi="Times New Roman" w:cs="Times New Roman"/>
          <w:sz w:val="28"/>
          <w:szCs w:val="28"/>
        </w:rPr>
      </w:pPr>
      <w:r w:rsidRPr="0069473A">
        <w:rPr>
          <w:rFonts w:ascii="Times New Roman" w:hAnsi="Times New Roman" w:cs="Times New Roman"/>
          <w:sz w:val="28"/>
          <w:szCs w:val="28"/>
        </w:rPr>
        <w:t>E-mail: </w:t>
      </w:r>
      <w:hyperlink r:id="rId4" w:history="1">
        <w:r w:rsidRPr="0069473A">
          <w:rPr>
            <w:rFonts w:ascii="Times New Roman" w:hAnsi="Times New Roman" w:cs="Times New Roman"/>
            <w:color w:val="0000FF"/>
            <w:sz w:val="28"/>
            <w:szCs w:val="28"/>
          </w:rPr>
          <w:t>matiyas89@gmail.com</w:t>
        </w:r>
      </w:hyperlink>
    </w:p>
    <w:p w14:paraId="3BA51222" w14:textId="33B2AFF5" w:rsidR="00FC62FF" w:rsidRPr="0069473A" w:rsidRDefault="00FC62FF" w:rsidP="0069473A">
      <w:pPr>
        <w:spacing w:line="276" w:lineRule="auto"/>
        <w:rPr>
          <w:rFonts w:ascii="Times New Roman" w:hAnsi="Times New Roman" w:cs="Times New Roman"/>
          <w:sz w:val="28"/>
          <w:szCs w:val="28"/>
        </w:rPr>
      </w:pPr>
      <w:r w:rsidRPr="005A2F60">
        <w:rPr>
          <w:rFonts w:ascii="Times New Roman" w:hAnsi="Times New Roman" w:cs="Times New Roman"/>
          <w:b/>
          <w:bCs/>
          <w:sz w:val="28"/>
          <w:szCs w:val="28"/>
        </w:rPr>
        <w:t>Abstract:</w:t>
      </w:r>
    </w:p>
    <w:p w14:paraId="46B5894E" w14:textId="77777777" w:rsidR="00FC62FF" w:rsidRPr="005A2F60" w:rsidRDefault="00FC62FF" w:rsidP="00FC62FF">
      <w:pPr>
        <w:spacing w:line="240" w:lineRule="auto"/>
        <w:jc w:val="both"/>
        <w:rPr>
          <w:rFonts w:ascii="Times New Roman" w:hAnsi="Times New Roman" w:cs="Times New Roman"/>
          <w:sz w:val="28"/>
          <w:szCs w:val="28"/>
        </w:rPr>
      </w:pPr>
      <w:r w:rsidRPr="005A2F60">
        <w:rPr>
          <w:rFonts w:ascii="Times New Roman" w:hAnsi="Times New Roman" w:cs="Times New Roman"/>
          <w:b/>
          <w:bCs/>
          <w:sz w:val="28"/>
          <w:szCs w:val="28"/>
        </w:rPr>
        <w:t>Background</w:t>
      </w:r>
      <w:r w:rsidRPr="005A2F60">
        <w:rPr>
          <w:rFonts w:ascii="Times New Roman" w:hAnsi="Times New Roman" w:cs="Times New Roman"/>
          <w:sz w:val="28"/>
          <w:szCs w:val="28"/>
        </w:rPr>
        <w:t xml:space="preserve">: High intraocular pressure (IOP) is the main modifiable risk factor for Glaucoma. Selective laser trabeculoplasty (SLT) is one of modality used to decrease IOP. </w:t>
      </w:r>
    </w:p>
    <w:p w14:paraId="3D613ED7" w14:textId="77777777" w:rsidR="00FC62FF" w:rsidRPr="005A2F60" w:rsidRDefault="00FC62FF" w:rsidP="00FC62FF">
      <w:pPr>
        <w:spacing w:line="240" w:lineRule="auto"/>
        <w:jc w:val="both"/>
        <w:rPr>
          <w:rFonts w:ascii="Times New Roman" w:hAnsi="Times New Roman" w:cs="Times New Roman"/>
          <w:sz w:val="28"/>
          <w:szCs w:val="28"/>
        </w:rPr>
      </w:pPr>
      <w:r w:rsidRPr="005A2F60">
        <w:rPr>
          <w:rFonts w:ascii="Times New Roman" w:hAnsi="Times New Roman" w:cs="Times New Roman"/>
          <w:b/>
          <w:bCs/>
          <w:sz w:val="28"/>
          <w:szCs w:val="28"/>
        </w:rPr>
        <w:t>Objectives:</w:t>
      </w:r>
      <w:r w:rsidRPr="005A2F60">
        <w:rPr>
          <w:rFonts w:ascii="Times New Roman" w:hAnsi="Times New Roman" w:cs="Times New Roman"/>
          <w:sz w:val="28"/>
          <w:szCs w:val="28"/>
        </w:rPr>
        <w:t xml:space="preserve"> To assess efficacy and safety of SLT among Ethiopian patients</w:t>
      </w:r>
    </w:p>
    <w:p w14:paraId="56B49F36" w14:textId="77777777" w:rsidR="00FC62FF" w:rsidRPr="005A2F60" w:rsidRDefault="00FC62FF" w:rsidP="00FC62FF">
      <w:pPr>
        <w:spacing w:line="240" w:lineRule="auto"/>
        <w:jc w:val="both"/>
        <w:rPr>
          <w:rFonts w:ascii="Times New Roman" w:hAnsi="Times New Roman" w:cs="Times New Roman"/>
          <w:sz w:val="28"/>
          <w:szCs w:val="28"/>
        </w:rPr>
      </w:pPr>
      <w:r w:rsidRPr="005A2F60">
        <w:rPr>
          <w:rFonts w:ascii="Times New Roman" w:hAnsi="Times New Roman" w:cs="Times New Roman"/>
          <w:b/>
          <w:bCs/>
          <w:sz w:val="28"/>
          <w:szCs w:val="28"/>
        </w:rPr>
        <w:t>Methods</w:t>
      </w:r>
      <w:r w:rsidRPr="005A2F60">
        <w:rPr>
          <w:rFonts w:ascii="Times New Roman" w:hAnsi="Times New Roman" w:cs="Times New Roman"/>
          <w:sz w:val="28"/>
          <w:szCs w:val="28"/>
        </w:rPr>
        <w:t>: A prospective Cohort Hospital based study conducted at SPHMMC in Addis Ababa, Ethiopia. The study included consecutive patients aged 40 years or older diagnosed with POAG, PXG, or OHT and had an IOP ranging from 21 to 33 mmHg. Each patient had a six-month follow-up after Laser Procedure. Successful SLT define as ≥ 20% reduction in IOP or a decrease in the number of glaucoma medication≥ 1 and IOP spike define as ≥6 mmHg increase from baseline at first hour of Post-SLT</w:t>
      </w:r>
    </w:p>
    <w:p w14:paraId="6A4CC40A" w14:textId="77777777" w:rsidR="00FC62FF" w:rsidRPr="005A2F60" w:rsidRDefault="00FC62FF" w:rsidP="00FC62FF">
      <w:pPr>
        <w:spacing w:line="240" w:lineRule="auto"/>
        <w:jc w:val="both"/>
        <w:rPr>
          <w:rFonts w:ascii="Times New Roman" w:hAnsi="Times New Roman" w:cs="Times New Roman"/>
          <w:bCs/>
          <w:sz w:val="28"/>
          <w:szCs w:val="28"/>
        </w:rPr>
      </w:pPr>
      <w:r w:rsidRPr="005A2F60">
        <w:rPr>
          <w:rFonts w:ascii="Times New Roman" w:hAnsi="Times New Roman" w:cs="Times New Roman"/>
          <w:b/>
          <w:bCs/>
          <w:sz w:val="28"/>
          <w:szCs w:val="28"/>
        </w:rPr>
        <w:t>Result:</w:t>
      </w:r>
      <w:r w:rsidRPr="005A2F60">
        <w:rPr>
          <w:rFonts w:ascii="Times New Roman" w:hAnsi="Times New Roman" w:cs="Times New Roman"/>
          <w:bCs/>
          <w:sz w:val="28"/>
          <w:szCs w:val="28"/>
        </w:rPr>
        <w:t xml:space="preserve"> The study included 95 eyes of 95 patients with 92 completing the 6-month follow-up. Primary open-angle glaucoma (POAG) accounted for 45 cases, ocular hypertension (OHT) for 26, and pseudoexfoliation glaucoma (PXG) for 21 cases. The </w:t>
      </w:r>
      <w:r w:rsidR="005A2F60" w:rsidRPr="005A2F60">
        <w:rPr>
          <w:rFonts w:ascii="Times New Roman" w:hAnsi="Times New Roman" w:cs="Times New Roman"/>
          <w:bCs/>
          <w:sz w:val="28"/>
          <w:szCs w:val="28"/>
        </w:rPr>
        <w:t>baselines mean</w:t>
      </w:r>
      <w:r w:rsidRPr="005A2F60">
        <w:rPr>
          <w:rFonts w:ascii="Times New Roman" w:hAnsi="Times New Roman" w:cs="Times New Roman"/>
          <w:bCs/>
          <w:sz w:val="28"/>
          <w:szCs w:val="28"/>
        </w:rPr>
        <w:t xml:space="preserve"> IOP was 25.06±2.62 mmHg, and the mean number of medications was 1.109±0.94. After 6 months, the mean IOP reduced by 7.96±3.0 mmHg (31.63%), and the mean number of medications by 0.14±0.5. 81 patients (88.04%) experienced successful treatment. Patients reported transient ocular pain, brow ache, photophobia, and/or blurring of vision after undergoing the laser procedure. Anterior chamber reaction of grade 0.5 or above was observed in 73 </w:t>
      </w:r>
      <w:r w:rsidRPr="005A2F60">
        <w:rPr>
          <w:rFonts w:ascii="Times New Roman" w:hAnsi="Times New Roman" w:cs="Times New Roman"/>
          <w:bCs/>
          <w:sz w:val="28"/>
          <w:szCs w:val="28"/>
        </w:rPr>
        <w:lastRenderedPageBreak/>
        <w:t>(80.6%) patients, and 17 eyes (18.5%) experienced an IOP spike, but no patient required medical intervention.</w:t>
      </w:r>
    </w:p>
    <w:p w14:paraId="1E09A347" w14:textId="77777777" w:rsidR="00FC62FF" w:rsidRPr="005A2F60" w:rsidRDefault="00FC62FF" w:rsidP="00FC62FF">
      <w:pPr>
        <w:spacing w:line="240" w:lineRule="auto"/>
        <w:jc w:val="both"/>
        <w:rPr>
          <w:rFonts w:ascii="Times New Roman" w:hAnsi="Times New Roman" w:cs="Times New Roman"/>
          <w:sz w:val="28"/>
          <w:szCs w:val="28"/>
        </w:rPr>
      </w:pPr>
      <w:r w:rsidRPr="005A2F60">
        <w:rPr>
          <w:rFonts w:ascii="Times New Roman" w:hAnsi="Times New Roman" w:cs="Times New Roman"/>
          <w:b/>
          <w:bCs/>
          <w:sz w:val="28"/>
          <w:szCs w:val="28"/>
        </w:rPr>
        <w:t xml:space="preserve">Conclusion: </w:t>
      </w:r>
      <w:r w:rsidRPr="005A2F60">
        <w:rPr>
          <w:rFonts w:ascii="Times New Roman" w:hAnsi="Times New Roman" w:cs="Times New Roman"/>
          <w:sz w:val="28"/>
          <w:szCs w:val="28"/>
        </w:rPr>
        <w:t>SLT effectively reduced mean baseline IOP and Mean antiglaucoma medication among Ethiopian patient with minimal and transient complication</w:t>
      </w:r>
    </w:p>
    <w:p w14:paraId="669A9788" w14:textId="7BC35D67" w:rsidR="0069473A" w:rsidRDefault="0069473A"/>
    <w:p w14:paraId="10E34416" w14:textId="5FAC7A59" w:rsidR="0069473A" w:rsidRPr="0069473A" w:rsidRDefault="0069473A" w:rsidP="0069473A">
      <w:pPr>
        <w:jc w:val="both"/>
        <w:rPr>
          <w:rFonts w:ascii="Times New Roman" w:hAnsi="Times New Roman" w:cs="Times New Roman"/>
          <w:sz w:val="28"/>
        </w:rPr>
      </w:pPr>
      <w:r w:rsidRPr="0069473A">
        <w:rPr>
          <w:rFonts w:ascii="Times New Roman" w:hAnsi="Times New Roman" w:cs="Times New Roman"/>
          <w:b/>
          <w:bCs/>
          <w:sz w:val="28"/>
        </w:rPr>
        <w:t>Biography:</w:t>
      </w:r>
      <w:r w:rsidRPr="0069473A">
        <w:rPr>
          <w:rFonts w:ascii="Times New Roman" w:hAnsi="Times New Roman" w:cs="Times New Roman"/>
          <w:sz w:val="28"/>
        </w:rPr>
        <w:t xml:space="preserve"> Dr. Matiyas Engida is an assistant professor of ophthalmology at Saint Paul’s Hospital Millennium Medical College, a tertiary center serving a population of over 15 million people. Dr. Matiyas works at the Glaucoma Clinic of SPHMMC, treating more than 400 patients per month and providing various ophthalmic medical and surgical services, including SLT glaucoma therapy, trabeculectomy, and manual small incision cataract surgery.</w:t>
      </w:r>
    </w:p>
    <w:sectPr w:rsidR="0069473A" w:rsidRPr="0069473A" w:rsidSect="00CA2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C62FF"/>
    <w:rsid w:val="005A2F60"/>
    <w:rsid w:val="0069473A"/>
    <w:rsid w:val="00CA2C94"/>
    <w:rsid w:val="00DB3329"/>
    <w:rsid w:val="00E1028A"/>
    <w:rsid w:val="00EB045F"/>
    <w:rsid w:val="00FC62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DB1F7"/>
  <w15:docId w15:val="{FE275372-804E-44F0-9ECA-0D3DE3A1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C9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rsid w:val="00FC62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FC62FF"/>
  </w:style>
  <w:style w:type="character" w:customStyle="1" w:styleId="author-ref">
    <w:name w:val="author-ref"/>
    <w:basedOn w:val="DefaultParagraphFont"/>
    <w:rsid w:val="00FC62FF"/>
  </w:style>
  <w:style w:type="character" w:customStyle="1" w:styleId="sup">
    <w:name w:val="sup"/>
    <w:basedOn w:val="DefaultParagraphFont"/>
    <w:rsid w:val="00FC62FF"/>
  </w:style>
  <w:style w:type="paragraph" w:customStyle="1" w:styleId="x05-adres-korespondencyjny-1">
    <w:name w:val="x05-adres-korespondencyjny-1"/>
    <w:basedOn w:val="Normal"/>
    <w:rsid w:val="00FC62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05-adres-korespondencyjny-2">
    <w:name w:val="x05-adres-korespondencyjny-2"/>
    <w:basedOn w:val="Normal"/>
    <w:rsid w:val="00FC62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ez-wiszacych-spojnikow">
    <w:name w:val="bez-wiszacych-spojnikow"/>
    <w:basedOn w:val="DefaultParagraphFont"/>
    <w:rsid w:val="00FC62FF"/>
  </w:style>
  <w:style w:type="paragraph" w:customStyle="1" w:styleId="x05-this-article-is-available">
    <w:name w:val="x05-this-article-is-available"/>
    <w:basedOn w:val="Normal"/>
    <w:rsid w:val="00FC62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stract-title">
    <w:name w:val="abstract-title"/>
    <w:basedOn w:val="DefaultParagraphFont"/>
    <w:rsid w:val="00FC62FF"/>
  </w:style>
  <w:style w:type="character" w:customStyle="1" w:styleId="pogrubienie-kolor">
    <w:name w:val="pogrubienie-kolor"/>
    <w:basedOn w:val="DefaultParagraphFont"/>
    <w:rsid w:val="00FC62FF"/>
  </w:style>
  <w:style w:type="character" w:customStyle="1" w:styleId="char-style-override-1">
    <w:name w:val="char-style-override-1"/>
    <w:basedOn w:val="DefaultParagraphFont"/>
    <w:rsid w:val="00FC6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314475">
      <w:bodyDiv w:val="1"/>
      <w:marLeft w:val="0"/>
      <w:marRight w:val="0"/>
      <w:marTop w:val="0"/>
      <w:marBottom w:val="0"/>
      <w:divBdr>
        <w:top w:val="none" w:sz="0" w:space="0" w:color="auto"/>
        <w:left w:val="none" w:sz="0" w:space="0" w:color="auto"/>
        <w:bottom w:val="none" w:sz="0" w:space="0" w:color="auto"/>
        <w:right w:val="none" w:sz="0" w:space="0" w:color="auto"/>
      </w:divBdr>
      <w:divsChild>
        <w:div w:id="1411079438">
          <w:marLeft w:val="0"/>
          <w:marRight w:val="0"/>
          <w:marTop w:val="561"/>
          <w:marBottom w:val="0"/>
          <w:divBdr>
            <w:top w:val="none" w:sz="0" w:space="0" w:color="auto"/>
            <w:left w:val="none" w:sz="0" w:space="0" w:color="auto"/>
            <w:bottom w:val="none" w:sz="0" w:space="0" w:color="auto"/>
            <w:right w:val="none" w:sz="0" w:space="0" w:color="auto"/>
          </w:divBdr>
        </w:div>
        <w:div w:id="830751498">
          <w:marLeft w:val="0"/>
          <w:marRight w:val="0"/>
          <w:marTop w:val="0"/>
          <w:marBottom w:val="374"/>
          <w:divBdr>
            <w:top w:val="none" w:sz="0" w:space="0" w:color="auto"/>
            <w:left w:val="none" w:sz="0" w:space="0" w:color="auto"/>
            <w:bottom w:val="none" w:sz="0" w:space="0" w:color="auto"/>
            <w:right w:val="none" w:sz="0" w:space="0" w:color="auto"/>
          </w:divBdr>
          <w:divsChild>
            <w:div w:id="323440423">
              <w:marLeft w:val="0"/>
              <w:marRight w:val="0"/>
              <w:marTop w:val="0"/>
              <w:marBottom w:val="0"/>
              <w:divBdr>
                <w:top w:val="none" w:sz="0" w:space="0" w:color="auto"/>
                <w:left w:val="none" w:sz="0" w:space="0" w:color="auto"/>
                <w:bottom w:val="none" w:sz="0" w:space="0" w:color="auto"/>
                <w:right w:val="none" w:sz="0" w:space="0" w:color="auto"/>
              </w:divBdr>
            </w:div>
            <w:div w:id="601258404">
              <w:marLeft w:val="0"/>
              <w:marRight w:val="0"/>
              <w:marTop w:val="0"/>
              <w:marBottom w:val="0"/>
              <w:divBdr>
                <w:top w:val="none" w:sz="0" w:space="0" w:color="auto"/>
                <w:left w:val="none" w:sz="0" w:space="0" w:color="auto"/>
                <w:bottom w:val="none" w:sz="0" w:space="0" w:color="auto"/>
                <w:right w:val="none" w:sz="0" w:space="0" w:color="auto"/>
              </w:divBdr>
            </w:div>
          </w:divsChild>
        </w:div>
        <w:div w:id="61413820">
          <w:marLeft w:val="561"/>
          <w:marRight w:val="0"/>
          <w:marTop w:val="187"/>
          <w:marBottom w:val="561"/>
          <w:divBdr>
            <w:top w:val="none" w:sz="0" w:space="0" w:color="auto"/>
            <w:left w:val="none" w:sz="0" w:space="0" w:color="auto"/>
            <w:bottom w:val="none" w:sz="0" w:space="0" w:color="auto"/>
            <w:right w:val="none" w:sz="0" w:space="0" w:color="auto"/>
          </w:divBdr>
        </w:div>
        <w:div w:id="1469322963">
          <w:marLeft w:val="0"/>
          <w:marRight w:val="0"/>
          <w:marTop w:val="561"/>
          <w:marBottom w:val="561"/>
          <w:divBdr>
            <w:top w:val="none" w:sz="0" w:space="0" w:color="auto"/>
            <w:left w:val="none" w:sz="0" w:space="0" w:color="auto"/>
            <w:bottom w:val="none" w:sz="0" w:space="0" w:color="auto"/>
            <w:right w:val="none" w:sz="0" w:space="0" w:color="auto"/>
          </w:divBdr>
          <w:divsChild>
            <w:div w:id="1417095654">
              <w:marLeft w:val="0"/>
              <w:marRight w:val="0"/>
              <w:marTop w:val="187"/>
              <w:marBottom w:val="0"/>
              <w:divBdr>
                <w:top w:val="none" w:sz="0" w:space="0" w:color="auto"/>
                <w:left w:val="none" w:sz="0" w:space="0" w:color="auto"/>
                <w:bottom w:val="none" w:sz="0" w:space="0" w:color="auto"/>
                <w:right w:val="none" w:sz="0" w:space="0" w:color="auto"/>
              </w:divBdr>
            </w:div>
            <w:div w:id="2092923643">
              <w:marLeft w:val="0"/>
              <w:marRight w:val="0"/>
              <w:marTop w:val="187"/>
              <w:marBottom w:val="0"/>
              <w:divBdr>
                <w:top w:val="none" w:sz="0" w:space="0" w:color="auto"/>
                <w:left w:val="none" w:sz="0" w:space="0" w:color="auto"/>
                <w:bottom w:val="none" w:sz="0" w:space="0" w:color="auto"/>
                <w:right w:val="none" w:sz="0" w:space="0" w:color="auto"/>
              </w:divBdr>
            </w:div>
            <w:div w:id="470296567">
              <w:marLeft w:val="0"/>
              <w:marRight w:val="0"/>
              <w:marTop w:val="187"/>
              <w:marBottom w:val="0"/>
              <w:divBdr>
                <w:top w:val="none" w:sz="0" w:space="0" w:color="auto"/>
                <w:left w:val="none" w:sz="0" w:space="0" w:color="auto"/>
                <w:bottom w:val="none" w:sz="0" w:space="0" w:color="auto"/>
                <w:right w:val="none" w:sz="0" w:space="0" w:color="auto"/>
              </w:divBdr>
            </w:div>
            <w:div w:id="1339848825">
              <w:marLeft w:val="0"/>
              <w:marRight w:val="0"/>
              <w:marTop w:val="187"/>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tiyas8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415</Words>
  <Characters>2368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Abyssiniaaa</dc:creator>
  <cp:lastModifiedBy>Abyssiniaaa</cp:lastModifiedBy>
  <cp:revision>2</cp:revision>
  <dcterms:created xsi:type="dcterms:W3CDTF">2024-12-09T23:06:00Z</dcterms:created>
  <dcterms:modified xsi:type="dcterms:W3CDTF">2024-12-09T23:28:00Z</dcterms:modified>
</cp:coreProperties>
</file>