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3BE" w:rsidRPr="00721CF0" w:rsidRDefault="00D713BE" w:rsidP="00634CC6">
      <w:pPr>
        <w:spacing w:line="480" w:lineRule="auto"/>
        <w:jc w:val="center"/>
        <w:rPr>
          <w:rFonts w:asciiTheme="majorBidi" w:hAnsiTheme="majorBidi" w:cstheme="majorBidi"/>
          <w:sz w:val="28"/>
          <w:szCs w:val="28"/>
        </w:rPr>
      </w:pPr>
      <w:bookmarkStart w:id="0" w:name="_Toc491609217"/>
      <w:r w:rsidRPr="00721CF0">
        <w:rPr>
          <w:rFonts w:asciiTheme="majorBidi" w:hAnsiTheme="majorBidi" w:cstheme="majorBidi"/>
          <w:sz w:val="28"/>
          <w:szCs w:val="28"/>
        </w:rPr>
        <w:t xml:space="preserve">Formulation of </w:t>
      </w:r>
      <w:r w:rsidR="00721CF0">
        <w:rPr>
          <w:rFonts w:asciiTheme="majorBidi" w:hAnsiTheme="majorBidi" w:cstheme="majorBidi"/>
          <w:sz w:val="28"/>
          <w:szCs w:val="28"/>
        </w:rPr>
        <w:t>non-ionic s</w:t>
      </w:r>
      <w:r w:rsidR="009D6AFC" w:rsidRPr="00721CF0">
        <w:rPr>
          <w:rFonts w:asciiTheme="majorBidi" w:hAnsiTheme="majorBidi" w:cstheme="majorBidi"/>
          <w:sz w:val="28"/>
          <w:szCs w:val="28"/>
        </w:rPr>
        <w:t>urfactant vesicles (</w:t>
      </w:r>
      <w:r w:rsidRPr="00721CF0">
        <w:rPr>
          <w:rFonts w:asciiTheme="majorBidi" w:hAnsiTheme="majorBidi" w:cstheme="majorBidi"/>
          <w:sz w:val="28"/>
          <w:szCs w:val="28"/>
        </w:rPr>
        <w:t>NISV</w:t>
      </w:r>
      <w:r w:rsidR="009D6AFC" w:rsidRPr="00721CF0">
        <w:rPr>
          <w:rFonts w:asciiTheme="majorBidi" w:hAnsiTheme="majorBidi" w:cstheme="majorBidi"/>
          <w:sz w:val="28"/>
          <w:szCs w:val="28"/>
        </w:rPr>
        <w:t>)</w:t>
      </w:r>
      <w:r w:rsidRPr="00721CF0">
        <w:rPr>
          <w:rFonts w:asciiTheme="majorBidi" w:hAnsiTheme="majorBidi" w:cstheme="majorBidi"/>
          <w:sz w:val="28"/>
          <w:szCs w:val="28"/>
        </w:rPr>
        <w:t xml:space="preserve"> prepared by microfluidics </w:t>
      </w:r>
      <w:bookmarkStart w:id="1" w:name="_GoBack"/>
      <w:bookmarkEnd w:id="1"/>
      <w:r w:rsidRPr="00721CF0">
        <w:rPr>
          <w:rFonts w:asciiTheme="majorBidi" w:hAnsiTheme="majorBidi" w:cstheme="majorBidi"/>
          <w:sz w:val="28"/>
          <w:szCs w:val="28"/>
        </w:rPr>
        <w:t>for therapeutic delivery of siRNA into cancer cells</w:t>
      </w:r>
      <w:bookmarkEnd w:id="0"/>
    </w:p>
    <w:p w:rsidR="00B608B3" w:rsidRPr="00634CC6" w:rsidRDefault="00D713BE" w:rsidP="00634CC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4CC6">
        <w:rPr>
          <w:rFonts w:asciiTheme="majorBidi" w:hAnsiTheme="majorBidi" w:cstheme="majorBidi"/>
          <w:b/>
          <w:bCs/>
          <w:sz w:val="24"/>
          <w:szCs w:val="24"/>
        </w:rPr>
        <w:t>Presenting Author:</w:t>
      </w:r>
      <w:r w:rsidRPr="00634CC6">
        <w:rPr>
          <w:rFonts w:asciiTheme="majorBidi" w:hAnsiTheme="majorBidi" w:cstheme="majorBidi"/>
          <w:sz w:val="24"/>
          <w:szCs w:val="24"/>
        </w:rPr>
        <w:t xml:space="preserve"> </w:t>
      </w:r>
      <w:r w:rsidRPr="00634CC6">
        <w:rPr>
          <w:rFonts w:asciiTheme="majorBidi" w:hAnsiTheme="majorBidi" w:cstheme="majorBidi"/>
          <w:b/>
          <w:bCs/>
          <w:sz w:val="24"/>
          <w:szCs w:val="24"/>
        </w:rPr>
        <w:t>Mohammad Ali Obeid</w:t>
      </w:r>
      <w:r w:rsidRPr="00634CC6">
        <w:rPr>
          <w:rFonts w:asciiTheme="majorBidi" w:hAnsiTheme="majorBidi" w:cstheme="majorBidi"/>
          <w:sz w:val="24"/>
          <w:szCs w:val="24"/>
        </w:rPr>
        <w:t>, Faculty of pharmacy, Yarmouk University, Irbid-Jordan</w:t>
      </w:r>
    </w:p>
    <w:p w:rsidR="00D713BE" w:rsidRPr="00634CC6" w:rsidRDefault="00D713BE" w:rsidP="00634CC6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</w:pPr>
      <w:r w:rsidRPr="00D713BE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>Co</w:t>
      </w:r>
      <w:r w:rsidRPr="00634CC6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>-</w:t>
      </w:r>
      <w:r w:rsidRPr="00D713BE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>Authors:</w:t>
      </w:r>
      <w:r w:rsidRPr="00634CC6">
        <w:rPr>
          <w:rFonts w:asciiTheme="majorBidi" w:hAnsiTheme="majorBidi" w:cstheme="majorBidi"/>
          <w:b/>
          <w:bCs/>
          <w:sz w:val="24"/>
          <w:szCs w:val="24"/>
        </w:rPr>
        <w:t xml:space="preserve"> Alexander B. Mullen</w:t>
      </w:r>
      <w:r w:rsidRPr="00634CC6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634CC6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634CC6">
        <w:rPr>
          <w:rFonts w:asciiTheme="majorBidi" w:hAnsiTheme="majorBidi" w:cstheme="majorBidi"/>
          <w:b/>
          <w:bCs/>
          <w:color w:val="000000"/>
          <w:sz w:val="24"/>
          <w:szCs w:val="24"/>
        </w:rPr>
        <w:t>Rothwelle J. Tate</w:t>
      </w:r>
      <w:r w:rsidRPr="00634CC6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1</w:t>
      </w:r>
      <w:r w:rsidRPr="00634CC6">
        <w:rPr>
          <w:rFonts w:asciiTheme="majorBidi" w:hAnsiTheme="majorBidi" w:cstheme="majorBidi"/>
          <w:b/>
          <w:bCs/>
          <w:color w:val="000000"/>
          <w:sz w:val="24"/>
          <w:szCs w:val="24"/>
        </w:rPr>
        <w:t>, Valerie A. Ferro</w:t>
      </w:r>
      <w:r w:rsidRPr="00634CC6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1</w:t>
      </w:r>
    </w:p>
    <w:p w:rsidR="00D713BE" w:rsidRPr="00634CC6" w:rsidRDefault="00D713BE" w:rsidP="00634CC6">
      <w:pPr>
        <w:spacing w:line="480" w:lineRule="auto"/>
        <w:jc w:val="both"/>
        <w:rPr>
          <w:rFonts w:asciiTheme="majorBidi" w:hAnsiTheme="majorBidi" w:cstheme="majorBidi"/>
          <w:snapToGrid w:val="0"/>
          <w:sz w:val="24"/>
          <w:szCs w:val="24"/>
        </w:rPr>
      </w:pPr>
      <w:r w:rsidRPr="00634CC6">
        <w:rPr>
          <w:rFonts w:asciiTheme="majorBidi" w:hAnsiTheme="majorBidi" w:cstheme="majorBidi"/>
          <w:snapToGrid w:val="0"/>
          <w:sz w:val="24"/>
          <w:szCs w:val="24"/>
          <w:vertAlign w:val="superscript"/>
        </w:rPr>
        <w:t>1</w:t>
      </w:r>
      <w:r w:rsidRPr="00634CC6">
        <w:rPr>
          <w:rFonts w:asciiTheme="majorBidi" w:hAnsiTheme="majorBidi" w:cstheme="majorBidi"/>
          <w:snapToGrid w:val="0"/>
          <w:sz w:val="24"/>
          <w:szCs w:val="24"/>
        </w:rPr>
        <w:t>Strathclyde Institute of Pharmacy and Biomedical Sciences, University of Strathclyde, 161 Cathedral Street, G4 0RE Glasgow, United Kingdom.</w:t>
      </w:r>
    </w:p>
    <w:p w:rsidR="00D713BE" w:rsidRPr="00D713BE" w:rsidRDefault="00D713BE" w:rsidP="00634CC6">
      <w:pPr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</w:pPr>
      <w:r w:rsidRPr="00D713BE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 xml:space="preserve">Introduction: </w:t>
      </w:r>
    </w:p>
    <w:p w:rsidR="00D713BE" w:rsidRPr="00614B6B" w:rsidRDefault="00D713BE" w:rsidP="00F84A39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4CC6">
        <w:rPr>
          <w:rFonts w:asciiTheme="majorBidi" w:hAnsiTheme="majorBidi" w:cstheme="majorBidi"/>
          <w:sz w:val="24"/>
          <w:szCs w:val="24"/>
          <w:lang w:val="en-US"/>
        </w:rPr>
        <w:t>RNA</w:t>
      </w:r>
      <w:r w:rsidR="000269BA">
        <w:rPr>
          <w:rFonts w:asciiTheme="majorBidi" w:hAnsiTheme="majorBidi" w:cstheme="majorBidi"/>
          <w:sz w:val="24"/>
          <w:szCs w:val="24"/>
          <w:lang w:val="en-US"/>
        </w:rPr>
        <w:t xml:space="preserve"> interference</w:t>
      </w:r>
      <w:r w:rsidRPr="00634CC6">
        <w:rPr>
          <w:rFonts w:asciiTheme="majorBidi" w:hAnsiTheme="majorBidi" w:cstheme="majorBidi"/>
          <w:sz w:val="24"/>
          <w:szCs w:val="24"/>
          <w:lang w:val="en-US"/>
        </w:rPr>
        <w:t xml:space="preserve"> involves the degradation </w:t>
      </w:r>
      <w:r w:rsidR="000269BA">
        <w:rPr>
          <w:rFonts w:asciiTheme="majorBidi" w:hAnsiTheme="majorBidi" w:cstheme="majorBidi"/>
          <w:sz w:val="24"/>
          <w:szCs w:val="24"/>
          <w:lang w:val="en-US"/>
        </w:rPr>
        <w:t>of a target messenger RNA</w:t>
      </w:r>
      <w:r w:rsidRPr="00634CC6">
        <w:rPr>
          <w:rFonts w:asciiTheme="majorBidi" w:hAnsiTheme="majorBidi" w:cstheme="majorBidi"/>
          <w:sz w:val="24"/>
          <w:szCs w:val="24"/>
          <w:lang w:val="en-US"/>
        </w:rPr>
        <w:t xml:space="preserve"> through the incorporation of short interfering RNAs (siRNA)</w:t>
      </w:r>
      <w:r w:rsidR="00E3251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32512">
        <w:rPr>
          <w:rFonts w:asciiTheme="majorBidi" w:hAnsiTheme="majorBidi" w:cstheme="majorBidi"/>
          <w:sz w:val="24"/>
          <w:szCs w:val="24"/>
          <w:lang w:val="en-US"/>
        </w:rPr>
        <w:fldChar w:fldCharType="begin"/>
      </w:r>
      <w:r w:rsidR="00E32512">
        <w:rPr>
          <w:rFonts w:asciiTheme="majorBidi" w:hAnsiTheme="majorBidi" w:cstheme="majorBidi"/>
          <w:sz w:val="24"/>
          <w:szCs w:val="24"/>
          <w:lang w:val="en-US"/>
        </w:rPr>
        <w:instrText xml:space="preserve"> ADDIN EN.CITE &lt;EndNote&gt;&lt;Cite&gt;&lt;Author&gt;Obeid&lt;/Author&gt;&lt;Year&gt;2017&lt;/Year&gt;&lt;RecNum&gt;445&lt;/RecNum&gt;&lt;DisplayText&gt;[1]&lt;/DisplayText&gt;&lt;record&gt;&lt;rec-number&gt;445&lt;/rec-number&gt;&lt;foreign-keys&gt;&lt;key app="EN" db-id="ax99s00tn2aeaeetadqvxeamp2wddweevwrp" timestamp="1496830556"&gt;445&lt;/key&gt;&lt;/foreign-keys&gt;&lt;ref-type name="Journal Article"&gt;17&lt;/ref-type&gt;&lt;contributors&gt;&lt;authors&gt;&lt;author&gt;Obeid, Mohammad A.&lt;/author&gt;&lt;author&gt;Elburi, Ashref&lt;/author&gt;&lt;author&gt;Young, Louise C.&lt;/author&gt;&lt;author&gt;Mullen, Alexander B.&lt;/author&gt;&lt;author&gt;Tate, Rothwelle J.&lt;/author&gt;&lt;author&gt;Ferro, Valerie A.&lt;/author&gt;&lt;/authors&gt;&lt;/contributors&gt;&lt;titles&gt;&lt;title&gt;Formulation of non-ionic surfactant vesicles (NISV) prepared by microfluidics for therapeutic delivery of siRNA into cancer cells&lt;/title&gt;&lt;secondary-title&gt;Molecular Pharmaceutics&lt;/secondary-title&gt;&lt;/titles&gt;&lt;periodical&gt;&lt;full-title&gt;Molecular pharmaceutics&lt;/full-title&gt;&lt;/periodical&gt;&lt;dates&gt;&lt;year&gt;2017&lt;/year&gt;&lt;pub-dates&gt;&lt;date&gt;2017/06/01&lt;/date&gt;&lt;/pub-dates&gt;&lt;/dates&gt;&lt;publisher&gt;American Chemical Society&lt;/publisher&gt;&lt;isbn&gt;1543-8384&lt;/isbn&gt;&lt;urls&gt;&lt;related-urls&gt;&lt;url&gt;http://pubs.acs.org/doi/abs/10.1021/acs.molpharmaceut.7b00352&lt;/url&gt;&lt;/related-urls&gt;&lt;/urls&gt;&lt;electronic-resource-num&gt;10.1021/acs.molpharmaceut.7b00352&lt;/electronic-resource-num&gt;&lt;/record&gt;&lt;/Cite&gt;&lt;/EndNote&gt;</w:instrText>
      </w:r>
      <w:r w:rsidR="00E32512">
        <w:rPr>
          <w:rFonts w:asciiTheme="majorBidi" w:hAnsiTheme="majorBidi" w:cstheme="majorBidi"/>
          <w:sz w:val="24"/>
          <w:szCs w:val="24"/>
          <w:lang w:val="en-US"/>
        </w:rPr>
        <w:fldChar w:fldCharType="separate"/>
      </w:r>
      <w:r w:rsidR="00E32512">
        <w:rPr>
          <w:rFonts w:asciiTheme="majorBidi" w:hAnsiTheme="majorBidi" w:cstheme="majorBidi"/>
          <w:noProof/>
          <w:sz w:val="24"/>
          <w:szCs w:val="24"/>
          <w:lang w:val="en-US"/>
        </w:rPr>
        <w:t>[1]</w:t>
      </w:r>
      <w:r w:rsidR="00E32512">
        <w:rPr>
          <w:rFonts w:asciiTheme="majorBidi" w:hAnsiTheme="majorBidi" w:cstheme="majorBidi"/>
          <w:sz w:val="24"/>
          <w:szCs w:val="24"/>
          <w:lang w:val="en-US"/>
        </w:rPr>
        <w:fldChar w:fldCharType="end"/>
      </w:r>
      <w:r w:rsidRPr="00634CC6">
        <w:rPr>
          <w:rFonts w:asciiTheme="majorBidi" w:hAnsiTheme="majorBidi" w:cstheme="majorBidi"/>
          <w:sz w:val="24"/>
          <w:szCs w:val="24"/>
          <w:lang w:val="en-US"/>
        </w:rPr>
        <w:t>. The application of siRNA based therapeutics is limited by the development of an effective delivery system</w:t>
      </w:r>
      <w:r w:rsidR="000269BA"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634CC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11EE8">
        <w:rPr>
          <w:rFonts w:asciiTheme="majorBidi" w:hAnsiTheme="majorBidi" w:cstheme="majorBidi"/>
          <w:sz w:val="24"/>
          <w:szCs w:val="24"/>
        </w:rPr>
        <w:t>A novel</w:t>
      </w:r>
      <w:r w:rsidR="00F84A39">
        <w:rPr>
          <w:rFonts w:asciiTheme="majorBidi" w:hAnsiTheme="majorBidi" w:cstheme="majorBidi"/>
          <w:sz w:val="24"/>
          <w:szCs w:val="24"/>
        </w:rPr>
        <w:t xml:space="preserve"> type of nanoparticles </w:t>
      </w:r>
      <w:r w:rsidRPr="00634CC6">
        <w:rPr>
          <w:rFonts w:asciiTheme="majorBidi" w:hAnsiTheme="majorBidi" w:cstheme="majorBidi"/>
          <w:sz w:val="24"/>
          <w:szCs w:val="24"/>
        </w:rPr>
        <w:t>known as non-i</w:t>
      </w:r>
      <w:r w:rsidR="00DF6BE6" w:rsidRPr="00634CC6">
        <w:rPr>
          <w:rFonts w:asciiTheme="majorBidi" w:hAnsiTheme="majorBidi" w:cstheme="majorBidi"/>
          <w:sz w:val="24"/>
          <w:szCs w:val="24"/>
        </w:rPr>
        <w:t>onic surfactant vesicles (NISV)</w:t>
      </w:r>
      <w:r w:rsidRPr="00634CC6">
        <w:rPr>
          <w:rFonts w:asciiTheme="majorBidi" w:hAnsiTheme="majorBidi" w:cstheme="majorBidi"/>
          <w:sz w:val="24"/>
          <w:szCs w:val="24"/>
        </w:rPr>
        <w:t xml:space="preserve"> are commonly used for drug delivery of various therapeutic</w:t>
      </w:r>
      <w:r w:rsidR="000269BA">
        <w:rPr>
          <w:rFonts w:asciiTheme="majorBidi" w:hAnsiTheme="majorBidi" w:cstheme="majorBidi"/>
          <w:sz w:val="24"/>
          <w:szCs w:val="24"/>
        </w:rPr>
        <w:t>s</w:t>
      </w:r>
      <w:r w:rsidRPr="00634CC6">
        <w:rPr>
          <w:rFonts w:asciiTheme="majorBidi" w:hAnsiTheme="majorBidi" w:cstheme="majorBidi"/>
          <w:sz w:val="24"/>
          <w:szCs w:val="24"/>
        </w:rPr>
        <w:t>, are relatively safe and non-expensive</w:t>
      </w:r>
      <w:r w:rsidR="00DF6BE6" w:rsidRPr="00634CC6">
        <w:rPr>
          <w:rFonts w:asciiTheme="majorBidi" w:hAnsiTheme="majorBidi" w:cstheme="majorBidi"/>
          <w:sz w:val="24"/>
          <w:szCs w:val="24"/>
        </w:rPr>
        <w:t>,</w:t>
      </w:r>
      <w:r w:rsidRPr="00634CC6">
        <w:rPr>
          <w:rFonts w:asciiTheme="majorBidi" w:hAnsiTheme="majorBidi" w:cstheme="majorBidi"/>
          <w:sz w:val="24"/>
          <w:szCs w:val="24"/>
        </w:rPr>
        <w:t xml:space="preserve"> have not been extensively studied for siRNA delivery</w:t>
      </w:r>
      <w:r w:rsidR="00E32512">
        <w:rPr>
          <w:rFonts w:asciiTheme="majorBidi" w:hAnsiTheme="majorBidi" w:cstheme="majorBidi"/>
          <w:sz w:val="24"/>
          <w:szCs w:val="24"/>
        </w:rPr>
        <w:t xml:space="preserve"> </w:t>
      </w:r>
      <w:r w:rsidR="00E32512">
        <w:rPr>
          <w:rFonts w:asciiTheme="majorBidi" w:hAnsiTheme="majorBidi" w:cstheme="majorBidi"/>
          <w:sz w:val="24"/>
          <w:szCs w:val="24"/>
        </w:rPr>
        <w:fldChar w:fldCharType="begin"/>
      </w:r>
      <w:r w:rsidR="00E32512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&lt;EndNote&gt;&lt;Cite&gt;&lt;Author&gt;Obeid&lt;/Author&gt;&lt;Year&gt;2017&lt;/Year&gt;&lt;RecNum&gt;369&lt;/RecNum&gt;&lt;DisplayText&gt;[2]&lt;/DisplayText&gt;&lt;record&gt;&lt;rec-number&gt;369&lt;/rec-number&gt;&lt;foreign-keys&gt;&lt;key app="EN" db-id="ax99s00tn2aeaeetadqvxeamp2wddweevwrp" timestamp="1491492144"&gt;369&lt;/key&gt;&lt;/foreign-keys&gt;&lt;ref-type name="Journal Article"&gt;17&lt;/ref-type&gt;&lt;contributors&gt;&lt;authors&gt;&lt;author&gt;Obeid, Mohammad A&lt;/author&gt;&lt;author&gt;Gebril, Ayman M&lt;/author&gt;&lt;author&gt;Tate, Rothwelle J&lt;/author&gt;&lt;author&gt;Mullen, Alexander B&lt;/author&gt;&lt;author&gt;Ferro, Valerie A&lt;/author&gt;&lt;/authors&gt;&lt;/contributors&gt;&lt;titles&gt;&lt;title&gt;Comparison of the physical characteristics of monodisperse non-ionic surfactant vesicles (NISV) prepared using different manufacturing methods&lt;/title&gt;&lt;secondary-title&gt;International journal of pharmaceutics&lt;/secondary-title&gt;&lt;/titles&gt;&lt;periodical&gt;&lt;full-title&gt;International Journal of Pharmaceutics&lt;/full-title&gt;&lt;/periodical&gt;&lt;pages&gt;54-60&lt;/pages&gt;&lt;volume&gt;521&lt;/volume&gt;&lt;number&gt;1&lt;/number&gt;&lt;dates&gt;&lt;year&gt;2017&lt;/year&gt;&lt;/dates&gt;&lt;isbn&gt;0378-5173&lt;/isbn&gt;&lt;urls&gt;&lt;/urls&gt;&lt;/record&gt;&lt;/Cite&gt;&lt;/EndNote&gt;</w:instrText>
      </w:r>
      <w:r w:rsidR="00E32512">
        <w:rPr>
          <w:rFonts w:asciiTheme="majorBidi" w:hAnsiTheme="majorBidi" w:cstheme="majorBidi"/>
          <w:sz w:val="24"/>
          <w:szCs w:val="24"/>
        </w:rPr>
        <w:fldChar w:fldCharType="separate"/>
      </w:r>
      <w:r w:rsidR="00E32512">
        <w:rPr>
          <w:rFonts w:asciiTheme="majorBidi" w:hAnsiTheme="majorBidi" w:cstheme="majorBidi"/>
          <w:noProof/>
          <w:sz w:val="24"/>
          <w:szCs w:val="24"/>
        </w:rPr>
        <w:t>[2]</w:t>
      </w:r>
      <w:r w:rsidR="00E32512">
        <w:rPr>
          <w:rFonts w:asciiTheme="majorBidi" w:hAnsiTheme="majorBidi" w:cstheme="majorBidi"/>
          <w:sz w:val="24"/>
          <w:szCs w:val="24"/>
        </w:rPr>
        <w:fldChar w:fldCharType="end"/>
      </w:r>
      <w:r w:rsidRPr="00634CC6">
        <w:rPr>
          <w:rFonts w:asciiTheme="majorBidi" w:hAnsiTheme="majorBidi" w:cstheme="majorBidi"/>
          <w:sz w:val="24"/>
          <w:szCs w:val="24"/>
        </w:rPr>
        <w:t xml:space="preserve">. Therefore, the aim of this study was to investigate the potential of NISV </w:t>
      </w:r>
      <w:r w:rsidR="00203688">
        <w:rPr>
          <w:rFonts w:asciiTheme="majorBidi" w:hAnsiTheme="majorBidi" w:cstheme="majorBidi"/>
          <w:sz w:val="24"/>
          <w:szCs w:val="24"/>
        </w:rPr>
        <w:t>prepared by microfluidics for</w:t>
      </w:r>
      <w:r w:rsidRPr="00634CC6">
        <w:rPr>
          <w:rFonts w:asciiTheme="majorBidi" w:hAnsiTheme="majorBidi" w:cstheme="majorBidi"/>
          <w:sz w:val="24"/>
          <w:szCs w:val="24"/>
        </w:rPr>
        <w:t xml:space="preserve"> siRNA delivery.</w:t>
      </w:r>
    </w:p>
    <w:p w:rsidR="00D713BE" w:rsidRPr="00D713BE" w:rsidRDefault="00D713BE" w:rsidP="00634CC6">
      <w:pPr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</w:pPr>
      <w:r w:rsidRPr="00D713BE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>Methods:</w:t>
      </w:r>
    </w:p>
    <w:p w:rsidR="009D6AFC" w:rsidRPr="00634CC6" w:rsidRDefault="009D6AFC" w:rsidP="00F84A39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4CC6">
        <w:rPr>
          <w:rFonts w:asciiTheme="majorBidi" w:hAnsiTheme="majorBidi" w:cstheme="majorBidi"/>
          <w:sz w:val="24"/>
          <w:szCs w:val="24"/>
        </w:rPr>
        <w:t>NISV were prepared by microfluidic mixing</w:t>
      </w:r>
      <w:r w:rsidR="00F84A39">
        <w:rPr>
          <w:rFonts w:asciiTheme="majorBidi" w:hAnsiTheme="majorBidi" w:cstheme="majorBidi"/>
          <w:sz w:val="24"/>
          <w:szCs w:val="24"/>
        </w:rPr>
        <w:t xml:space="preserve"> which is </w:t>
      </w:r>
      <w:r w:rsidR="00203688">
        <w:rPr>
          <w:rFonts w:asciiTheme="majorBidi" w:hAnsiTheme="majorBidi" w:cstheme="majorBidi"/>
          <w:sz w:val="24"/>
          <w:szCs w:val="24"/>
        </w:rPr>
        <w:t xml:space="preserve">a recently developed </w:t>
      </w:r>
      <w:r w:rsidR="00203688" w:rsidRPr="002445F8">
        <w:rPr>
          <w:rFonts w:asciiTheme="majorBidi" w:hAnsiTheme="majorBidi" w:cstheme="majorBidi"/>
          <w:sz w:val="24"/>
          <w:szCs w:val="24"/>
        </w:rPr>
        <w:t>method used</w:t>
      </w:r>
      <w:r w:rsidR="00203688">
        <w:rPr>
          <w:rFonts w:asciiTheme="majorBidi" w:hAnsiTheme="majorBidi" w:cstheme="majorBidi"/>
          <w:sz w:val="24"/>
          <w:szCs w:val="24"/>
        </w:rPr>
        <w:t xml:space="preserve"> to</w:t>
      </w:r>
      <w:r w:rsidR="00203688" w:rsidRPr="002445F8">
        <w:rPr>
          <w:rFonts w:asciiTheme="majorBidi" w:hAnsiTheme="majorBidi" w:cstheme="majorBidi"/>
          <w:sz w:val="24"/>
          <w:szCs w:val="24"/>
        </w:rPr>
        <w:t xml:space="preserve"> prepar</w:t>
      </w:r>
      <w:r w:rsidR="00203688">
        <w:rPr>
          <w:rFonts w:asciiTheme="majorBidi" w:hAnsiTheme="majorBidi" w:cstheme="majorBidi"/>
          <w:sz w:val="24"/>
          <w:szCs w:val="24"/>
        </w:rPr>
        <w:t>e</w:t>
      </w:r>
      <w:r w:rsidR="00203688" w:rsidRPr="002445F8">
        <w:rPr>
          <w:rFonts w:asciiTheme="majorBidi" w:hAnsiTheme="majorBidi" w:cstheme="majorBidi"/>
          <w:sz w:val="24"/>
          <w:szCs w:val="24"/>
        </w:rPr>
        <w:t xml:space="preserve"> </w:t>
      </w:r>
      <w:r w:rsidR="00203688">
        <w:rPr>
          <w:rFonts w:asciiTheme="majorBidi" w:hAnsiTheme="majorBidi" w:cstheme="majorBidi"/>
          <w:sz w:val="24"/>
          <w:szCs w:val="24"/>
        </w:rPr>
        <w:t>lipid based nanoparticles</w:t>
      </w:r>
      <w:r w:rsidR="00F84A39">
        <w:rPr>
          <w:rFonts w:asciiTheme="majorBidi" w:hAnsiTheme="majorBidi" w:cstheme="majorBidi"/>
          <w:sz w:val="24"/>
          <w:szCs w:val="24"/>
        </w:rPr>
        <w:t xml:space="preserve"> and </w:t>
      </w:r>
      <w:r w:rsidR="00203688">
        <w:rPr>
          <w:rFonts w:asciiTheme="majorBidi" w:hAnsiTheme="majorBidi" w:cstheme="majorBidi"/>
          <w:sz w:val="24"/>
          <w:szCs w:val="24"/>
        </w:rPr>
        <w:t xml:space="preserve">results in the production of </w:t>
      </w:r>
      <w:r w:rsidR="00203688" w:rsidRPr="002445F8">
        <w:rPr>
          <w:rFonts w:asciiTheme="majorBidi" w:hAnsiTheme="majorBidi" w:cstheme="majorBidi"/>
          <w:sz w:val="24"/>
          <w:szCs w:val="24"/>
        </w:rPr>
        <w:t xml:space="preserve">small </w:t>
      </w:r>
      <w:r w:rsidR="00203688">
        <w:rPr>
          <w:rFonts w:asciiTheme="majorBidi" w:hAnsiTheme="majorBidi" w:cstheme="majorBidi"/>
          <w:sz w:val="24"/>
          <w:szCs w:val="24"/>
        </w:rPr>
        <w:t>vesicles</w:t>
      </w:r>
      <w:r w:rsidR="00203688" w:rsidRPr="002445F8">
        <w:rPr>
          <w:rFonts w:asciiTheme="majorBidi" w:hAnsiTheme="majorBidi" w:cstheme="majorBidi"/>
          <w:sz w:val="24"/>
          <w:szCs w:val="24"/>
        </w:rPr>
        <w:t xml:space="preserve"> </w:t>
      </w:r>
      <w:r w:rsidR="00203688">
        <w:rPr>
          <w:rFonts w:asciiTheme="majorBidi" w:hAnsiTheme="majorBidi" w:cstheme="majorBidi"/>
          <w:sz w:val="24"/>
          <w:szCs w:val="24"/>
        </w:rPr>
        <w:t xml:space="preserve">with </w:t>
      </w:r>
      <w:r w:rsidR="00203688" w:rsidRPr="002445F8">
        <w:rPr>
          <w:rFonts w:asciiTheme="majorBidi" w:hAnsiTheme="majorBidi" w:cstheme="majorBidi"/>
          <w:sz w:val="24"/>
          <w:szCs w:val="24"/>
        </w:rPr>
        <w:t>efficient encapsulat</w:t>
      </w:r>
      <w:r w:rsidR="00203688">
        <w:rPr>
          <w:rFonts w:asciiTheme="majorBidi" w:hAnsiTheme="majorBidi" w:cstheme="majorBidi"/>
          <w:sz w:val="24"/>
          <w:szCs w:val="24"/>
        </w:rPr>
        <w:t>ion of a therapeutic agent</w:t>
      </w:r>
      <w:r w:rsidR="00203688" w:rsidRPr="002445F8">
        <w:rPr>
          <w:rFonts w:asciiTheme="majorBidi" w:hAnsiTheme="majorBidi" w:cstheme="majorBidi"/>
          <w:sz w:val="24"/>
          <w:szCs w:val="24"/>
        </w:rPr>
        <w:t xml:space="preserve">. </w:t>
      </w:r>
      <w:r w:rsidR="00411EE8">
        <w:rPr>
          <w:rFonts w:asciiTheme="majorBidi" w:hAnsiTheme="majorBidi" w:cstheme="majorBidi"/>
          <w:sz w:val="24"/>
          <w:szCs w:val="24"/>
        </w:rPr>
        <w:t>To prepare NISV</w:t>
      </w:r>
      <w:r w:rsidR="00F84A39">
        <w:rPr>
          <w:rFonts w:asciiTheme="majorBidi" w:hAnsiTheme="majorBidi" w:cstheme="majorBidi"/>
          <w:sz w:val="24"/>
          <w:szCs w:val="24"/>
        </w:rPr>
        <w:t>, s</w:t>
      </w:r>
      <w:r w:rsidR="00411EE8">
        <w:rPr>
          <w:rFonts w:asciiTheme="majorBidi" w:hAnsiTheme="majorBidi" w:cstheme="majorBidi"/>
          <w:sz w:val="24"/>
          <w:szCs w:val="24"/>
        </w:rPr>
        <w:t xml:space="preserve">pecific volumes from each stock solution </w:t>
      </w:r>
      <w:r w:rsidR="00F84A39">
        <w:rPr>
          <w:rFonts w:asciiTheme="majorBidi" w:hAnsiTheme="majorBidi" w:cstheme="majorBidi"/>
          <w:sz w:val="24"/>
          <w:szCs w:val="24"/>
        </w:rPr>
        <w:t xml:space="preserve">of the NISV components </w:t>
      </w:r>
      <w:r w:rsidR="00411EE8">
        <w:rPr>
          <w:rFonts w:asciiTheme="majorBidi" w:hAnsiTheme="majorBidi" w:cstheme="majorBidi"/>
          <w:sz w:val="24"/>
          <w:szCs w:val="24"/>
        </w:rPr>
        <w:t>were mixed toge</w:t>
      </w:r>
      <w:r w:rsidR="00411EE8">
        <w:rPr>
          <w:rFonts w:asciiTheme="majorBidi" w:hAnsiTheme="majorBidi" w:cstheme="majorBidi"/>
          <w:sz w:val="24"/>
          <w:szCs w:val="24"/>
        </w:rPr>
        <w:t>ther to prepare the lipid phase</w:t>
      </w:r>
      <w:r w:rsidR="00411EE8">
        <w:rPr>
          <w:sz w:val="24"/>
          <w:szCs w:val="24"/>
        </w:rPr>
        <w:t xml:space="preserve">. </w:t>
      </w:r>
      <w:r w:rsidR="00411EE8">
        <w:rPr>
          <w:rFonts w:asciiTheme="majorBidi" w:hAnsiTheme="majorBidi" w:cstheme="majorBidi"/>
          <w:sz w:val="24"/>
          <w:szCs w:val="24"/>
        </w:rPr>
        <w:t>T</w:t>
      </w:r>
      <w:r w:rsidR="00411EE8" w:rsidRPr="002445F8">
        <w:rPr>
          <w:rFonts w:asciiTheme="majorBidi" w:hAnsiTheme="majorBidi" w:cstheme="majorBidi"/>
          <w:sz w:val="24"/>
          <w:szCs w:val="24"/>
        </w:rPr>
        <w:t xml:space="preserve">he lipid phase was injected into the first inlet and the aqueous </w:t>
      </w:r>
      <w:r w:rsidR="00411EE8">
        <w:rPr>
          <w:rFonts w:asciiTheme="majorBidi" w:hAnsiTheme="majorBidi" w:cstheme="majorBidi"/>
          <w:sz w:val="24"/>
          <w:szCs w:val="24"/>
        </w:rPr>
        <w:t xml:space="preserve">phase </w:t>
      </w:r>
      <w:r w:rsidR="00411EE8" w:rsidRPr="002445F8">
        <w:rPr>
          <w:rFonts w:asciiTheme="majorBidi" w:hAnsiTheme="majorBidi" w:cstheme="majorBidi"/>
          <w:sz w:val="24"/>
          <w:szCs w:val="24"/>
        </w:rPr>
        <w:t>into the second inlet of the microfluidic micromixer</w:t>
      </w:r>
      <w:r w:rsidR="00411EE8">
        <w:rPr>
          <w:rFonts w:asciiTheme="majorBidi" w:hAnsiTheme="majorBidi" w:cstheme="majorBidi"/>
          <w:sz w:val="24"/>
          <w:szCs w:val="24"/>
        </w:rPr>
        <w:t>, with the mixing temperature set at 50</w:t>
      </w:r>
      <w:r w:rsidR="00411EE8" w:rsidRPr="002445F8">
        <w:rPr>
          <w:rFonts w:asciiTheme="majorBidi" w:hAnsiTheme="majorBidi" w:cstheme="majorBidi"/>
          <w:sz w:val="24"/>
          <w:szCs w:val="24"/>
        </w:rPr>
        <w:t xml:space="preserve">°C. </w:t>
      </w:r>
      <w:r w:rsidR="00411EE8">
        <w:rPr>
          <w:rFonts w:asciiTheme="majorBidi" w:hAnsiTheme="majorBidi" w:cstheme="majorBidi"/>
          <w:sz w:val="24"/>
          <w:szCs w:val="24"/>
        </w:rPr>
        <w:t>The</w:t>
      </w:r>
      <w:r w:rsidR="00F84A39">
        <w:rPr>
          <w:rFonts w:asciiTheme="majorBidi" w:hAnsiTheme="majorBidi" w:cstheme="majorBidi"/>
          <w:sz w:val="24"/>
          <w:szCs w:val="24"/>
        </w:rPr>
        <w:t xml:space="preserve"> </w:t>
      </w:r>
      <w:r w:rsidR="00F84A39">
        <w:rPr>
          <w:rFonts w:asciiTheme="majorBidi" w:hAnsiTheme="majorBidi" w:cstheme="majorBidi"/>
          <w:sz w:val="24"/>
          <w:szCs w:val="24"/>
        </w:rPr>
        <w:t>flow rate ratios (FRR) between the aqueous and organic phase</w:t>
      </w:r>
      <w:r w:rsidR="00411EE8" w:rsidRPr="002445F8">
        <w:rPr>
          <w:rFonts w:asciiTheme="majorBidi" w:hAnsiTheme="majorBidi" w:cstheme="majorBidi"/>
          <w:sz w:val="24"/>
          <w:szCs w:val="24"/>
        </w:rPr>
        <w:t xml:space="preserve"> </w:t>
      </w:r>
      <w:r w:rsidR="00411EE8">
        <w:rPr>
          <w:rFonts w:asciiTheme="majorBidi" w:hAnsiTheme="majorBidi" w:cstheme="majorBidi"/>
          <w:sz w:val="24"/>
          <w:szCs w:val="24"/>
        </w:rPr>
        <w:t xml:space="preserve">was set at 3:1 and the </w:t>
      </w:r>
      <w:r w:rsidR="00F84A39">
        <w:rPr>
          <w:rFonts w:asciiTheme="majorBidi" w:hAnsiTheme="majorBidi" w:cstheme="majorBidi"/>
          <w:sz w:val="24"/>
          <w:szCs w:val="24"/>
        </w:rPr>
        <w:t>total flow rates (TFR) of both phases</w:t>
      </w:r>
      <w:r w:rsidR="00F84A39">
        <w:rPr>
          <w:rFonts w:asciiTheme="majorBidi" w:hAnsiTheme="majorBidi" w:cstheme="majorBidi"/>
          <w:sz w:val="24"/>
          <w:szCs w:val="24"/>
        </w:rPr>
        <w:t xml:space="preserve"> </w:t>
      </w:r>
      <w:r w:rsidR="00411EE8">
        <w:rPr>
          <w:rFonts w:asciiTheme="majorBidi" w:hAnsiTheme="majorBidi" w:cstheme="majorBidi"/>
          <w:sz w:val="24"/>
          <w:szCs w:val="24"/>
        </w:rPr>
        <w:t>was set at 12 ml/min.</w:t>
      </w:r>
      <w:r w:rsidR="00411E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03688">
        <w:rPr>
          <w:rFonts w:asciiTheme="majorBidi" w:hAnsiTheme="majorBidi" w:cstheme="majorBidi"/>
          <w:sz w:val="24"/>
          <w:szCs w:val="24"/>
        </w:rPr>
        <w:t>This</w:t>
      </w:r>
      <w:r w:rsidR="00203688">
        <w:rPr>
          <w:rFonts w:asciiTheme="majorBidi" w:hAnsiTheme="majorBidi" w:cstheme="majorBidi"/>
          <w:sz w:val="24"/>
          <w:szCs w:val="24"/>
        </w:rPr>
        <w:t xml:space="preserve"> allows for fast mixing between the two phases at high flow </w:t>
      </w:r>
      <w:r w:rsidR="00203688">
        <w:rPr>
          <w:rFonts w:asciiTheme="majorBidi" w:hAnsiTheme="majorBidi" w:cstheme="majorBidi"/>
          <w:sz w:val="24"/>
          <w:szCs w:val="24"/>
        </w:rPr>
        <w:lastRenderedPageBreak/>
        <w:t xml:space="preserve">rates and at a temperature above the phase transition of the lipids. </w:t>
      </w:r>
      <w:r w:rsidR="00411EE8">
        <w:rPr>
          <w:rFonts w:asciiTheme="majorBidi" w:hAnsiTheme="majorBidi" w:cstheme="majorBidi"/>
          <w:color w:val="000000"/>
          <w:sz w:val="24"/>
          <w:szCs w:val="24"/>
        </w:rPr>
        <w:t>D</w:t>
      </w:r>
      <w:r w:rsidR="00411EE8" w:rsidRPr="002445F8">
        <w:rPr>
          <w:rFonts w:asciiTheme="majorBidi" w:hAnsiTheme="majorBidi" w:cstheme="majorBidi"/>
          <w:color w:val="000000"/>
          <w:sz w:val="24"/>
          <w:szCs w:val="24"/>
        </w:rPr>
        <w:t xml:space="preserve">ispersions </w:t>
      </w:r>
      <w:r w:rsidR="00411EE8">
        <w:rPr>
          <w:rFonts w:asciiTheme="majorBidi" w:hAnsiTheme="majorBidi" w:cstheme="majorBidi"/>
          <w:color w:val="000000"/>
          <w:sz w:val="24"/>
          <w:szCs w:val="24"/>
        </w:rPr>
        <w:t xml:space="preserve">were </w:t>
      </w:r>
      <w:r w:rsidR="00203688">
        <w:rPr>
          <w:rFonts w:asciiTheme="majorBidi" w:hAnsiTheme="majorBidi" w:cstheme="majorBidi"/>
          <w:color w:val="000000"/>
          <w:sz w:val="24"/>
          <w:szCs w:val="24"/>
        </w:rPr>
        <w:t xml:space="preserve">then </w:t>
      </w:r>
      <w:r w:rsidR="00411EE8" w:rsidRPr="002445F8">
        <w:rPr>
          <w:rFonts w:asciiTheme="majorBidi" w:hAnsiTheme="majorBidi" w:cstheme="majorBidi"/>
          <w:color w:val="000000"/>
          <w:sz w:val="24"/>
          <w:szCs w:val="24"/>
        </w:rPr>
        <w:t xml:space="preserve">collected from the </w:t>
      </w:r>
      <w:r w:rsidR="00411EE8" w:rsidRPr="002445F8">
        <w:rPr>
          <w:rFonts w:asciiTheme="majorBidi" w:hAnsiTheme="majorBidi" w:cstheme="majorBidi"/>
          <w:sz w:val="24"/>
          <w:szCs w:val="24"/>
        </w:rPr>
        <w:t>outlet</w:t>
      </w:r>
      <w:r w:rsidR="00411EE8">
        <w:rPr>
          <w:rFonts w:asciiTheme="majorBidi" w:hAnsiTheme="majorBidi" w:cstheme="majorBidi"/>
          <w:sz w:val="24"/>
          <w:szCs w:val="24"/>
        </w:rPr>
        <w:t xml:space="preserve"> stream and immediately diluted</w:t>
      </w:r>
      <w:r w:rsidR="00411EE8" w:rsidRPr="002445F8">
        <w:rPr>
          <w:rFonts w:asciiTheme="majorBidi" w:hAnsiTheme="majorBidi" w:cstheme="majorBidi"/>
          <w:sz w:val="24"/>
          <w:szCs w:val="24"/>
        </w:rPr>
        <w:t xml:space="preserve"> </w:t>
      </w:r>
      <w:r w:rsidR="00411EE8">
        <w:rPr>
          <w:rFonts w:asciiTheme="majorBidi" w:hAnsiTheme="majorBidi" w:cstheme="majorBidi"/>
          <w:sz w:val="24"/>
          <w:szCs w:val="24"/>
        </w:rPr>
        <w:t xml:space="preserve">in order to reduce the final ethanol content in the preparation to 6.25% (v/v). </w:t>
      </w:r>
      <w:r w:rsidR="00203688">
        <w:rPr>
          <w:rFonts w:asciiTheme="majorBidi" w:hAnsiTheme="majorBidi" w:cstheme="majorBidi"/>
          <w:sz w:val="24"/>
          <w:szCs w:val="24"/>
        </w:rPr>
        <w:t xml:space="preserve"> </w:t>
      </w:r>
      <w:r w:rsidRPr="00634CC6">
        <w:rPr>
          <w:rFonts w:asciiTheme="majorBidi" w:hAnsiTheme="majorBidi" w:cstheme="majorBidi"/>
          <w:sz w:val="24"/>
          <w:szCs w:val="24"/>
        </w:rPr>
        <w:t xml:space="preserve">Cytotoxicity evaluation of </w:t>
      </w:r>
      <w:r w:rsidR="00CC5FFF">
        <w:rPr>
          <w:rFonts w:asciiTheme="majorBidi" w:hAnsiTheme="majorBidi" w:cstheme="majorBidi"/>
          <w:sz w:val="24"/>
          <w:szCs w:val="24"/>
        </w:rPr>
        <w:t>NISV</w:t>
      </w:r>
      <w:r w:rsidRPr="00634CC6">
        <w:rPr>
          <w:rFonts w:asciiTheme="majorBidi" w:hAnsiTheme="majorBidi" w:cstheme="majorBidi"/>
          <w:sz w:val="24"/>
          <w:szCs w:val="24"/>
        </w:rPr>
        <w:t xml:space="preserve"> were carried out on non-</w:t>
      </w:r>
      <w:r w:rsidR="00E32512">
        <w:rPr>
          <w:rFonts w:asciiTheme="majorBidi" w:hAnsiTheme="majorBidi" w:cstheme="majorBidi"/>
          <w:sz w:val="24"/>
          <w:szCs w:val="24"/>
        </w:rPr>
        <w:t xml:space="preserve">small lung cancer cells (A549) </w:t>
      </w:r>
      <w:r w:rsidRPr="00634CC6">
        <w:rPr>
          <w:rFonts w:asciiTheme="majorBidi" w:hAnsiTheme="majorBidi" w:cstheme="majorBidi"/>
          <w:sz w:val="24"/>
          <w:szCs w:val="24"/>
        </w:rPr>
        <w:t>and mouse melanoma cells (B16-F10-LUC).</w:t>
      </w:r>
      <w:r w:rsidR="00CC5FFF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0269BA">
        <w:rPr>
          <w:rFonts w:asciiTheme="majorBidi" w:hAnsiTheme="majorBidi" w:cstheme="majorBidi"/>
          <w:sz w:val="24"/>
          <w:szCs w:val="24"/>
        </w:rPr>
        <w:t>siRNA</w:t>
      </w:r>
      <w:proofErr w:type="gramEnd"/>
      <w:r w:rsidR="000269BA">
        <w:rPr>
          <w:rFonts w:asciiTheme="majorBidi" w:hAnsiTheme="majorBidi" w:cstheme="majorBidi"/>
          <w:sz w:val="24"/>
          <w:szCs w:val="24"/>
        </w:rPr>
        <w:t xml:space="preserve"> targeting</w:t>
      </w:r>
      <w:r w:rsidRPr="00634CC6">
        <w:rPr>
          <w:rFonts w:asciiTheme="majorBidi" w:hAnsiTheme="majorBidi" w:cstheme="majorBidi"/>
          <w:sz w:val="24"/>
          <w:szCs w:val="24"/>
        </w:rPr>
        <w:t xml:space="preserve"> green fluorescent protein (GFP) in copGFP-A549 cells,</w:t>
      </w:r>
      <w:r w:rsidR="000269BA">
        <w:rPr>
          <w:rFonts w:asciiTheme="majorBidi" w:hAnsiTheme="majorBidi" w:cstheme="majorBidi"/>
          <w:sz w:val="24"/>
          <w:szCs w:val="24"/>
        </w:rPr>
        <w:t xml:space="preserve"> or luciferase</w:t>
      </w:r>
      <w:r w:rsidRPr="00634CC6">
        <w:rPr>
          <w:rFonts w:asciiTheme="majorBidi" w:hAnsiTheme="majorBidi" w:cstheme="majorBidi"/>
          <w:sz w:val="24"/>
          <w:szCs w:val="24"/>
        </w:rPr>
        <w:t xml:space="preserve"> in B16-F10-LUC cells were encapsulated in NISV. Inhibition of GFP expression by anti-GFP siRNA (</w:t>
      </w:r>
      <w:r w:rsidR="00D36EC0" w:rsidRPr="00634CC6">
        <w:rPr>
          <w:rFonts w:asciiTheme="majorBidi" w:hAnsiTheme="majorBidi" w:cstheme="majorBidi"/>
          <w:sz w:val="24"/>
          <w:szCs w:val="24"/>
        </w:rPr>
        <w:t>siGFP) delivered using</w:t>
      </w:r>
      <w:r w:rsidR="00CC5FFF">
        <w:rPr>
          <w:rFonts w:asciiTheme="majorBidi" w:hAnsiTheme="majorBidi" w:cstheme="majorBidi"/>
          <w:sz w:val="24"/>
          <w:szCs w:val="24"/>
        </w:rPr>
        <w:t xml:space="preserve"> NISV</w:t>
      </w:r>
      <w:r w:rsidRPr="00634CC6">
        <w:rPr>
          <w:rFonts w:asciiTheme="majorBidi" w:hAnsiTheme="majorBidi" w:cstheme="majorBidi"/>
          <w:sz w:val="24"/>
          <w:szCs w:val="24"/>
        </w:rPr>
        <w:t xml:space="preserve"> was evaluated by flow cytometry, polymerase chain reaction, and Western blotting.</w:t>
      </w:r>
      <w:r w:rsidR="0043384F">
        <w:rPr>
          <w:rFonts w:asciiTheme="majorBidi" w:hAnsiTheme="majorBidi" w:cstheme="majorBidi"/>
          <w:sz w:val="24"/>
          <w:szCs w:val="24"/>
        </w:rPr>
        <w:t xml:space="preserve"> N</w:t>
      </w:r>
      <w:r w:rsidR="00E951E7" w:rsidRPr="00634CC6">
        <w:rPr>
          <w:rFonts w:asciiTheme="majorBidi" w:hAnsiTheme="majorBidi" w:cstheme="majorBidi"/>
          <w:sz w:val="24"/>
          <w:szCs w:val="24"/>
        </w:rPr>
        <w:t>ude BALB/c mice inoculated with B16-F10-LUC cells that induce melanoma expressing luciferase was used to assess the NISV ability</w:t>
      </w:r>
      <w:r w:rsidR="00CC5FFF">
        <w:rPr>
          <w:rFonts w:asciiTheme="majorBidi" w:hAnsiTheme="majorBidi" w:cstheme="majorBidi"/>
          <w:sz w:val="24"/>
          <w:szCs w:val="24"/>
        </w:rPr>
        <w:t xml:space="preserve"> to deliver siRNA </w:t>
      </w:r>
      <w:r w:rsidR="00CC5FFF" w:rsidRPr="00460491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="00E951E7" w:rsidRPr="00634CC6">
        <w:rPr>
          <w:rFonts w:asciiTheme="majorBidi" w:hAnsiTheme="majorBidi" w:cstheme="majorBidi"/>
          <w:sz w:val="24"/>
          <w:szCs w:val="24"/>
        </w:rPr>
        <w:t>.</w:t>
      </w:r>
    </w:p>
    <w:p w:rsidR="009D6AFC" w:rsidRPr="009D6AFC" w:rsidRDefault="009D6AFC" w:rsidP="00634CC6">
      <w:pPr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</w:pPr>
      <w:r w:rsidRPr="009D6AFC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 xml:space="preserve">Results: </w:t>
      </w:r>
    </w:p>
    <w:p w:rsidR="00DF6BE6" w:rsidRPr="00634CC6" w:rsidRDefault="009D6AFC" w:rsidP="000152C3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4CC6">
        <w:rPr>
          <w:rFonts w:asciiTheme="majorBidi" w:hAnsiTheme="majorBidi" w:cstheme="majorBidi"/>
          <w:sz w:val="24"/>
          <w:szCs w:val="24"/>
        </w:rPr>
        <w:t>Cytotoxicity studies indicated</w:t>
      </w:r>
      <w:r w:rsidR="00D50FFA" w:rsidRPr="00634CC6">
        <w:rPr>
          <w:rFonts w:asciiTheme="majorBidi" w:hAnsiTheme="majorBidi" w:cstheme="majorBidi"/>
          <w:sz w:val="24"/>
          <w:szCs w:val="24"/>
        </w:rPr>
        <w:t xml:space="preserve"> that</w:t>
      </w:r>
      <w:r w:rsidRPr="00634CC6">
        <w:rPr>
          <w:rFonts w:asciiTheme="majorBidi" w:hAnsiTheme="majorBidi" w:cstheme="majorBidi"/>
          <w:sz w:val="24"/>
          <w:szCs w:val="24"/>
        </w:rPr>
        <w:t xml:space="preserve"> </w:t>
      </w:r>
      <w:r w:rsidR="002E3BB4">
        <w:rPr>
          <w:rFonts w:asciiTheme="majorBidi" w:hAnsiTheme="majorBidi" w:cstheme="majorBidi"/>
          <w:sz w:val="24"/>
          <w:szCs w:val="24"/>
        </w:rPr>
        <w:t>NISV</w:t>
      </w:r>
      <w:r w:rsidRPr="00634CC6">
        <w:rPr>
          <w:rFonts w:asciiTheme="majorBidi" w:hAnsiTheme="majorBidi" w:cstheme="majorBidi"/>
          <w:sz w:val="24"/>
          <w:szCs w:val="24"/>
        </w:rPr>
        <w:t xml:space="preserve"> were not toxic at or below 40 µg/ml. NISV formulations had high siRNA encapsulation </w:t>
      </w:r>
      <w:r w:rsidR="000269BA">
        <w:rPr>
          <w:rFonts w:asciiTheme="majorBidi" w:hAnsiTheme="majorBidi" w:cstheme="majorBidi"/>
          <w:sz w:val="24"/>
          <w:szCs w:val="24"/>
        </w:rPr>
        <w:t>efficiency</w:t>
      </w:r>
      <w:r w:rsidRPr="00634CC6">
        <w:rPr>
          <w:rFonts w:asciiTheme="majorBidi" w:hAnsiTheme="majorBidi" w:cstheme="majorBidi"/>
          <w:sz w:val="24"/>
          <w:szCs w:val="24"/>
        </w:rPr>
        <w:t xml:space="preserve">. Fluorescent microscope and flow cytometry studies indicated high cellular uptake </w:t>
      </w:r>
      <w:r w:rsidR="00D50FFA" w:rsidRPr="00634CC6">
        <w:rPr>
          <w:rFonts w:asciiTheme="majorBidi" w:hAnsiTheme="majorBidi" w:cstheme="majorBidi"/>
          <w:sz w:val="24"/>
          <w:szCs w:val="24"/>
        </w:rPr>
        <w:t xml:space="preserve">by the cells </w:t>
      </w:r>
      <w:r w:rsidRPr="00634CC6">
        <w:rPr>
          <w:rFonts w:asciiTheme="majorBidi" w:hAnsiTheme="majorBidi" w:cstheme="majorBidi"/>
          <w:sz w:val="24"/>
          <w:szCs w:val="24"/>
        </w:rPr>
        <w:t>compared to naked siRNA, which was not taken up by the cells</w:t>
      </w:r>
      <w:r w:rsidR="0052769A">
        <w:rPr>
          <w:rFonts w:asciiTheme="majorBidi" w:hAnsiTheme="majorBidi" w:cstheme="majorBidi"/>
          <w:sz w:val="24"/>
          <w:szCs w:val="24"/>
        </w:rPr>
        <w:t xml:space="preserve">. </w:t>
      </w:r>
      <w:r w:rsidRPr="00634CC6">
        <w:rPr>
          <w:rFonts w:asciiTheme="majorBidi" w:hAnsiTheme="majorBidi" w:cstheme="majorBidi"/>
          <w:sz w:val="24"/>
          <w:szCs w:val="24"/>
        </w:rPr>
        <w:t xml:space="preserve">NISV were able to deliver siGFP to the cells and </w:t>
      </w:r>
      <w:r w:rsidR="000269BA">
        <w:rPr>
          <w:rFonts w:asciiTheme="majorBidi" w:hAnsiTheme="majorBidi" w:cstheme="majorBidi"/>
          <w:sz w:val="24"/>
          <w:szCs w:val="24"/>
        </w:rPr>
        <w:t>significantly</w:t>
      </w:r>
      <w:r w:rsidRPr="00634CC6">
        <w:rPr>
          <w:rFonts w:asciiTheme="majorBidi" w:hAnsiTheme="majorBidi" w:cstheme="majorBidi"/>
          <w:sz w:val="24"/>
          <w:szCs w:val="24"/>
        </w:rPr>
        <w:t xml:space="preserve"> suppress GFP expression. These results were confirmed by transfecting the luciferase producing B16-F10-LUC cells wit</w:t>
      </w:r>
      <w:r w:rsidR="00332704">
        <w:rPr>
          <w:rFonts w:asciiTheme="majorBidi" w:hAnsiTheme="majorBidi" w:cstheme="majorBidi"/>
          <w:sz w:val="24"/>
          <w:szCs w:val="24"/>
        </w:rPr>
        <w:t>h anti-luciferase siRNA (siLUC)</w:t>
      </w:r>
      <w:r w:rsidRPr="00634CC6">
        <w:rPr>
          <w:rFonts w:asciiTheme="majorBidi" w:hAnsiTheme="majorBidi" w:cstheme="majorBidi"/>
          <w:sz w:val="24"/>
          <w:szCs w:val="24"/>
        </w:rPr>
        <w:t>. Measuring the level of luciferase expression after siLUC transfections using a luciferase protein assay system successfully demonstrated the suppression of luciferase expression.</w:t>
      </w:r>
      <w:r w:rsidR="002E3BB4">
        <w:rPr>
          <w:rFonts w:asciiTheme="majorBidi" w:hAnsiTheme="majorBidi" w:cstheme="majorBidi"/>
          <w:sz w:val="24"/>
          <w:szCs w:val="24"/>
        </w:rPr>
        <w:t xml:space="preserve"> </w:t>
      </w:r>
      <w:r w:rsidR="00E951E7" w:rsidRPr="00634CC6">
        <w:rPr>
          <w:rFonts w:asciiTheme="majorBidi" w:hAnsiTheme="majorBidi" w:cstheme="majorBidi"/>
          <w:sz w:val="24"/>
          <w:szCs w:val="24"/>
        </w:rPr>
        <w:t>NISV were</w:t>
      </w:r>
      <w:r w:rsidRPr="00634CC6">
        <w:rPr>
          <w:rFonts w:asciiTheme="majorBidi" w:hAnsiTheme="majorBidi" w:cstheme="majorBidi"/>
          <w:sz w:val="24"/>
          <w:szCs w:val="24"/>
        </w:rPr>
        <w:t xml:space="preserve"> then used in </w:t>
      </w:r>
      <w:r w:rsidRPr="00634CC6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Pr="00634CC6">
        <w:rPr>
          <w:rFonts w:asciiTheme="majorBidi" w:hAnsiTheme="majorBidi" w:cstheme="majorBidi"/>
          <w:sz w:val="24"/>
          <w:szCs w:val="24"/>
        </w:rPr>
        <w:t xml:space="preserve"> experiments using nude BALB/c mice</w:t>
      </w:r>
      <w:r w:rsidR="000152C3">
        <w:rPr>
          <w:rFonts w:asciiTheme="majorBidi" w:hAnsiTheme="majorBidi" w:cstheme="majorBidi"/>
          <w:sz w:val="24"/>
          <w:szCs w:val="24"/>
        </w:rPr>
        <w:t>.</w:t>
      </w:r>
      <w:r w:rsidRPr="00634CC6">
        <w:rPr>
          <w:rFonts w:asciiTheme="majorBidi" w:hAnsiTheme="majorBidi" w:cstheme="majorBidi"/>
          <w:sz w:val="24"/>
          <w:szCs w:val="24"/>
        </w:rPr>
        <w:t xml:space="preserve"> After intra-tumoural injection, siLUC was delivered to the cells and suppressed luciferase expression at a </w:t>
      </w:r>
      <w:r w:rsidR="00332704">
        <w:rPr>
          <w:rFonts w:asciiTheme="majorBidi" w:hAnsiTheme="majorBidi" w:cstheme="majorBidi"/>
          <w:sz w:val="24"/>
          <w:szCs w:val="24"/>
        </w:rPr>
        <w:t>significantly</w:t>
      </w:r>
      <w:r w:rsidRPr="00634CC6">
        <w:rPr>
          <w:rFonts w:asciiTheme="majorBidi" w:hAnsiTheme="majorBidi" w:cstheme="majorBidi"/>
          <w:sz w:val="24"/>
          <w:szCs w:val="24"/>
        </w:rPr>
        <w:t xml:space="preserve"> higher level than mice treated with naked siLUC. These </w:t>
      </w:r>
      <w:r w:rsidRPr="00634CC6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Pr="00634CC6">
        <w:rPr>
          <w:rFonts w:asciiTheme="majorBidi" w:hAnsiTheme="majorBidi" w:cstheme="majorBidi"/>
          <w:sz w:val="24"/>
          <w:szCs w:val="24"/>
        </w:rPr>
        <w:t xml:space="preserve"> results confirm the ability </w:t>
      </w:r>
      <w:r w:rsidR="00332704">
        <w:rPr>
          <w:rFonts w:asciiTheme="majorBidi" w:hAnsiTheme="majorBidi" w:cstheme="majorBidi"/>
          <w:sz w:val="24"/>
          <w:szCs w:val="24"/>
        </w:rPr>
        <w:t>of NISV to successfully deliver</w:t>
      </w:r>
      <w:r w:rsidRPr="00634CC6">
        <w:rPr>
          <w:rFonts w:asciiTheme="majorBidi" w:hAnsiTheme="majorBidi" w:cstheme="majorBidi"/>
          <w:sz w:val="24"/>
          <w:szCs w:val="24"/>
        </w:rPr>
        <w:t xml:space="preserve"> siRNA into </w:t>
      </w:r>
      <w:r w:rsidR="00332704">
        <w:rPr>
          <w:rFonts w:asciiTheme="majorBidi" w:hAnsiTheme="majorBidi" w:cstheme="majorBidi"/>
          <w:sz w:val="24"/>
          <w:szCs w:val="24"/>
        </w:rPr>
        <w:t>the cytoplasm of the target</w:t>
      </w:r>
      <w:r w:rsidRPr="00634CC6">
        <w:rPr>
          <w:rFonts w:asciiTheme="majorBidi" w:hAnsiTheme="majorBidi" w:cstheme="majorBidi"/>
          <w:sz w:val="24"/>
          <w:szCs w:val="24"/>
        </w:rPr>
        <w:t xml:space="preserve"> cells and suppress the target protein.</w:t>
      </w:r>
    </w:p>
    <w:p w:rsidR="00DF6BE6" w:rsidRPr="00DF6BE6" w:rsidRDefault="00DF6BE6" w:rsidP="00634CC6">
      <w:pPr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</w:pPr>
      <w:r w:rsidRPr="00DF6BE6">
        <w:rPr>
          <w:rFonts w:asciiTheme="majorBidi" w:eastAsia="Times New Roman" w:hAnsiTheme="majorBidi" w:cstheme="majorBidi"/>
          <w:b/>
          <w:bCs/>
          <w:sz w:val="24"/>
          <w:szCs w:val="24"/>
          <w:lang w:eastAsia="en-GB" w:bidi="ar-SA"/>
        </w:rPr>
        <w:t xml:space="preserve">Conclusion: </w:t>
      </w:r>
    </w:p>
    <w:p w:rsidR="00DF6BE6" w:rsidRPr="00634CC6" w:rsidRDefault="00DF6BE6" w:rsidP="00332704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4CC6">
        <w:rPr>
          <w:rFonts w:asciiTheme="majorBidi" w:hAnsiTheme="majorBidi" w:cstheme="majorBidi"/>
          <w:sz w:val="24"/>
          <w:szCs w:val="24"/>
        </w:rPr>
        <w:lastRenderedPageBreak/>
        <w:t>NISV have been demonstrated extensively and for the first time to have the potential to be used as a delivery system for siRNA. These results have shown that NISV can be used to overcome the barriers, such as low stability and poor cellular uptake, in siRNA-based therapeutics.</w:t>
      </w:r>
    </w:p>
    <w:p w:rsidR="00E32512" w:rsidRDefault="00081D22" w:rsidP="00081D22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1D22">
        <w:rPr>
          <w:rFonts w:asciiTheme="majorBidi" w:hAnsiTheme="majorBidi" w:cstheme="majorBidi"/>
          <w:b/>
          <w:bCs/>
          <w:sz w:val="24"/>
          <w:szCs w:val="24"/>
        </w:rPr>
        <w:t>Learning Objectives:</w:t>
      </w:r>
    </w:p>
    <w:p w:rsidR="00081D22" w:rsidRDefault="00081D22" w:rsidP="00081D2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81D22">
        <w:rPr>
          <w:rFonts w:asciiTheme="majorBidi" w:hAnsiTheme="majorBidi" w:cstheme="majorBidi"/>
          <w:sz w:val="24"/>
          <w:szCs w:val="24"/>
        </w:rPr>
        <w:t>Demonstrate the formulation of NISV by microfluidic mixing</w:t>
      </w:r>
    </w:p>
    <w:p w:rsidR="00081D22" w:rsidRDefault="00081D22" w:rsidP="00081D2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Evaluate the ability of NISV to encapsulate and deliver siRNA into target cells</w:t>
      </w:r>
    </w:p>
    <w:p w:rsidR="00081D22" w:rsidRPr="00081D22" w:rsidRDefault="00081D22" w:rsidP="00081D2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Evaluate the effectiveness of NISV in delivering siLUC </w:t>
      </w:r>
      <w:r w:rsidRPr="00081D22">
        <w:rPr>
          <w:rFonts w:asciiTheme="majorBidi" w:hAnsiTheme="majorBidi" w:cstheme="majorBidi"/>
          <w:i/>
          <w:iCs/>
          <w:sz w:val="24"/>
          <w:szCs w:val="24"/>
        </w:rPr>
        <w:t>in vivo</w:t>
      </w:r>
    </w:p>
    <w:p w:rsidR="00081D22" w:rsidRPr="00081D22" w:rsidRDefault="00081D22" w:rsidP="00081D22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2512" w:rsidRPr="00E32512" w:rsidRDefault="00E32512" w:rsidP="00E32512">
      <w:pPr>
        <w:pStyle w:val="EndNoteBibliography"/>
        <w:spacing w:after="0"/>
        <w:ind w:left="720" w:hanging="720"/>
      </w:pPr>
      <w:r>
        <w:rPr>
          <w:rFonts w:asciiTheme="majorBidi" w:hAnsiTheme="majorBidi" w:cstheme="majorBidi"/>
          <w:sz w:val="24"/>
          <w:szCs w:val="24"/>
        </w:rPr>
        <w:fldChar w:fldCharType="begin"/>
      </w:r>
      <w:r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>
        <w:rPr>
          <w:rFonts w:asciiTheme="majorBidi" w:hAnsiTheme="majorBidi" w:cstheme="majorBidi"/>
          <w:sz w:val="24"/>
          <w:szCs w:val="24"/>
        </w:rPr>
        <w:fldChar w:fldCharType="separate"/>
      </w:r>
      <w:r w:rsidRPr="00E32512">
        <w:t>1.</w:t>
      </w:r>
      <w:r w:rsidRPr="00E32512">
        <w:tab/>
        <w:t xml:space="preserve">Obeid, M.A., et al., </w:t>
      </w:r>
      <w:r w:rsidRPr="00E32512">
        <w:rPr>
          <w:i/>
        </w:rPr>
        <w:t>Formulation of non-ionic surfactant vesicles (NISV) prepared by microfluidics for therapeutic delivery of siRNA into cancer cells.</w:t>
      </w:r>
      <w:r w:rsidRPr="00E32512">
        <w:t xml:space="preserve"> Molecular Pharmaceutics, 2017.</w:t>
      </w:r>
    </w:p>
    <w:p w:rsidR="00E32512" w:rsidRPr="00E32512" w:rsidRDefault="00E32512" w:rsidP="00E32512">
      <w:pPr>
        <w:pStyle w:val="EndNoteBibliography"/>
        <w:ind w:left="720" w:hanging="720"/>
      </w:pPr>
      <w:r w:rsidRPr="00E32512">
        <w:t>2.</w:t>
      </w:r>
      <w:r w:rsidRPr="00E32512">
        <w:tab/>
        <w:t xml:space="preserve">Obeid, M.A., et al., </w:t>
      </w:r>
      <w:r w:rsidRPr="00E32512">
        <w:rPr>
          <w:i/>
        </w:rPr>
        <w:t>Comparison of the physical characteristics of monodisperse non-ionic surfactant vesicles (NISV) prepared using different manufacturing methods.</w:t>
      </w:r>
      <w:r w:rsidRPr="00E32512">
        <w:t xml:space="preserve"> International journal of pharmaceutics, 2017. </w:t>
      </w:r>
      <w:r w:rsidRPr="00E32512">
        <w:rPr>
          <w:b/>
        </w:rPr>
        <w:t>521</w:t>
      </w:r>
      <w:r w:rsidRPr="00E32512">
        <w:t>(1): p. 54-60.</w:t>
      </w:r>
    </w:p>
    <w:p w:rsidR="00DF6BE6" w:rsidRPr="00634CC6" w:rsidRDefault="00E32512" w:rsidP="00E3251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fldChar w:fldCharType="end"/>
      </w:r>
    </w:p>
    <w:sectPr w:rsidR="00DF6BE6" w:rsidRPr="00634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99s00tn2aeaeetadqvxeamp2wddweevwrp&quot;&gt;My EndNote Library&lt;record-ids&gt;&lt;item&gt;369&lt;/item&gt;&lt;item&gt;445&lt;/item&gt;&lt;/record-ids&gt;&lt;/item&gt;&lt;/Libraries&gt;"/>
  </w:docVars>
  <w:rsids>
    <w:rsidRoot w:val="00D713BE"/>
    <w:rsid w:val="000152C3"/>
    <w:rsid w:val="000269BA"/>
    <w:rsid w:val="00081D22"/>
    <w:rsid w:val="00203688"/>
    <w:rsid w:val="002E3BB4"/>
    <w:rsid w:val="002F4B8F"/>
    <w:rsid w:val="002F7BD8"/>
    <w:rsid w:val="00332704"/>
    <w:rsid w:val="003E650C"/>
    <w:rsid w:val="003E7539"/>
    <w:rsid w:val="00411EE8"/>
    <w:rsid w:val="0043384F"/>
    <w:rsid w:val="00460491"/>
    <w:rsid w:val="0052769A"/>
    <w:rsid w:val="00612D6E"/>
    <w:rsid w:val="00614B6B"/>
    <w:rsid w:val="00634CC6"/>
    <w:rsid w:val="00721CF0"/>
    <w:rsid w:val="007F362C"/>
    <w:rsid w:val="008D14A9"/>
    <w:rsid w:val="00987EAC"/>
    <w:rsid w:val="009D6AFC"/>
    <w:rsid w:val="00B608B3"/>
    <w:rsid w:val="00C60BE7"/>
    <w:rsid w:val="00CC5FFF"/>
    <w:rsid w:val="00CD6DA9"/>
    <w:rsid w:val="00D36EC0"/>
    <w:rsid w:val="00D50FFA"/>
    <w:rsid w:val="00D713BE"/>
    <w:rsid w:val="00DF6BE6"/>
    <w:rsid w:val="00E32512"/>
    <w:rsid w:val="00E80059"/>
    <w:rsid w:val="00E951E7"/>
    <w:rsid w:val="00F330D3"/>
    <w:rsid w:val="00F8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B3945-1378-46D3-AB78-E8644A92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JO"/>
    </w:rPr>
  </w:style>
  <w:style w:type="paragraph" w:styleId="Heading1">
    <w:name w:val="heading 1"/>
    <w:basedOn w:val="Normal"/>
    <w:next w:val="Normal"/>
    <w:link w:val="Heading1Char"/>
    <w:qFormat/>
    <w:rsid w:val="00D713BE"/>
    <w:pPr>
      <w:keepNext/>
      <w:keepLines/>
      <w:spacing w:before="240" w:after="0"/>
      <w:outlineLvl w:val="0"/>
    </w:pPr>
    <w:rPr>
      <w:rFonts w:asciiTheme="majorBidi" w:eastAsiaTheme="majorEastAsia" w:hAnsiTheme="majorBid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13BE"/>
    <w:rPr>
      <w:rFonts w:asciiTheme="majorBidi" w:eastAsiaTheme="majorEastAsia" w:hAnsiTheme="majorBidi" w:cstheme="majorBidi"/>
      <w:b/>
      <w:sz w:val="32"/>
      <w:szCs w:val="32"/>
      <w:lang w:bidi="ar-JO"/>
    </w:rPr>
  </w:style>
  <w:style w:type="paragraph" w:customStyle="1" w:styleId="EndNoteBibliographyTitle">
    <w:name w:val="EndNote Bibliography Title"/>
    <w:basedOn w:val="Normal"/>
    <w:link w:val="EndNoteBibliographyTitleChar"/>
    <w:rsid w:val="00E3251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32512"/>
    <w:rPr>
      <w:rFonts w:ascii="Calibri" w:hAnsi="Calibri"/>
      <w:noProof/>
      <w:lang w:val="en-US" w:bidi="ar-JO"/>
    </w:rPr>
  </w:style>
  <w:style w:type="paragraph" w:customStyle="1" w:styleId="EndNoteBibliography">
    <w:name w:val="EndNote Bibliography"/>
    <w:basedOn w:val="Normal"/>
    <w:link w:val="EndNoteBibliographyChar"/>
    <w:rsid w:val="00E32512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32512"/>
    <w:rPr>
      <w:rFonts w:ascii="Calibri" w:hAnsi="Calibri"/>
      <w:noProof/>
      <w:lang w:val="en-US"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1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Mohmad Ali Radi Obid</dc:creator>
  <cp:keywords/>
  <dc:description/>
  <cp:lastModifiedBy>Mohmad Ali Radi Obid</cp:lastModifiedBy>
  <cp:revision>2</cp:revision>
  <dcterms:created xsi:type="dcterms:W3CDTF">2018-06-05T13:56:00Z</dcterms:created>
  <dcterms:modified xsi:type="dcterms:W3CDTF">2018-06-05T13:56:00Z</dcterms:modified>
</cp:coreProperties>
</file>