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498C" w:rsidRPr="00B0498C" w:rsidRDefault="00B0498C" w:rsidP="00B0498C">
      <w:pPr>
        <w:spacing w:line="276" w:lineRule="auto"/>
        <w:jc w:val="center"/>
        <w:rPr>
          <w:rFonts w:ascii="Times New Roman"/>
          <w:sz w:val="24"/>
          <w:szCs w:val="24"/>
        </w:rPr>
      </w:pPr>
      <w:r w:rsidRPr="00B0498C">
        <w:rPr>
          <w:rFonts w:ascii="Times New Roman"/>
          <w:sz w:val="24"/>
          <w:szCs w:val="24"/>
        </w:rPr>
        <w:t>E</w:t>
      </w:r>
      <w:r w:rsidRPr="00B0498C">
        <w:rPr>
          <w:rFonts w:ascii="Times New Roman"/>
          <w:sz w:val="24"/>
          <w:szCs w:val="24"/>
        </w:rPr>
        <w:t xml:space="preserve">ncapsulation efficiency and aqueous release </w:t>
      </w:r>
      <w:proofErr w:type="spellStart"/>
      <w:r w:rsidRPr="00B0498C">
        <w:rPr>
          <w:rFonts w:ascii="Times New Roman"/>
          <w:sz w:val="24"/>
          <w:szCs w:val="24"/>
        </w:rPr>
        <w:t>behavior</w:t>
      </w:r>
      <w:proofErr w:type="spellEnd"/>
      <w:r w:rsidRPr="00B0498C">
        <w:rPr>
          <w:rFonts w:ascii="Times New Roman"/>
          <w:sz w:val="24"/>
          <w:szCs w:val="24"/>
        </w:rPr>
        <w:t xml:space="preserve"> of organic nanomaterials verses hybrid nanomaterials.</w:t>
      </w:r>
    </w:p>
    <w:p w:rsidR="00B0498C" w:rsidRPr="00B0498C" w:rsidRDefault="00B0498C" w:rsidP="00B0498C">
      <w:pPr>
        <w:pStyle w:val="BBAuthorName"/>
        <w:jc w:val="center"/>
      </w:pPr>
      <w:r w:rsidRPr="00B0498C">
        <w:t>R. Mahajan</w:t>
      </w:r>
    </w:p>
    <w:p w:rsidR="00B0498C" w:rsidRDefault="00B0498C" w:rsidP="00B0498C">
      <w:pPr>
        <w:pStyle w:val="BCAuthorAddress"/>
        <w:jc w:val="center"/>
        <w:rPr>
          <w:rFonts w:ascii="Times New Roman" w:hAnsi="Times New Roman"/>
          <w:sz w:val="24"/>
          <w:szCs w:val="24"/>
        </w:rPr>
      </w:pPr>
      <w:r w:rsidRPr="00BF6919">
        <w:rPr>
          <w:rFonts w:ascii="Times New Roman" w:hAnsi="Times New Roman"/>
          <w:sz w:val="24"/>
          <w:szCs w:val="24"/>
        </w:rPr>
        <w:t xml:space="preserve">Institute of Nanoscience &amp; Technology, </w:t>
      </w:r>
    </w:p>
    <w:p w:rsidR="00B0498C" w:rsidRPr="00BF6919" w:rsidRDefault="00B0498C" w:rsidP="00B0498C">
      <w:pPr>
        <w:pStyle w:val="BCAuthorAddress"/>
        <w:jc w:val="center"/>
        <w:rPr>
          <w:rFonts w:ascii="Times New Roman" w:hAnsi="Times New Roman"/>
          <w:sz w:val="24"/>
          <w:szCs w:val="24"/>
        </w:rPr>
      </w:pPr>
      <w:r w:rsidRPr="00BF6919">
        <w:rPr>
          <w:rFonts w:ascii="Times New Roman" w:hAnsi="Times New Roman"/>
          <w:sz w:val="24"/>
          <w:szCs w:val="24"/>
        </w:rPr>
        <w:t>Mohali,</w:t>
      </w:r>
      <w:r>
        <w:rPr>
          <w:rFonts w:ascii="Times New Roman" w:hAnsi="Times New Roman"/>
          <w:sz w:val="24"/>
          <w:szCs w:val="24"/>
        </w:rPr>
        <w:t xml:space="preserve"> Punjab, </w:t>
      </w:r>
      <w:r w:rsidRPr="00BF6919">
        <w:rPr>
          <w:rFonts w:ascii="Times New Roman" w:hAnsi="Times New Roman"/>
          <w:sz w:val="24"/>
          <w:szCs w:val="24"/>
        </w:rPr>
        <w:t>160062, India</w:t>
      </w:r>
    </w:p>
    <w:p w:rsidR="00B0498C" w:rsidRDefault="00B0498C" w:rsidP="00B0498C">
      <w:pPr>
        <w:spacing w:line="276" w:lineRule="auto"/>
        <w:rPr>
          <w:rFonts w:ascii="Times New Roman"/>
        </w:rPr>
      </w:pPr>
    </w:p>
    <w:p w:rsidR="00B0498C" w:rsidRPr="00B0498C" w:rsidRDefault="00B0498C" w:rsidP="00B0498C">
      <w:pPr>
        <w:spacing w:line="276" w:lineRule="auto"/>
        <w:rPr>
          <w:rFonts w:ascii="Times New Roman"/>
        </w:rPr>
      </w:pPr>
    </w:p>
    <w:p w:rsidR="00B0498C" w:rsidRPr="00B0498C" w:rsidRDefault="00B0498C" w:rsidP="00B0498C">
      <w:pPr>
        <w:pStyle w:val="CommentTextChar"/>
        <w:spacing w:line="276" w:lineRule="auto"/>
        <w:jc w:val="both"/>
        <w:rPr>
          <w:rFonts w:ascii="Times New Roman"/>
          <w:sz w:val="24"/>
          <w:szCs w:val="24"/>
        </w:rPr>
      </w:pPr>
      <w:r w:rsidRPr="00B0498C">
        <w:rPr>
          <w:rFonts w:ascii="Times New Roman"/>
          <w:sz w:val="24"/>
          <w:szCs w:val="24"/>
        </w:rPr>
        <w:t xml:space="preserve">In recent years, the application of nanomaterials and technologies in the field of pesticides has made considerable strides. This technology aims to reduce the indiscriminate use of conventional pesticides and ensure their safe application. Controlled pesticide release systems are used on farmlands by selecting a suitable and timely administration route to precisely regulate the target </w:t>
      </w:r>
      <w:proofErr w:type="spellStart"/>
      <w:r w:rsidRPr="00B0498C">
        <w:rPr>
          <w:rFonts w:ascii="Times New Roman"/>
          <w:sz w:val="24"/>
          <w:szCs w:val="24"/>
        </w:rPr>
        <w:t>pest.The</w:t>
      </w:r>
      <w:proofErr w:type="spellEnd"/>
      <w:r w:rsidRPr="00B0498C">
        <w:rPr>
          <w:rFonts w:ascii="Times New Roman"/>
          <w:sz w:val="24"/>
          <w:szCs w:val="24"/>
        </w:rPr>
        <w:t xml:space="preserve"> principal advantage of controlled-release formulations is that they allow much less pesticide to be used for the same period of activity . Moreover, when the normal half-life of a potent pesticide is short, the release formulations are especially advantageous in comparison to conventional methods of application.  This approach aims to minimize crops demand for pesticides to gradually achieve more effective, safe pesticide usage via intelligent design that slows and controls pesticide release.</w:t>
      </w:r>
    </w:p>
    <w:p w:rsidR="00B0498C" w:rsidRPr="00B0498C" w:rsidRDefault="00B0498C" w:rsidP="00B0498C">
      <w:pPr>
        <w:pStyle w:val="CommentTextChar"/>
        <w:spacing w:line="276" w:lineRule="auto"/>
        <w:jc w:val="both"/>
        <w:rPr>
          <w:rFonts w:ascii="Times New Roman" w:eastAsia="TimesNewRoman"/>
          <w:sz w:val="24"/>
          <w:szCs w:val="24"/>
          <w:vertAlign w:val="superscript"/>
        </w:rPr>
      </w:pPr>
      <w:r w:rsidRPr="00B0498C">
        <w:rPr>
          <w:rFonts w:ascii="Times New Roman"/>
          <w:sz w:val="24"/>
          <w:szCs w:val="24"/>
        </w:rPr>
        <w:t>Different substances such as metals, metal oxides, SiO</w:t>
      </w:r>
      <w:r w:rsidRPr="00B0498C">
        <w:rPr>
          <w:rFonts w:ascii="Times New Roman"/>
          <w:sz w:val="24"/>
          <w:szCs w:val="24"/>
          <w:vertAlign w:val="subscript"/>
        </w:rPr>
        <w:t xml:space="preserve">2, </w:t>
      </w:r>
      <w:proofErr w:type="spellStart"/>
      <w:r w:rsidRPr="00B0498C">
        <w:rPr>
          <w:rFonts w:ascii="Times New Roman"/>
          <w:sz w:val="24"/>
          <w:szCs w:val="24"/>
        </w:rPr>
        <w:t>graphenes</w:t>
      </w:r>
      <w:proofErr w:type="spellEnd"/>
      <w:r w:rsidRPr="00B0498C">
        <w:rPr>
          <w:rFonts w:ascii="Times New Roman"/>
          <w:sz w:val="24"/>
          <w:szCs w:val="24"/>
        </w:rPr>
        <w:t xml:space="preserve"> and its oxides, polymers, polysaccharides etc have been used for the controlled release of </w:t>
      </w:r>
      <w:proofErr w:type="spellStart"/>
      <w:r w:rsidRPr="00B0498C">
        <w:rPr>
          <w:rFonts w:ascii="Times New Roman"/>
          <w:sz w:val="24"/>
          <w:szCs w:val="24"/>
        </w:rPr>
        <w:t>pesticides.The</w:t>
      </w:r>
      <w:proofErr w:type="spellEnd"/>
      <w:r w:rsidRPr="00B0498C">
        <w:rPr>
          <w:rFonts w:ascii="Times New Roman"/>
          <w:sz w:val="24"/>
          <w:szCs w:val="24"/>
        </w:rPr>
        <w:t xml:space="preserve"> iron oxide nanoparticles are superparamagnetic nanoparticles, which can be manipulated by an external magnetic field to lead it to the target tissue were subsequently coated with organic materials to produce a core-shell structure. Magnetic iron oxide nanoparticles were prepared using a co-precipitation method under atmospheric conditions at a Fe</w:t>
      </w:r>
      <w:r w:rsidRPr="00B0498C">
        <w:rPr>
          <w:rFonts w:ascii="Times New Roman"/>
          <w:sz w:val="24"/>
          <w:szCs w:val="24"/>
          <w:vertAlign w:val="superscript"/>
        </w:rPr>
        <w:t>2+</w:t>
      </w:r>
      <w:r w:rsidRPr="00B0498C">
        <w:rPr>
          <w:rFonts w:ascii="Times New Roman"/>
          <w:sz w:val="24"/>
          <w:szCs w:val="24"/>
        </w:rPr>
        <w:t> to Fe</w:t>
      </w:r>
      <w:r w:rsidRPr="00B0498C">
        <w:rPr>
          <w:rFonts w:ascii="Times New Roman"/>
          <w:sz w:val="24"/>
          <w:szCs w:val="24"/>
          <w:vertAlign w:val="superscript"/>
        </w:rPr>
        <w:t>3+</w:t>
      </w:r>
      <w:r w:rsidRPr="00B0498C">
        <w:rPr>
          <w:rFonts w:ascii="Times New Roman"/>
          <w:sz w:val="24"/>
          <w:szCs w:val="24"/>
        </w:rPr>
        <w:t xml:space="preserve"> molar ratio of 1:2.The magnetic nanocarrier enhanced the thermal stability of the </w:t>
      </w:r>
      <w:r w:rsidR="007B7790">
        <w:rPr>
          <w:rFonts w:ascii="Times New Roman"/>
          <w:sz w:val="24"/>
          <w:szCs w:val="24"/>
        </w:rPr>
        <w:t>pesticides</w:t>
      </w:r>
      <w:r w:rsidRPr="00B0498C">
        <w:rPr>
          <w:rFonts w:ascii="Times New Roman"/>
          <w:sz w:val="24"/>
          <w:szCs w:val="24"/>
        </w:rPr>
        <w:t xml:space="preserve">. Moreover, organic coating on magnetic nanoparticle imparts stability to magnetic nanoparticle &amp; </w:t>
      </w:r>
      <w:r w:rsidRPr="00B0498C">
        <w:rPr>
          <w:rFonts w:ascii="Times New Roman" w:eastAsia="TimesNewRoman"/>
          <w:sz w:val="24"/>
          <w:szCs w:val="24"/>
        </w:rPr>
        <w:t>reduces the toxicity of bare MNPs.</w:t>
      </w:r>
      <w:bookmarkStart w:id="0" w:name="_GoBack"/>
      <w:bookmarkEnd w:id="0"/>
    </w:p>
    <w:sectPr w:rsidR="00B0498C" w:rsidRPr="00B0498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84388" w:rsidRDefault="00C84388" w:rsidP="007B7790">
      <w:r>
        <w:separator/>
      </w:r>
    </w:p>
  </w:endnote>
  <w:endnote w:type="continuationSeparator" w:id="0">
    <w:p w:rsidR="00C84388" w:rsidRDefault="00C84388" w:rsidP="007B77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Mincho Light">
    <w:altName w:val="Yu Mincho Light"/>
    <w:charset w:val="80"/>
    <w:family w:val="roman"/>
    <w:pitch w:val="variable"/>
    <w:sig w:usb0="800002E7" w:usb1="2AC7FCFF" w:usb2="00000012" w:usb3="00000000" w:csb0="0002009F" w:csb1="00000000"/>
  </w:font>
  <w:font w:name="Arno Pro">
    <w:altName w:val="Cambria"/>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TimesNewRoman">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84388" w:rsidRDefault="00C84388" w:rsidP="007B7790">
      <w:r>
        <w:separator/>
      </w:r>
    </w:p>
  </w:footnote>
  <w:footnote w:type="continuationSeparator" w:id="0">
    <w:p w:rsidR="00C84388" w:rsidRDefault="00C84388" w:rsidP="007B779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98C"/>
    <w:rsid w:val="007B7790"/>
    <w:rsid w:val="00B0498C"/>
    <w:rsid w:val="00C8438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88910A"/>
  <w15:chartTrackingRefBased/>
  <w15:docId w15:val="{AC6CA41E-59F4-46CC-A414-E7B1A60D2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0498C"/>
    <w:pPr>
      <w:spacing w:after="0" w:line="240" w:lineRule="auto"/>
    </w:pPr>
    <w:rPr>
      <w:rFonts w:ascii="Yu Mincho Light" w:eastAsia="Yu Mincho Light" w:hAnsi="Times New Roman" w:cs="Times New Roman"/>
      <w:sz w:val="20"/>
      <w:szCs w:val="20"/>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BAuthorName">
    <w:name w:val="BB_Author_Name"/>
    <w:basedOn w:val="Normal"/>
    <w:next w:val="Normal"/>
    <w:autoRedefine/>
    <w:rsid w:val="00B0498C"/>
    <w:pPr>
      <w:spacing w:after="180"/>
    </w:pPr>
    <w:rPr>
      <w:rFonts w:ascii="Times New Roman" w:eastAsia="Times New Roman"/>
      <w:kern w:val="26"/>
      <w:sz w:val="24"/>
      <w:szCs w:val="24"/>
      <w:lang w:val="en-US" w:eastAsia="en-US"/>
    </w:rPr>
  </w:style>
  <w:style w:type="paragraph" w:customStyle="1" w:styleId="BCAuthorAddress">
    <w:name w:val="BC_Author_Address"/>
    <w:basedOn w:val="Normal"/>
    <w:next w:val="Normal"/>
    <w:autoRedefine/>
    <w:rsid w:val="00B0498C"/>
    <w:pPr>
      <w:spacing w:after="60"/>
    </w:pPr>
    <w:rPr>
      <w:rFonts w:ascii="Arno Pro" w:eastAsia="Times New Roman" w:hAnsi="Arno Pro"/>
      <w:kern w:val="22"/>
      <w:lang w:val="en-US" w:eastAsia="en-US"/>
    </w:rPr>
  </w:style>
  <w:style w:type="character" w:styleId="CommentReference">
    <w:name w:val="annotation reference"/>
    <w:uiPriority w:val="99"/>
    <w:semiHidden/>
    <w:unhideWhenUsed/>
    <w:rsid w:val="00B0498C"/>
    <w:rPr>
      <w:sz w:val="16"/>
      <w:szCs w:val="16"/>
    </w:rPr>
  </w:style>
  <w:style w:type="paragraph" w:styleId="CommentText">
    <w:name w:val="annotation text"/>
    <w:basedOn w:val="Normal"/>
    <w:link w:val="CommentTextChar"/>
    <w:uiPriority w:val="99"/>
    <w:semiHidden/>
    <w:unhideWhenUsed/>
    <w:rsid w:val="00B0498C"/>
    <w:pPr>
      <w:spacing w:after="200"/>
    </w:pPr>
    <w:rPr>
      <w:rFonts w:ascii="Calibri" w:eastAsia="Calibri" w:hAnsi="Calibri"/>
      <w:lang w:eastAsia="en-US"/>
    </w:rPr>
  </w:style>
  <w:style w:type="character" w:customStyle="1" w:styleId="CommentTextChar">
    <w:name w:val="Comment Text Char"/>
    <w:basedOn w:val="DefaultParagraphFont"/>
    <w:link w:val="CommentText"/>
    <w:uiPriority w:val="99"/>
    <w:semiHidden/>
    <w:rsid w:val="00B0498C"/>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B0498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498C"/>
    <w:rPr>
      <w:rFonts w:ascii="Segoe UI" w:eastAsia="Yu Mincho Light" w:hAnsi="Segoe UI" w:cs="Segoe UI"/>
      <w:sz w:val="18"/>
      <w:szCs w:val="18"/>
      <w:lang w:eastAsia="en-IN"/>
    </w:rPr>
  </w:style>
  <w:style w:type="paragraph" w:styleId="Header">
    <w:name w:val="header"/>
    <w:basedOn w:val="Normal"/>
    <w:link w:val="HeaderChar"/>
    <w:uiPriority w:val="99"/>
    <w:unhideWhenUsed/>
    <w:rsid w:val="007B7790"/>
    <w:pPr>
      <w:tabs>
        <w:tab w:val="center" w:pos="4513"/>
        <w:tab w:val="right" w:pos="9026"/>
      </w:tabs>
    </w:pPr>
  </w:style>
  <w:style w:type="character" w:customStyle="1" w:styleId="HeaderChar">
    <w:name w:val="Header Char"/>
    <w:basedOn w:val="DefaultParagraphFont"/>
    <w:link w:val="Header"/>
    <w:uiPriority w:val="99"/>
    <w:rsid w:val="007B7790"/>
    <w:rPr>
      <w:rFonts w:ascii="Yu Mincho Light" w:eastAsia="Yu Mincho Light" w:hAnsi="Times New Roman" w:cs="Times New Roman"/>
      <w:sz w:val="20"/>
      <w:szCs w:val="20"/>
      <w:lang w:eastAsia="en-IN"/>
    </w:rPr>
  </w:style>
  <w:style w:type="paragraph" w:styleId="Footer">
    <w:name w:val="footer"/>
    <w:basedOn w:val="Normal"/>
    <w:link w:val="FooterChar"/>
    <w:uiPriority w:val="99"/>
    <w:unhideWhenUsed/>
    <w:rsid w:val="007B7790"/>
    <w:pPr>
      <w:tabs>
        <w:tab w:val="center" w:pos="4513"/>
        <w:tab w:val="right" w:pos="9026"/>
      </w:tabs>
    </w:pPr>
  </w:style>
  <w:style w:type="character" w:customStyle="1" w:styleId="FooterChar">
    <w:name w:val="Footer Char"/>
    <w:basedOn w:val="DefaultParagraphFont"/>
    <w:link w:val="Footer"/>
    <w:uiPriority w:val="99"/>
    <w:rsid w:val="007B7790"/>
    <w:rPr>
      <w:rFonts w:ascii="Yu Mincho Light" w:eastAsia="Yu Mincho Light" w:hAnsi="Times New Roman" w:cs="Times New Roman"/>
      <w:sz w:val="20"/>
      <w:szCs w:val="20"/>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275</Words>
  <Characters>1569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Ritu Mahajan</dc:creator>
  <cp:keywords/>
  <dc:description/>
  <cp:lastModifiedBy>Ritu Mahajan</cp:lastModifiedBy>
  <cp:revision>2</cp:revision>
  <dcterms:created xsi:type="dcterms:W3CDTF">2019-03-06T05:30:00Z</dcterms:created>
  <dcterms:modified xsi:type="dcterms:W3CDTF">2019-03-06T05:41:00Z</dcterms:modified>
</cp:coreProperties>
</file>