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2E10" w:rsidRDefault="00782E10">
      <w:pPr>
        <w:pStyle w:val="BodyText"/>
        <w:rPr>
          <w:b/>
          <w:sz w:val="14"/>
        </w:rPr>
      </w:pPr>
      <w:bookmarkStart w:id="0" w:name="_GoBack"/>
      <w:bookmarkEnd w:id="0"/>
    </w:p>
    <w:p w:rsidR="00782E10" w:rsidRDefault="00C81311" w:rsidP="001908A8">
      <w:pPr>
        <w:spacing w:before="92"/>
        <w:ind w:left="594" w:right="151"/>
        <w:rPr>
          <w:b/>
          <w:color w:val="585858"/>
        </w:rPr>
      </w:pPr>
      <w:r>
        <w:rPr>
          <w:b/>
          <w:color w:val="585858"/>
        </w:rPr>
        <w:t xml:space="preserve">Title: </w:t>
      </w:r>
      <w:r w:rsidR="001908A8">
        <w:rPr>
          <w:b/>
          <w:color w:val="585858"/>
        </w:rPr>
        <w:t xml:space="preserve">An experimental study on the effect of channel height on </w:t>
      </w:r>
      <w:proofErr w:type="spellStart"/>
      <w:r w:rsidR="001908A8">
        <w:rPr>
          <w:b/>
          <w:color w:val="585858"/>
        </w:rPr>
        <w:t>dielectrophoresis</w:t>
      </w:r>
      <w:proofErr w:type="spellEnd"/>
      <w:r w:rsidR="001908A8">
        <w:rPr>
          <w:b/>
          <w:color w:val="585858"/>
        </w:rPr>
        <w:t xml:space="preserve"> manipulation of particles</w:t>
      </w:r>
    </w:p>
    <w:p w:rsidR="00782E10" w:rsidRDefault="00782E10">
      <w:pPr>
        <w:spacing w:before="92"/>
        <w:ind w:left="594" w:right="151"/>
        <w:rPr>
          <w:b/>
          <w:color w:val="585858"/>
        </w:rPr>
      </w:pPr>
    </w:p>
    <w:p w:rsidR="00782E10" w:rsidRDefault="003822E4" w:rsidP="003822E4">
      <w:pPr>
        <w:pStyle w:val="Heading3"/>
        <w:spacing w:line="214" w:lineRule="exact"/>
        <w:ind w:left="594" w:firstLine="0"/>
      </w:pPr>
      <w:r>
        <w:rPr>
          <w:color w:val="585858"/>
        </w:rPr>
        <w:t xml:space="preserve">Arash </w:t>
      </w:r>
      <w:proofErr w:type="spellStart"/>
      <w:r>
        <w:rPr>
          <w:color w:val="585858"/>
        </w:rPr>
        <w:t>Dalili</w:t>
      </w:r>
      <w:proofErr w:type="spellEnd"/>
      <w:r w:rsidR="00C81311">
        <w:rPr>
          <w:color w:val="585858"/>
        </w:rPr>
        <w:t>,</w:t>
      </w:r>
      <w:r>
        <w:rPr>
          <w:color w:val="585858"/>
        </w:rPr>
        <w:t xml:space="preserve"> Mina </w:t>
      </w:r>
      <w:proofErr w:type="spellStart"/>
      <w:r>
        <w:rPr>
          <w:color w:val="585858"/>
        </w:rPr>
        <w:t>Hoorfar</w:t>
      </w:r>
      <w:proofErr w:type="spellEnd"/>
    </w:p>
    <w:p w:rsidR="003822E4" w:rsidRPr="001908A8" w:rsidRDefault="003822E4" w:rsidP="001908A8">
      <w:pPr>
        <w:pStyle w:val="BodyText"/>
        <w:spacing w:line="231" w:lineRule="exact"/>
        <w:ind w:left="594"/>
        <w:rPr>
          <w:color w:val="585858"/>
        </w:rPr>
      </w:pPr>
      <w:r w:rsidRPr="001908A8">
        <w:rPr>
          <w:color w:val="585858"/>
        </w:rPr>
        <w:t>School of Engineering</w:t>
      </w:r>
      <w:r w:rsidR="001908A8">
        <w:rPr>
          <w:color w:val="585858"/>
        </w:rPr>
        <w:t xml:space="preserve">, </w:t>
      </w:r>
      <w:proofErr w:type="gramStart"/>
      <w:r w:rsidRPr="001908A8">
        <w:rPr>
          <w:color w:val="585858"/>
        </w:rPr>
        <w:t>The</w:t>
      </w:r>
      <w:proofErr w:type="gramEnd"/>
      <w:r w:rsidRPr="001908A8">
        <w:rPr>
          <w:color w:val="585858"/>
        </w:rPr>
        <w:t xml:space="preserve"> University of British Columbia</w:t>
      </w:r>
      <w:r w:rsidR="001908A8">
        <w:rPr>
          <w:color w:val="585858"/>
        </w:rPr>
        <w:t xml:space="preserve">, </w:t>
      </w:r>
      <w:r w:rsidRPr="001908A8">
        <w:rPr>
          <w:color w:val="585858"/>
        </w:rPr>
        <w:t>Kelowna, Canada</w:t>
      </w:r>
    </w:p>
    <w:p w:rsidR="00782E10" w:rsidRDefault="00782E10">
      <w:pPr>
        <w:sectPr w:rsidR="00782E10">
          <w:headerReference w:type="even" r:id="rId8"/>
          <w:headerReference w:type="default" r:id="rId9"/>
          <w:footerReference w:type="even" r:id="rId10"/>
          <w:footerReference w:type="default" r:id="rId11"/>
          <w:headerReference w:type="first" r:id="rId12"/>
          <w:footerReference w:type="first" r:id="rId13"/>
          <w:type w:val="continuous"/>
          <w:pgSz w:w="11910" w:h="16840"/>
          <w:pgMar w:top="600" w:right="180" w:bottom="280" w:left="140" w:header="720" w:footer="720" w:gutter="0"/>
          <w:cols w:space="720"/>
        </w:sectPr>
      </w:pPr>
    </w:p>
    <w:p w:rsidR="00782E10" w:rsidRDefault="00C81311" w:rsidP="001908A8">
      <w:pPr>
        <w:pStyle w:val="Heading3"/>
        <w:spacing w:before="114"/>
        <w:ind w:left="426" w:right="9" w:firstLine="0"/>
        <w:jc w:val="both"/>
        <w:rPr>
          <w:color w:val="585858"/>
        </w:rPr>
      </w:pPr>
      <w:r>
        <w:rPr>
          <w:color w:val="585858"/>
        </w:rPr>
        <w:t xml:space="preserve">Keywords: </w:t>
      </w:r>
      <w:proofErr w:type="spellStart"/>
      <w:r w:rsidR="001908A8">
        <w:rPr>
          <w:color w:val="585858"/>
        </w:rPr>
        <w:t>Dielectrophoresis</w:t>
      </w:r>
      <w:proofErr w:type="spellEnd"/>
      <w:r>
        <w:rPr>
          <w:color w:val="585858"/>
        </w:rPr>
        <w:t xml:space="preserve">, </w:t>
      </w:r>
      <w:r w:rsidR="001908A8">
        <w:rPr>
          <w:color w:val="585858"/>
        </w:rPr>
        <w:t>Microfluidics</w:t>
      </w:r>
      <w:r>
        <w:rPr>
          <w:color w:val="585858"/>
        </w:rPr>
        <w:t xml:space="preserve">, </w:t>
      </w:r>
      <w:r w:rsidR="001908A8">
        <w:rPr>
          <w:color w:val="585858"/>
        </w:rPr>
        <w:t>Particle manipulation</w:t>
      </w:r>
    </w:p>
    <w:p w:rsidR="00782E10" w:rsidRDefault="00782E10">
      <w:pPr>
        <w:pStyle w:val="Heading3"/>
        <w:spacing w:before="114"/>
        <w:ind w:left="426" w:right="9" w:firstLine="0"/>
        <w:jc w:val="both"/>
      </w:pPr>
    </w:p>
    <w:p w:rsidR="00782E10" w:rsidRDefault="00C81311" w:rsidP="001908A8">
      <w:pPr>
        <w:pStyle w:val="ListParagraph"/>
        <w:numPr>
          <w:ilvl w:val="0"/>
          <w:numId w:val="1"/>
        </w:numPr>
        <w:tabs>
          <w:tab w:val="left" w:pos="1866"/>
          <w:tab w:val="left" w:pos="1867"/>
        </w:tabs>
        <w:ind w:hanging="446"/>
        <w:jc w:val="left"/>
        <w:rPr>
          <w:b/>
          <w:sz w:val="19"/>
        </w:rPr>
      </w:pPr>
      <w:r>
        <w:rPr>
          <w:b/>
          <w:color w:val="585858"/>
          <w:sz w:val="19"/>
        </w:rPr>
        <w:t xml:space="preserve">Abstract Body </w:t>
      </w:r>
    </w:p>
    <w:p w:rsidR="003B3255" w:rsidRPr="004877FB" w:rsidRDefault="003B3255" w:rsidP="003822E4">
      <w:pPr>
        <w:pStyle w:val="BodyText"/>
        <w:spacing w:before="117"/>
        <w:ind w:left="426"/>
        <w:jc w:val="lowKashida"/>
        <w:rPr>
          <w:color w:val="585858"/>
        </w:rPr>
      </w:pPr>
      <w:r w:rsidRPr="004877FB">
        <w:rPr>
          <w:color w:val="585858"/>
        </w:rPr>
        <w:t xml:space="preserve">A critical parameter in DEP-based manipulation is the channel height. Previous studies have examined the effect of the height on the levitation distance </w:t>
      </w:r>
      <w:r w:rsidRPr="004877FB">
        <w:rPr>
          <w:color w:val="585858"/>
        </w:rPr>
        <w:fldChar w:fldCharType="begin"/>
      </w:r>
      <w:r w:rsidRPr="004877FB">
        <w:rPr>
          <w:color w:val="585858"/>
        </w:rPr>
        <w:instrText xml:space="preserve"> ADDIN EN.CITE &lt;EndNote&gt;&lt;Cite&gt;&lt;Author&gt;Cao&lt;/Author&gt;&lt;Year&gt;2008&lt;/Year&gt;&lt;RecNum&gt;472&lt;/RecNum&gt;&lt;DisplayText&gt;[1]&lt;/DisplayText&gt;&lt;record&gt;&lt;rec-number&gt;472&lt;/rec-number&gt;&lt;foreign-keys&gt;&lt;key app="EN" db-id="eaa0eptz7v0f00ets06vsx5ppwsxf22vsefv" timestamp="1556208517"&gt;472&lt;/key&gt;&lt;/foreign-keys&gt;&lt;ref-type name="Journal Article"&gt;17&lt;/ref-type&gt;&lt;contributors&gt;&lt;authors&gt;&lt;author&gt;Cao, Jun&lt;/author&gt;&lt;author&gt;Cheng, Ping&lt;/author&gt;&lt;author&gt;Hong, Fangjun&lt;/author&gt;&lt;/authors&gt;&lt;/contributors&gt;&lt;titles&gt;&lt;title&gt;A numerical analysis of forces imposed on particles in conventional dielectrophoresis in microchannels with interdigitated electrodes&lt;/title&gt;&lt;secondary-title&gt;Journal of Electrostatics&lt;/secondary-title&gt;&lt;/titles&gt;&lt;periodical&gt;&lt;full-title&gt;Journal of Electrostatics&lt;/full-title&gt;&lt;/periodical&gt;&lt;pages&gt;620-626&lt;/pages&gt;&lt;volume&gt;66&lt;/volume&gt;&lt;number&gt;11-12&lt;/number&gt;&lt;dates&gt;&lt;year&gt;2008&lt;/year&gt;&lt;/dates&gt;&lt;isbn&gt;0304-3886&lt;/isbn&gt;&lt;urls&gt;&lt;/urls&gt;&lt;/record&gt;&lt;/Cite&gt;&lt;/EndNote&gt;</w:instrText>
      </w:r>
      <w:r w:rsidRPr="004877FB">
        <w:rPr>
          <w:color w:val="585858"/>
        </w:rPr>
        <w:fldChar w:fldCharType="separate"/>
      </w:r>
      <w:r w:rsidRPr="004877FB">
        <w:rPr>
          <w:color w:val="585858"/>
        </w:rPr>
        <w:t>[1]</w:t>
      </w:r>
      <w:r w:rsidRPr="004877FB">
        <w:rPr>
          <w:color w:val="585858"/>
        </w:rPr>
        <w:fldChar w:fldCharType="end"/>
      </w:r>
      <w:r w:rsidRPr="004877FB">
        <w:rPr>
          <w:color w:val="585858"/>
        </w:rPr>
        <w:t xml:space="preserve"> and capture time </w:t>
      </w:r>
      <w:r w:rsidRPr="004877FB">
        <w:rPr>
          <w:color w:val="585858"/>
        </w:rPr>
        <w:fldChar w:fldCharType="begin"/>
      </w:r>
      <w:r w:rsidRPr="004877FB">
        <w:rPr>
          <w:color w:val="585858"/>
        </w:rPr>
        <w:instrText xml:space="preserve"> ADDIN EN.CITE &lt;EndNote&gt;&lt;Cite&gt;&lt;Author&gt;Sadeghian&lt;/Author&gt;&lt;Year&gt;2017&lt;/Year&gt;&lt;RecNum&gt;418&lt;/RecNum&gt;&lt;DisplayText&gt;[2]&lt;/DisplayText&gt;&lt;record&gt;&lt;rec-number&gt;418&lt;/rec-number&gt;&lt;foreign-keys&gt;&lt;key app="EN" db-id="eaa0eptz7v0f00ets06vsx5ppwsxf22vsefv" timestamp="1536545009"&gt;418&lt;/key&gt;&lt;/foreign-keys&gt;&lt;ref-type name="Journal Article"&gt;17&lt;/ref-type&gt;&lt;contributors&gt;&lt;authors&gt;&lt;author&gt;Sadeghian, Hesam&lt;/author&gt;&lt;author&gt;Hojjat, Yousef&lt;/author&gt;&lt;author&gt;Soleimani, Masoud&lt;/author&gt;&lt;/authors&gt;&lt;/contributors&gt;&lt;titles&gt;&lt;title&gt;Interdigitated electrode design and optimization for dielectrophoresis cell separation actuators&lt;/title&gt;&lt;secondary-title&gt;Journal of Electrostatics&lt;/secondary-title&gt;&lt;/titles&gt;&lt;periodical&gt;&lt;full-title&gt;Journal of Electrostatics&lt;/full-title&gt;&lt;/periodical&gt;&lt;pages&gt;41-49&lt;/pages&gt;&lt;volume&gt;86&lt;/volume&gt;&lt;dates&gt;&lt;year&gt;2017&lt;/year&gt;&lt;/dates&gt;&lt;isbn&gt;0304-3886&lt;/isbn&gt;&lt;urls&gt;&lt;/urls&gt;&lt;/record&gt;&lt;/Cite&gt;&lt;Cite&gt;&lt;Author&gt;Sadeghian&lt;/Author&gt;&lt;Year&gt;2017&lt;/Year&gt;&lt;RecNum&gt;473&lt;/RecNum&gt;&lt;record&gt;&lt;rec-number&gt;473&lt;/rec-number&gt;&lt;foreign-keys&gt;&lt;key app="EN" db-id="eaa0eptz7v0f00ets06vsx5ppwsxf22vsefv" timestamp="1556208593"&gt;473&lt;/key&gt;&lt;/foreign-keys&gt;&lt;ref-type name="Journal Article"&gt;17&lt;/ref-type&gt;&lt;contributors&gt;&lt;authors&gt;&lt;author&gt;Sadeghian, Hesam&lt;/author&gt;&lt;author&gt;Hojjat, Yousef&lt;/author&gt;&lt;author&gt;Soleimani, Masoud&lt;/author&gt;&lt;/authors&gt;&lt;/contributors&gt;&lt;titles&gt;&lt;title&gt;Interdigitated electrode design and optimization for dielectrophoresis cell separation actuators&lt;/title&gt;&lt;secondary-title&gt;Journal of Electrostatics&lt;/secondary-title&gt;&lt;/titles&gt;&lt;periodical&gt;&lt;full-title&gt;Journal of Electrostatics&lt;/full-title&gt;&lt;/periodical&gt;&lt;pages&gt;41-49&lt;/pages&gt;&lt;volume&gt;86&lt;/volume&gt;&lt;dates&gt;&lt;year&gt;2017&lt;/year&gt;&lt;/dates&gt;&lt;isbn&gt;0304-3886&lt;/isbn&gt;&lt;urls&gt;&lt;/urls&gt;&lt;/record&gt;&lt;/Cite&gt;&lt;/EndNote&gt;</w:instrText>
      </w:r>
      <w:r w:rsidRPr="004877FB">
        <w:rPr>
          <w:color w:val="585858"/>
        </w:rPr>
        <w:fldChar w:fldCharType="separate"/>
      </w:r>
      <w:r w:rsidRPr="004877FB">
        <w:rPr>
          <w:color w:val="585858"/>
        </w:rPr>
        <w:t>[2]</w:t>
      </w:r>
      <w:r w:rsidRPr="004877FB">
        <w:rPr>
          <w:color w:val="585858"/>
        </w:rPr>
        <w:fldChar w:fldCharType="end"/>
      </w:r>
      <w:r w:rsidRPr="004877FB">
        <w:rPr>
          <w:color w:val="585858"/>
        </w:rPr>
        <w:t xml:space="preserve"> of particles. However, the reported effects depend on specific conditions and methods implemented. This paper experimentally investigates the effect of the microfluidics channel height on </w:t>
      </w:r>
      <w:proofErr w:type="spellStart"/>
      <w:r w:rsidRPr="004877FB">
        <w:rPr>
          <w:color w:val="585858"/>
        </w:rPr>
        <w:t>nDEP</w:t>
      </w:r>
      <w:proofErr w:type="spellEnd"/>
      <w:r w:rsidRPr="004877FB">
        <w:rPr>
          <w:color w:val="585858"/>
        </w:rPr>
        <w:t xml:space="preserve"> continuous manipulation of particles</w:t>
      </w:r>
      <w:r>
        <w:rPr>
          <w:color w:val="585858"/>
        </w:rPr>
        <w:t xml:space="preserve"> </w:t>
      </w:r>
      <w:r w:rsidRPr="004877FB">
        <w:rPr>
          <w:color w:val="585858"/>
        </w:rPr>
        <w:t xml:space="preserve">using co-planar electrodes, which are chosen based on our previous studies </w:t>
      </w:r>
      <w:r w:rsidRPr="004877FB">
        <w:rPr>
          <w:color w:val="585858"/>
        </w:rPr>
        <w:fldChar w:fldCharType="begin"/>
      </w:r>
      <w:r w:rsidRPr="004877FB">
        <w:rPr>
          <w:color w:val="585858"/>
        </w:rPr>
        <w:instrText xml:space="preserve"> ADDIN EN.CITE &lt;EndNote&gt;&lt;Cite&gt;&lt;Author&gt;Dalili&lt;/Author&gt;&lt;Year&gt;2018&lt;/Year&gt;&lt;RecNum&gt;474&lt;/RecNum&gt;&lt;DisplayText&gt;[3]&lt;/DisplayText&gt;&lt;record&gt;&lt;rec-number&gt;474&lt;/rec-number&gt;&lt;foreign-keys&gt;&lt;key app="EN" db-id="eaa0eptz7v0f00ets06vsx5ppwsxf22vsefv" timestamp="1556208646"&gt;474&lt;/key&gt;&lt;/foreign-keys&gt;&lt;ref-type name="Journal Article"&gt;17&lt;/ref-type&gt;&lt;contributors&gt;&lt;authors&gt;&lt;author&gt;Dalili, Arash&lt;/author&gt;&lt;author&gt;Taatizadeh, Erfan&lt;/author&gt;&lt;author&gt;Hoorfar, Mina&lt;/author&gt;&lt;/authors&gt;&lt;/contributors&gt;&lt;titles&gt;&lt;title&gt;Characterization of the electrodes of DEP-based micro-separator&lt;/title&gt;&lt;/titles&gt;&lt;dates&gt;&lt;year&gt;2018&lt;/year&gt;&lt;/dates&gt;&lt;isbn&gt;1773550233&lt;/isbn&gt;&lt;urls&gt;&lt;/urls&gt;&lt;/record&gt;&lt;/Cite&gt;&lt;/EndNote&gt;</w:instrText>
      </w:r>
      <w:r w:rsidRPr="004877FB">
        <w:rPr>
          <w:color w:val="585858"/>
        </w:rPr>
        <w:fldChar w:fldCharType="separate"/>
      </w:r>
      <w:r w:rsidRPr="004877FB">
        <w:rPr>
          <w:color w:val="585858"/>
        </w:rPr>
        <w:t>[3]</w:t>
      </w:r>
      <w:r w:rsidRPr="004877FB">
        <w:rPr>
          <w:color w:val="585858"/>
        </w:rPr>
        <w:fldChar w:fldCharType="end"/>
      </w:r>
      <w:r w:rsidRPr="004877FB">
        <w:rPr>
          <w:color w:val="585858"/>
        </w:rPr>
        <w:t>.</w:t>
      </w:r>
    </w:p>
    <w:p w:rsidR="003B3255" w:rsidRPr="00E23EF1" w:rsidRDefault="003B3255" w:rsidP="003822E4">
      <w:pPr>
        <w:pStyle w:val="BodyText"/>
        <w:spacing w:before="117"/>
        <w:ind w:left="426"/>
        <w:jc w:val="lowKashida"/>
        <w:rPr>
          <w:color w:val="585858"/>
        </w:rPr>
      </w:pPr>
      <w:r w:rsidRPr="004877FB">
        <w:rPr>
          <w:color w:val="585858"/>
        </w:rPr>
        <w:t>Particles enter the micro-device, Figure 1</w:t>
      </w:r>
      <w:r>
        <w:rPr>
          <w:color w:val="585858"/>
        </w:rPr>
        <w:t>,</w:t>
      </w:r>
      <w:r w:rsidRPr="004877FB">
        <w:rPr>
          <w:color w:val="585858"/>
        </w:rPr>
        <w:t xml:space="preserve"> while a sheath flow pushes them towards </w:t>
      </w:r>
      <w:r>
        <w:rPr>
          <w:color w:val="585858"/>
        </w:rPr>
        <w:t>one</w:t>
      </w:r>
      <w:r w:rsidRPr="004877FB">
        <w:rPr>
          <w:color w:val="585858"/>
        </w:rPr>
        <w:t xml:space="preserve"> side of the channel. As the particles reach the electrodes, the DEP force pushes them laterally towards </w:t>
      </w:r>
      <w:r>
        <w:rPr>
          <w:color w:val="585858"/>
        </w:rPr>
        <w:t>a</w:t>
      </w:r>
      <w:r w:rsidRPr="004877FB">
        <w:rPr>
          <w:color w:val="585858"/>
        </w:rPr>
        <w:t xml:space="preserve"> target outlet, Figure </w:t>
      </w:r>
      <w:r w:rsidR="003822E4">
        <w:rPr>
          <w:color w:val="585858"/>
        </w:rPr>
        <w:t>2</w:t>
      </w:r>
      <w:r w:rsidRPr="004877FB">
        <w:rPr>
          <w:color w:val="585858"/>
        </w:rPr>
        <w:t xml:space="preserve">. The particles also experience drag force, which acts against the DEP force. </w:t>
      </w:r>
      <w:r w:rsidRPr="005D227E">
        <w:rPr>
          <w:color w:val="585858"/>
        </w:rPr>
        <w:t>As the channel height decreases, the particles are expected to experience greater DEP and drag forces</w:t>
      </w:r>
      <w:r>
        <w:rPr>
          <w:color w:val="585858"/>
        </w:rPr>
        <w:t xml:space="preserve">. </w:t>
      </w:r>
      <w:r w:rsidRPr="005D227E">
        <w:rPr>
          <w:color w:val="585858"/>
        </w:rPr>
        <w:t xml:space="preserve">The </w:t>
      </w:r>
      <w:r w:rsidR="003822E4" w:rsidRPr="005D227E">
        <w:rPr>
          <w:color w:val="585858"/>
        </w:rPr>
        <w:t>experimental</w:t>
      </w:r>
      <w:r w:rsidR="003822E4">
        <w:rPr>
          <w:color w:val="585858"/>
        </w:rPr>
        <w:t>, using the setups shown in Figure 3,</w:t>
      </w:r>
      <w:r w:rsidRPr="005D227E">
        <w:rPr>
          <w:color w:val="585858"/>
        </w:rPr>
        <w:t xml:space="preserve"> goal was to determine the maximum throughput as a function of the applied voltage resulting in a particle collection efficiency of more than 99%. Each of the tests was repeated three times to make sure that the experiments were reproducible. Figure </w:t>
      </w:r>
      <w:r w:rsidR="003822E4">
        <w:rPr>
          <w:color w:val="585858"/>
        </w:rPr>
        <w:t>4</w:t>
      </w:r>
      <w:r w:rsidRPr="005D227E">
        <w:rPr>
          <w:color w:val="585858"/>
        </w:rPr>
        <w:t xml:space="preserve"> shows the effect of the applied voltage on the maximum effective throughput for four different particle sizes and 25 </w:t>
      </w:r>
      <w:proofErr w:type="spellStart"/>
      <w:r w:rsidRPr="005D227E">
        <w:rPr>
          <w:color w:val="585858"/>
        </w:rPr>
        <w:t>μm</w:t>
      </w:r>
      <w:proofErr w:type="spellEnd"/>
      <w:r w:rsidRPr="005D227E">
        <w:rPr>
          <w:color w:val="585858"/>
        </w:rPr>
        <w:t xml:space="preserve"> micro-channel height. The results illustrated that </w:t>
      </w:r>
      <w:r>
        <w:rPr>
          <w:color w:val="585858"/>
        </w:rPr>
        <w:t>for larger particles, the DEP force is stronger; hence, the effective flow rate is higher.</w:t>
      </w:r>
      <w:r w:rsidRPr="005D227E">
        <w:rPr>
          <w:color w:val="585858"/>
        </w:rPr>
        <w:t xml:space="preserve"> The same trend was observed for larger heights. Figure </w:t>
      </w:r>
      <w:r w:rsidR="003822E4">
        <w:rPr>
          <w:color w:val="585858"/>
        </w:rPr>
        <w:t>5</w:t>
      </w:r>
      <w:r w:rsidRPr="005D227E">
        <w:rPr>
          <w:color w:val="585858"/>
        </w:rPr>
        <w:t xml:space="preserve"> compares the maximum flow rates obtained from the largest voltage for different particle sizes as a function of the channel height. As the height increased the throughput decreased. Taken together these results can lead to the selection of an optimal channel height to achieve the desired throughput based on the applied voltage and the particle sizes in applications that require efficient manipulation of particles/cells.</w:t>
      </w:r>
      <w:r w:rsidRPr="00E23EF1">
        <w:rPr>
          <w:color w:val="585858"/>
        </w:rPr>
        <w:t xml:space="preserve"> </w:t>
      </w:r>
    </w:p>
    <w:p w:rsidR="003B3255" w:rsidRDefault="003B3255" w:rsidP="003B3255">
      <w:pPr>
        <w:pStyle w:val="BodyText"/>
        <w:spacing w:before="117"/>
        <w:ind w:left="426"/>
        <w:jc w:val="both"/>
      </w:pPr>
    </w:p>
    <w:p w:rsidR="00782E10" w:rsidRDefault="00782E10">
      <w:pPr>
        <w:pStyle w:val="BodyText"/>
        <w:spacing w:before="2"/>
      </w:pPr>
    </w:p>
    <w:p w:rsidR="00782E10" w:rsidRPr="003B3255" w:rsidRDefault="00C81311">
      <w:pPr>
        <w:pStyle w:val="Heading3"/>
        <w:numPr>
          <w:ilvl w:val="0"/>
          <w:numId w:val="1"/>
        </w:numPr>
        <w:tabs>
          <w:tab w:val="left" w:pos="1914"/>
          <w:tab w:val="left" w:pos="1915"/>
        </w:tabs>
        <w:ind w:left="1914" w:hanging="494"/>
        <w:jc w:val="left"/>
      </w:pPr>
      <w:r>
        <w:rPr>
          <w:color w:val="585858"/>
        </w:rPr>
        <w:t>Image:</w:t>
      </w:r>
    </w:p>
    <w:p w:rsidR="00782E10" w:rsidRDefault="00782E10" w:rsidP="003B3255">
      <w:pPr>
        <w:pStyle w:val="BodyText"/>
      </w:pPr>
    </w:p>
    <w:p w:rsidR="003B3255" w:rsidRDefault="003B3255">
      <w:pPr>
        <w:pStyle w:val="BodyText"/>
        <w:ind w:left="1238"/>
        <w:rPr>
          <w:sz w:val="20"/>
        </w:rPr>
      </w:pPr>
    </w:p>
    <w:p w:rsidR="003B3255" w:rsidRPr="003B3255" w:rsidRDefault="003B3255" w:rsidP="003B3255">
      <w:pPr>
        <w:pStyle w:val="BodyText"/>
        <w:jc w:val="center"/>
        <w:rPr>
          <w:sz w:val="18"/>
          <w:szCs w:val="18"/>
        </w:rPr>
      </w:pPr>
      <w:r w:rsidRPr="003B3255">
        <w:rPr>
          <w:noProof/>
          <w:sz w:val="18"/>
          <w:szCs w:val="18"/>
          <w:lang w:val="en-CA" w:eastAsia="en-CA"/>
        </w:rPr>
        <w:drawing>
          <wp:inline distT="0" distB="0" distL="0" distR="0">
            <wp:extent cx="2971800" cy="863600"/>
            <wp:effectExtent l="0" t="0" r="0" b="0"/>
            <wp:docPr id="4" name="Picture 4" descr="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icture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971800" cy="863600"/>
                    </a:xfrm>
                    <a:prstGeom prst="rect">
                      <a:avLst/>
                    </a:prstGeom>
                    <a:noFill/>
                    <a:ln>
                      <a:noFill/>
                    </a:ln>
                  </pic:spPr>
                </pic:pic>
              </a:graphicData>
            </a:graphic>
          </wp:inline>
        </w:drawing>
      </w:r>
    </w:p>
    <w:p w:rsidR="003B3255" w:rsidRPr="003B3255" w:rsidRDefault="003B3255" w:rsidP="003B3255">
      <w:pPr>
        <w:adjustRightInd w:val="0"/>
        <w:jc w:val="center"/>
        <w:rPr>
          <w:i/>
          <w:sz w:val="18"/>
          <w:szCs w:val="18"/>
          <w:lang w:val="en-GB"/>
        </w:rPr>
      </w:pPr>
      <w:bookmarkStart w:id="1" w:name="_Ref529176792"/>
      <w:bookmarkStart w:id="2" w:name="_Toc532515087"/>
      <w:r w:rsidRPr="003B3255">
        <w:rPr>
          <w:i/>
          <w:sz w:val="18"/>
          <w:szCs w:val="18"/>
          <w:lang w:val="en-GB"/>
        </w:rPr>
        <w:t xml:space="preserve">Fig. </w:t>
      </w:r>
      <w:bookmarkEnd w:id="1"/>
      <w:r w:rsidRPr="003B3255">
        <w:rPr>
          <w:i/>
          <w:sz w:val="18"/>
          <w:szCs w:val="18"/>
          <w:lang w:val="en-GB"/>
        </w:rPr>
        <w:t>1: (a) A sample of the chips fabricated by photolithography. (b) The DEP-based micro-separator under a microscope.</w:t>
      </w:r>
      <w:bookmarkEnd w:id="2"/>
    </w:p>
    <w:p w:rsidR="003B3255" w:rsidRDefault="003B3255" w:rsidP="003B3255">
      <w:pPr>
        <w:tabs>
          <w:tab w:val="num" w:pos="360"/>
        </w:tabs>
        <w:ind w:left="360" w:hanging="360"/>
        <w:jc w:val="center"/>
        <w:rPr>
          <w:lang w:val="en-GB"/>
        </w:rPr>
      </w:pPr>
      <w:r>
        <w:rPr>
          <w:noProof/>
          <w:lang w:val="en-CA" w:eastAsia="en-CA"/>
        </w:rPr>
        <w:drawing>
          <wp:inline distT="0" distB="0" distL="0" distR="0">
            <wp:extent cx="2406650" cy="1422400"/>
            <wp:effectExtent l="0" t="0" r="0" b="6350"/>
            <wp:docPr id="8" name="Picture 8" descr="Pictur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icture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406650" cy="1422400"/>
                    </a:xfrm>
                    <a:prstGeom prst="rect">
                      <a:avLst/>
                    </a:prstGeom>
                    <a:noFill/>
                    <a:ln>
                      <a:noFill/>
                    </a:ln>
                  </pic:spPr>
                </pic:pic>
              </a:graphicData>
            </a:graphic>
          </wp:inline>
        </w:drawing>
      </w:r>
    </w:p>
    <w:p w:rsidR="003B3255" w:rsidRPr="003B3255" w:rsidRDefault="003B3255" w:rsidP="003822E4">
      <w:pPr>
        <w:adjustRightInd w:val="0"/>
        <w:jc w:val="center"/>
        <w:rPr>
          <w:i/>
          <w:sz w:val="18"/>
          <w:szCs w:val="18"/>
          <w:lang w:val="en-GB"/>
        </w:rPr>
      </w:pPr>
      <w:r w:rsidRPr="003B3255">
        <w:rPr>
          <w:i/>
          <w:sz w:val="18"/>
          <w:szCs w:val="18"/>
          <w:lang w:val="en-GB"/>
        </w:rPr>
        <w:t xml:space="preserve">Figure </w:t>
      </w:r>
      <w:r w:rsidR="003822E4">
        <w:rPr>
          <w:i/>
          <w:sz w:val="18"/>
          <w:szCs w:val="18"/>
          <w:lang w:val="en-GB"/>
        </w:rPr>
        <w:t>2</w:t>
      </w:r>
      <w:r w:rsidRPr="003B3255">
        <w:rPr>
          <w:i/>
          <w:sz w:val="18"/>
          <w:szCs w:val="18"/>
          <w:lang w:val="en-GB"/>
        </w:rPr>
        <w:t>: The polystyrene particles under the effect of the DEP force are guided effectively towards the target outlet.</w:t>
      </w:r>
    </w:p>
    <w:p w:rsidR="003B3255" w:rsidRPr="00322D4F" w:rsidRDefault="003B3255" w:rsidP="003B3255">
      <w:pPr>
        <w:pStyle w:val="BodyText"/>
        <w:jc w:val="center"/>
      </w:pPr>
      <w:r w:rsidRPr="003733AA">
        <w:rPr>
          <w:noProof/>
          <w:lang w:val="en-CA" w:eastAsia="en-CA"/>
        </w:rPr>
        <w:drawing>
          <wp:inline distT="0" distB="0" distL="0" distR="0">
            <wp:extent cx="2857500" cy="19875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57500" cy="1987550"/>
                    </a:xfrm>
                    <a:prstGeom prst="rect">
                      <a:avLst/>
                    </a:prstGeom>
                    <a:noFill/>
                    <a:ln>
                      <a:noFill/>
                    </a:ln>
                  </pic:spPr>
                </pic:pic>
              </a:graphicData>
            </a:graphic>
          </wp:inline>
        </w:drawing>
      </w:r>
    </w:p>
    <w:p w:rsidR="003B3255" w:rsidRPr="003B3255" w:rsidRDefault="003B3255" w:rsidP="003822E4">
      <w:pPr>
        <w:pStyle w:val="Caption"/>
        <w:jc w:val="center"/>
        <w:rPr>
          <w:b w:val="0"/>
          <w:bCs/>
          <w:i/>
          <w:sz w:val="18"/>
          <w:szCs w:val="18"/>
          <w:lang w:val="en-GB"/>
        </w:rPr>
      </w:pPr>
      <w:r w:rsidRPr="003B3255">
        <w:rPr>
          <w:b w:val="0"/>
          <w:bCs/>
          <w:i/>
          <w:sz w:val="18"/>
          <w:szCs w:val="18"/>
          <w:lang w:val="en-GB"/>
        </w:rPr>
        <w:t xml:space="preserve">Fig. </w:t>
      </w:r>
      <w:r w:rsidR="003822E4">
        <w:rPr>
          <w:b w:val="0"/>
          <w:bCs/>
          <w:i/>
          <w:sz w:val="18"/>
          <w:szCs w:val="18"/>
          <w:lang w:val="en-GB"/>
        </w:rPr>
        <w:t>3</w:t>
      </w:r>
      <w:r w:rsidRPr="003B3255">
        <w:rPr>
          <w:b w:val="0"/>
          <w:bCs/>
          <w:i/>
          <w:sz w:val="18"/>
          <w:szCs w:val="18"/>
          <w:lang w:val="en-GB"/>
        </w:rPr>
        <w:t>: (a) The experimental setup including (b) an APO microscope, (c) a KD Scientific syringe pump for infusing the flow, (d) a close-up view of the chip. The outlets are collected for further analysis.</w:t>
      </w:r>
    </w:p>
    <w:p w:rsidR="003B3255" w:rsidRPr="003B3255" w:rsidRDefault="003B3255" w:rsidP="003B3255">
      <w:pPr>
        <w:pStyle w:val="BodyText"/>
        <w:jc w:val="center"/>
        <w:rPr>
          <w:sz w:val="18"/>
          <w:szCs w:val="18"/>
        </w:rPr>
      </w:pPr>
      <w:r w:rsidRPr="003B3255">
        <w:rPr>
          <w:b/>
          <w:bCs/>
          <w:noProof/>
          <w:sz w:val="18"/>
          <w:szCs w:val="18"/>
          <w:lang w:val="en-CA" w:eastAsia="en-CA"/>
        </w:rPr>
        <w:drawing>
          <wp:inline distT="0" distB="0" distL="0" distR="0">
            <wp:extent cx="3048000" cy="2317750"/>
            <wp:effectExtent l="0" t="0" r="0" b="6350"/>
            <wp:docPr id="10" name="Picture 1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048000" cy="2317750"/>
                    </a:xfrm>
                    <a:prstGeom prst="rect">
                      <a:avLst/>
                    </a:prstGeom>
                    <a:noFill/>
                    <a:ln>
                      <a:noFill/>
                    </a:ln>
                  </pic:spPr>
                </pic:pic>
              </a:graphicData>
            </a:graphic>
          </wp:inline>
        </w:drawing>
      </w:r>
    </w:p>
    <w:p w:rsidR="003B3255" w:rsidRPr="003B3255" w:rsidRDefault="003822E4" w:rsidP="003B3255">
      <w:pPr>
        <w:adjustRightInd w:val="0"/>
        <w:jc w:val="center"/>
        <w:rPr>
          <w:i/>
          <w:sz w:val="18"/>
          <w:szCs w:val="18"/>
          <w:lang w:val="en-GB"/>
        </w:rPr>
      </w:pPr>
      <w:r>
        <w:rPr>
          <w:i/>
          <w:sz w:val="18"/>
          <w:szCs w:val="18"/>
          <w:lang w:val="en-GB"/>
        </w:rPr>
        <w:t>Fig. 4</w:t>
      </w:r>
      <w:r w:rsidR="003B3255" w:rsidRPr="003B3255">
        <w:rPr>
          <w:i/>
          <w:sz w:val="18"/>
          <w:szCs w:val="18"/>
          <w:lang w:val="en-GB"/>
        </w:rPr>
        <w:t>: The effect of the applied voltage on the particle throughput for a 25-μm channel height</w:t>
      </w:r>
    </w:p>
    <w:p w:rsidR="003B3255" w:rsidRPr="003B3255" w:rsidRDefault="003B3255" w:rsidP="003B3255">
      <w:pPr>
        <w:pStyle w:val="BodyText"/>
        <w:keepNext/>
        <w:jc w:val="center"/>
        <w:rPr>
          <w:sz w:val="18"/>
          <w:szCs w:val="18"/>
        </w:rPr>
      </w:pPr>
      <w:r w:rsidRPr="003B3255">
        <w:rPr>
          <w:noProof/>
          <w:sz w:val="18"/>
          <w:szCs w:val="18"/>
          <w:lang w:val="en-CA" w:eastAsia="en-CA"/>
        </w:rPr>
        <w:lastRenderedPageBreak/>
        <w:drawing>
          <wp:inline distT="0" distB="0" distL="0" distR="0">
            <wp:extent cx="3117850" cy="2317750"/>
            <wp:effectExtent l="0" t="0" r="6350" b="6350"/>
            <wp:docPr id="11" name="Picture 11"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117850" cy="2317750"/>
                    </a:xfrm>
                    <a:prstGeom prst="rect">
                      <a:avLst/>
                    </a:prstGeom>
                    <a:noFill/>
                    <a:ln>
                      <a:noFill/>
                    </a:ln>
                  </pic:spPr>
                </pic:pic>
              </a:graphicData>
            </a:graphic>
          </wp:inline>
        </w:drawing>
      </w:r>
    </w:p>
    <w:p w:rsidR="003B3255" w:rsidRDefault="003822E4" w:rsidP="003B3255">
      <w:pPr>
        <w:adjustRightInd w:val="0"/>
        <w:jc w:val="center"/>
        <w:rPr>
          <w:i/>
          <w:sz w:val="18"/>
          <w:szCs w:val="18"/>
          <w:lang w:val="en-GB"/>
        </w:rPr>
      </w:pPr>
      <w:r>
        <w:rPr>
          <w:i/>
          <w:sz w:val="18"/>
          <w:szCs w:val="18"/>
          <w:lang w:val="en-GB"/>
        </w:rPr>
        <w:t>Fig. 5</w:t>
      </w:r>
      <w:r w:rsidR="003B3255" w:rsidRPr="003B3255">
        <w:rPr>
          <w:i/>
          <w:sz w:val="18"/>
          <w:szCs w:val="18"/>
          <w:lang w:val="en-GB"/>
        </w:rPr>
        <w:t xml:space="preserve">: The effect of the channel height on the particle throughput for an applied voltage of 10 </w:t>
      </w:r>
      <w:proofErr w:type="spellStart"/>
      <w:r w:rsidR="003B3255" w:rsidRPr="003B3255">
        <w:rPr>
          <w:i/>
          <w:sz w:val="18"/>
          <w:szCs w:val="18"/>
          <w:lang w:val="en-GB"/>
        </w:rPr>
        <w:t>V_pp</w:t>
      </w:r>
      <w:proofErr w:type="spellEnd"/>
    </w:p>
    <w:p w:rsidR="003B3255" w:rsidRDefault="003B3255" w:rsidP="003B3255">
      <w:pPr>
        <w:adjustRightInd w:val="0"/>
        <w:jc w:val="center"/>
        <w:rPr>
          <w:i/>
          <w:sz w:val="18"/>
          <w:szCs w:val="18"/>
          <w:lang w:val="en-GB"/>
        </w:rPr>
      </w:pPr>
    </w:p>
    <w:p w:rsidR="00782E10" w:rsidRDefault="003B3255" w:rsidP="003B3255">
      <w:pPr>
        <w:pStyle w:val="Heading3"/>
        <w:numPr>
          <w:ilvl w:val="0"/>
          <w:numId w:val="1"/>
        </w:numPr>
        <w:tabs>
          <w:tab w:val="left" w:pos="1758"/>
        </w:tabs>
        <w:ind w:left="1757"/>
        <w:jc w:val="left"/>
        <w:rPr>
          <w:b w:val="0"/>
        </w:rPr>
      </w:pPr>
      <w:r>
        <w:rPr>
          <w:color w:val="585858"/>
        </w:rPr>
        <w:t>R</w:t>
      </w:r>
      <w:r w:rsidR="00C81311">
        <w:rPr>
          <w:color w:val="585858"/>
        </w:rPr>
        <w:t>eference:</w:t>
      </w:r>
    </w:p>
    <w:p w:rsidR="00782E10" w:rsidRDefault="00782E10">
      <w:pPr>
        <w:pStyle w:val="BodyText"/>
        <w:spacing w:before="9"/>
        <w:rPr>
          <w:b/>
          <w:sz w:val="18"/>
        </w:rPr>
      </w:pPr>
    </w:p>
    <w:p w:rsidR="003B3255" w:rsidRPr="003B3255" w:rsidRDefault="003B3255" w:rsidP="003B3255">
      <w:pPr>
        <w:pStyle w:val="BodyText"/>
        <w:numPr>
          <w:ilvl w:val="0"/>
          <w:numId w:val="3"/>
        </w:numPr>
        <w:tabs>
          <w:tab w:val="left" w:pos="1037"/>
        </w:tabs>
        <w:ind w:right="696"/>
        <w:rPr>
          <w:color w:val="585858"/>
        </w:rPr>
      </w:pPr>
      <w:r w:rsidRPr="003B3255">
        <w:rPr>
          <w:color w:val="585858"/>
        </w:rPr>
        <w:t>Cao, J., P. Cheng, and F. Hong, "A numerical analysis of forces imposed on particles in conventional dielectrophoresis in microchannels with interdigitated electrodes," Journal of Electrostatics, 2008. 66(11-12): p. 620-626.</w:t>
      </w:r>
    </w:p>
    <w:p w:rsidR="00782E10" w:rsidRDefault="00782E10">
      <w:pPr>
        <w:pStyle w:val="BodyText"/>
        <w:spacing w:before="11"/>
        <w:rPr>
          <w:sz w:val="18"/>
        </w:rPr>
      </w:pPr>
    </w:p>
    <w:p w:rsidR="003B3255" w:rsidRDefault="003B3255" w:rsidP="003B3255">
      <w:pPr>
        <w:pStyle w:val="ListParagraph"/>
        <w:numPr>
          <w:ilvl w:val="0"/>
          <w:numId w:val="2"/>
        </w:numPr>
        <w:tabs>
          <w:tab w:val="left" w:pos="1037"/>
          <w:tab w:val="left" w:pos="1038"/>
        </w:tabs>
        <w:ind w:right="553"/>
      </w:pPr>
      <w:proofErr w:type="spellStart"/>
      <w:r w:rsidRPr="003B3255">
        <w:rPr>
          <w:color w:val="585858"/>
          <w:sz w:val="19"/>
          <w:szCs w:val="19"/>
        </w:rPr>
        <w:t>Sadeghian</w:t>
      </w:r>
      <w:proofErr w:type="spellEnd"/>
      <w:r w:rsidRPr="003B3255">
        <w:rPr>
          <w:color w:val="585858"/>
          <w:sz w:val="19"/>
          <w:szCs w:val="19"/>
        </w:rPr>
        <w:t>, H., Y. Hojjat, and M. Soleimani, "Interdigitated electrode design and optimization for dielectrophoresis cell separation actuators," Journal of Electrostatics, 2017. 86: p. 41-49.</w:t>
      </w:r>
    </w:p>
    <w:p w:rsidR="00782E10" w:rsidRDefault="00782E10">
      <w:pPr>
        <w:pStyle w:val="BodyText"/>
      </w:pPr>
    </w:p>
    <w:p w:rsidR="00782E10" w:rsidRDefault="00C81311">
      <w:pPr>
        <w:pStyle w:val="ListParagraph"/>
        <w:numPr>
          <w:ilvl w:val="0"/>
          <w:numId w:val="2"/>
        </w:numPr>
        <w:tabs>
          <w:tab w:val="left" w:pos="1037"/>
          <w:tab w:val="left" w:pos="1038"/>
        </w:tabs>
        <w:ind w:right="612"/>
        <w:rPr>
          <w:sz w:val="19"/>
        </w:rPr>
      </w:pPr>
      <w:r>
        <w:rPr>
          <w:color w:val="585858"/>
          <w:sz w:val="19"/>
        </w:rPr>
        <w:t>Senguttuvel, P., M. Raveendran, C. Vijayalakshmi, K. Thiyagarajan, J.R.K. Bapu and B.C. Viraktamath,</w:t>
      </w:r>
      <w:r>
        <w:rPr>
          <w:color w:val="585858"/>
          <w:spacing w:val="-24"/>
          <w:sz w:val="19"/>
        </w:rPr>
        <w:t xml:space="preserve"> </w:t>
      </w:r>
      <w:r>
        <w:rPr>
          <w:color w:val="585858"/>
          <w:sz w:val="19"/>
        </w:rPr>
        <w:t>2010. Molecular mechanism of salt tolerance for genetic diversity analysed in association with Na+/K+ ratio through SSR markers in rice (Oryza sativa L.). Int. J. Agric. Res., 5:</w:t>
      </w:r>
      <w:r>
        <w:rPr>
          <w:color w:val="585858"/>
          <w:spacing w:val="-10"/>
          <w:sz w:val="19"/>
        </w:rPr>
        <w:t xml:space="preserve"> </w:t>
      </w:r>
      <w:r>
        <w:rPr>
          <w:color w:val="585858"/>
          <w:sz w:val="19"/>
        </w:rPr>
        <w:t>708–719</w:t>
      </w:r>
    </w:p>
    <w:p w:rsidR="00782E10" w:rsidRDefault="00782E10">
      <w:pPr>
        <w:pStyle w:val="BodyText"/>
        <w:spacing w:before="2"/>
      </w:pPr>
    </w:p>
    <w:p w:rsidR="00782E10" w:rsidRDefault="00C81311">
      <w:pPr>
        <w:pStyle w:val="Heading3"/>
        <w:numPr>
          <w:ilvl w:val="0"/>
          <w:numId w:val="1"/>
        </w:numPr>
        <w:tabs>
          <w:tab w:val="left" w:pos="1758"/>
        </w:tabs>
        <w:ind w:left="1757"/>
        <w:jc w:val="left"/>
      </w:pPr>
      <w:r>
        <w:rPr>
          <w:color w:val="585858"/>
        </w:rPr>
        <w:t>Biography:</w:t>
      </w:r>
    </w:p>
    <w:p w:rsidR="00782E10" w:rsidRDefault="003822E4" w:rsidP="003822E4">
      <w:pPr>
        <w:pStyle w:val="BodyText"/>
        <w:spacing w:before="119"/>
        <w:ind w:left="316" w:right="381"/>
        <w:jc w:val="both"/>
      </w:pPr>
      <w:r>
        <w:t>M</w:t>
      </w:r>
      <w:r w:rsidRPr="003822E4">
        <w:rPr>
          <w:color w:val="585858"/>
        </w:rPr>
        <w:t xml:space="preserve">ina </w:t>
      </w:r>
      <w:proofErr w:type="spellStart"/>
      <w:r w:rsidRPr="003822E4">
        <w:rPr>
          <w:color w:val="585858"/>
        </w:rPr>
        <w:t>Hoorfar</w:t>
      </w:r>
      <w:proofErr w:type="spellEnd"/>
      <w:r w:rsidRPr="003822E4">
        <w:rPr>
          <w:color w:val="585858"/>
        </w:rPr>
        <w:t xml:space="preserve"> is a Professor and Director of the School of Engineering, The University of British Columbia (UBC), </w:t>
      </w:r>
      <w:proofErr w:type="gramStart"/>
      <w:r w:rsidRPr="003822E4">
        <w:rPr>
          <w:color w:val="585858"/>
        </w:rPr>
        <w:t>Canada</w:t>
      </w:r>
      <w:proofErr w:type="gramEnd"/>
      <w:r w:rsidRPr="003822E4">
        <w:rPr>
          <w:color w:val="585858"/>
        </w:rPr>
        <w:t xml:space="preserve">. She received her PhD and </w:t>
      </w:r>
      <w:proofErr w:type="spellStart"/>
      <w:r w:rsidRPr="003822E4">
        <w:rPr>
          <w:color w:val="585858"/>
        </w:rPr>
        <w:t>MASc</w:t>
      </w:r>
      <w:proofErr w:type="spellEnd"/>
      <w:r w:rsidRPr="003822E4">
        <w:rPr>
          <w:color w:val="585858"/>
        </w:rPr>
        <w:t xml:space="preserve"> degrees in Mechanical Engineering from the University of Toronto</w:t>
      </w:r>
      <w:r>
        <w:rPr>
          <w:color w:val="585858"/>
        </w:rPr>
        <w:t xml:space="preserve"> in 2005 and 2001, respectively</w:t>
      </w:r>
      <w:r w:rsidRPr="003822E4">
        <w:rPr>
          <w:color w:val="585858"/>
        </w:rPr>
        <w:t>. Her current research focuses on the development of portable devices for biomedical applications and the design and fabrication of biosensors for environmental and agricultural applications. Since joining UBC in 2006, she has trained around 120 highly qualified personnel and disseminated her research in 250 publications (journals, proceedings, book chapters, and patents).</w:t>
      </w:r>
    </w:p>
    <w:p w:rsidR="00782E10" w:rsidRDefault="00782E10">
      <w:pPr>
        <w:pStyle w:val="BodyText"/>
        <w:spacing w:before="1"/>
      </w:pPr>
    </w:p>
    <w:p w:rsidR="00782E10" w:rsidRPr="003822E4" w:rsidRDefault="00C81311">
      <w:pPr>
        <w:pStyle w:val="Heading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rsidR="003822E4" w:rsidRDefault="003822E4" w:rsidP="003822E4">
      <w:pPr>
        <w:pStyle w:val="Heading3"/>
        <w:tabs>
          <w:tab w:val="left" w:pos="1757"/>
          <w:tab w:val="left" w:pos="1758"/>
        </w:tabs>
        <w:spacing w:before="1"/>
        <w:ind w:firstLine="0"/>
        <w:jc w:val="right"/>
      </w:pPr>
    </w:p>
    <w:p w:rsidR="00782E10" w:rsidRDefault="003822E4" w:rsidP="003822E4">
      <w:pPr>
        <w:pStyle w:val="BodyText"/>
        <w:spacing w:before="7"/>
        <w:ind w:left="316"/>
        <w:rPr>
          <w:b/>
          <w:sz w:val="15"/>
        </w:rPr>
      </w:pPr>
      <w:r>
        <w:rPr>
          <w:b/>
          <w:noProof/>
          <w:sz w:val="15"/>
          <w:lang w:val="en-CA" w:eastAsia="en-CA"/>
        </w:rPr>
        <w:drawing>
          <wp:inline distT="0" distB="0" distL="0" distR="0">
            <wp:extent cx="1587500" cy="198357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8an01061g-p3_hi-res.gif"/>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593336" cy="1990864"/>
                    </a:xfrm>
                    <a:prstGeom prst="rect">
                      <a:avLst/>
                    </a:prstGeom>
                  </pic:spPr>
                </pic:pic>
              </a:graphicData>
            </a:graphic>
          </wp:inline>
        </w:drawing>
      </w:r>
    </w:p>
    <w:p w:rsidR="001908A8" w:rsidRDefault="001908A8" w:rsidP="003822E4">
      <w:pPr>
        <w:pStyle w:val="BodyText"/>
        <w:spacing w:before="172"/>
        <w:ind w:left="316" w:right="4143"/>
        <w:rPr>
          <w:color w:val="585858"/>
        </w:rPr>
      </w:pPr>
    </w:p>
    <w:p w:rsidR="003822E4" w:rsidRDefault="00C81311" w:rsidP="003822E4">
      <w:pPr>
        <w:pStyle w:val="BodyText"/>
        <w:spacing w:before="172"/>
        <w:ind w:left="316" w:right="4143"/>
        <w:rPr>
          <w:color w:val="585858"/>
        </w:rPr>
      </w:pPr>
      <w:r>
        <w:rPr>
          <w:color w:val="585858"/>
        </w:rPr>
        <w:t>Full Name:</w:t>
      </w:r>
      <w:r w:rsidR="003822E4">
        <w:rPr>
          <w:color w:val="585858"/>
        </w:rPr>
        <w:t xml:space="preserve"> Mina </w:t>
      </w:r>
      <w:proofErr w:type="spellStart"/>
      <w:r w:rsidR="003822E4">
        <w:rPr>
          <w:color w:val="585858"/>
        </w:rPr>
        <w:t>Hoorfar</w:t>
      </w:r>
      <w:proofErr w:type="spellEnd"/>
    </w:p>
    <w:p w:rsidR="00782E10" w:rsidRDefault="001908A8" w:rsidP="001908A8">
      <w:pPr>
        <w:pStyle w:val="BodyText"/>
        <w:spacing w:before="172"/>
        <w:ind w:left="316" w:right="4143"/>
      </w:pPr>
      <w:r>
        <w:rPr>
          <w:color w:val="585858"/>
        </w:rPr>
        <w:t>Contact</w:t>
      </w:r>
      <w:r w:rsidR="00C81311">
        <w:rPr>
          <w:color w:val="585858"/>
        </w:rPr>
        <w:t>:</w:t>
      </w:r>
      <w:r>
        <w:rPr>
          <w:color w:val="585858"/>
        </w:rPr>
        <w:t xml:space="preserve"> mina.hoorfar@mail.ubc.ca</w:t>
      </w:r>
    </w:p>
    <w:p w:rsidR="00782E10" w:rsidRDefault="00C81311">
      <w:pPr>
        <w:pStyle w:val="BodyText"/>
        <w:ind w:left="316"/>
      </w:pPr>
      <w:r>
        <w:rPr>
          <w:color w:val="585858"/>
        </w:rPr>
        <w:t>Session name/ number:</w:t>
      </w:r>
    </w:p>
    <w:p w:rsidR="003822E4" w:rsidRDefault="003822E4" w:rsidP="003822E4">
      <w:pPr>
        <w:pStyle w:val="BodyText"/>
        <w:ind w:left="316" w:right="1786"/>
        <w:rPr>
          <w:color w:val="585858"/>
        </w:rPr>
      </w:pPr>
      <w:r>
        <w:rPr>
          <w:color w:val="585858"/>
        </w:rPr>
        <w:t>Category: Oral presentation</w:t>
      </w:r>
    </w:p>
    <w:p w:rsidR="00782E10" w:rsidRDefault="00782E10" w:rsidP="003822E4">
      <w:pPr>
        <w:pStyle w:val="BodyText"/>
        <w:ind w:left="316" w:right="1786"/>
        <w:rPr>
          <w:sz w:val="18"/>
        </w:rPr>
        <w:sectPr w:rsidR="00782E10">
          <w:type w:val="continuous"/>
          <w:pgSz w:w="11910" w:h="16840"/>
          <w:pgMar w:top="600" w:right="180" w:bottom="280" w:left="140" w:header="720" w:footer="720" w:gutter="0"/>
          <w:cols w:num="2" w:space="720" w:equalWidth="0">
            <w:col w:w="5639" w:space="40"/>
            <w:col w:w="5911"/>
          </w:cols>
        </w:sectPr>
      </w:pPr>
    </w:p>
    <w:p w:rsidR="00782E10" w:rsidRDefault="00782E10">
      <w:pPr>
        <w:pStyle w:val="BodyText"/>
        <w:spacing w:before="1"/>
        <w:rPr>
          <w:sz w:val="27"/>
        </w:rPr>
      </w:pPr>
    </w:p>
    <w:p w:rsidR="00782E10" w:rsidRDefault="00782E10">
      <w:pPr>
        <w:spacing w:before="49"/>
        <w:ind w:left="1105" w:right="1371"/>
        <w:jc w:val="center"/>
        <w:rPr>
          <w:color w:val="585858"/>
          <w:sz w:val="18"/>
          <w:szCs w:val="18"/>
        </w:rPr>
      </w:pPr>
    </w:p>
    <w:sectPr w:rsidR="00782E10">
      <w:type w:val="continuous"/>
      <w:pgSz w:w="11910" w:h="16840"/>
      <w:pgMar w:top="600" w:right="180" w:bottom="280" w:left="1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30E7" w:rsidRDefault="00AB30E7">
      <w:r>
        <w:separator/>
      </w:r>
    </w:p>
  </w:endnote>
  <w:endnote w:type="continuationSeparator" w:id="0">
    <w:p w:rsidR="00AB30E7" w:rsidRDefault="00AB30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3255" w:rsidRDefault="003B32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3255" w:rsidRDefault="003B325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3255" w:rsidRDefault="003B32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30E7" w:rsidRDefault="00AB30E7">
      <w:r>
        <w:separator/>
      </w:r>
    </w:p>
  </w:footnote>
  <w:footnote w:type="continuationSeparator" w:id="0">
    <w:p w:rsidR="00AB30E7" w:rsidRDefault="00AB30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3255" w:rsidRDefault="00AB30E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915376" o:spid="_x0000_s2050" type="#_x0000_t75" style="position:absolute;margin-left:0;margin-top:0;width:563.65pt;height:797.25pt;z-index:-251657216;mso-position-horizontal:center;mso-position-horizontal-relative:margin;mso-position-vertical:center;mso-position-vertical-relative:margin" o:allowincell="f">
          <v:imagedata r:id="rId1" o:title="Euro Microfluidics 2020_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3255" w:rsidRDefault="00AB30E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915377" o:spid="_x0000_s2051" type="#_x0000_t75" style="position:absolute;margin-left:0;margin-top:0;width:563.65pt;height:797.25pt;z-index:-251656192;mso-position-horizontal:center;mso-position-horizontal-relative:margin;mso-position-vertical:center;mso-position-vertical-relative:margin" o:allowincell="f">
          <v:imagedata r:id="rId1" o:title="Euro Microfluidics 2020_Logo" gain="19661f" blacklevel="22938f"/>
          <w10:wrap anchorx="margin" anchory="margin"/>
        </v:shape>
      </w:pict>
    </w:r>
    <w:r w:rsidR="003B3255">
      <w:rPr>
        <w:noProof/>
        <w:lang w:val="en-CA" w:eastAsia="en-CA"/>
      </w:rPr>
      <w:drawing>
        <wp:inline distT="0" distB="0" distL="0" distR="0">
          <wp:extent cx="7359650" cy="9556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ro Microfluidics 2020.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7359650" cy="95567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3255" w:rsidRDefault="00AB30E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915375" o:spid="_x0000_s2049" type="#_x0000_t75" style="position:absolute;margin-left:0;margin-top:0;width:563.65pt;height:797.25pt;z-index:-251658240;mso-position-horizontal:center;mso-position-horizontal-relative:margin;mso-position-vertical:center;mso-position-vertical-relative:margin" o:allowincell="f">
          <v:imagedata r:id="rId1" o:title="Euro Microfluidics 2020_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5ACE2AFA"/>
    <w:lvl w:ilvl="0" w:tplc="30E084E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99805454">
      <w:start w:val="1"/>
      <w:numFmt w:val="bullet"/>
      <w:lvlText w:val="•"/>
      <w:lvlJc w:val="left"/>
      <w:pPr>
        <w:ind w:left="1527" w:hanging="360"/>
      </w:pPr>
      <w:rPr>
        <w:rFonts w:hint="default"/>
      </w:rPr>
    </w:lvl>
    <w:lvl w:ilvl="2" w:tplc="A7C2606E">
      <w:start w:val="1"/>
      <w:numFmt w:val="bullet"/>
      <w:lvlText w:val="•"/>
      <w:lvlJc w:val="left"/>
      <w:pPr>
        <w:ind w:left="2014" w:hanging="360"/>
      </w:pPr>
      <w:rPr>
        <w:rFonts w:hint="default"/>
      </w:rPr>
    </w:lvl>
    <w:lvl w:ilvl="3" w:tplc="CE762B14">
      <w:start w:val="1"/>
      <w:numFmt w:val="bullet"/>
      <w:lvlText w:val="•"/>
      <w:lvlJc w:val="left"/>
      <w:pPr>
        <w:ind w:left="2501" w:hanging="360"/>
      </w:pPr>
      <w:rPr>
        <w:rFonts w:hint="default"/>
      </w:rPr>
    </w:lvl>
    <w:lvl w:ilvl="4" w:tplc="FE40A42C">
      <w:start w:val="1"/>
      <w:numFmt w:val="bullet"/>
      <w:lvlText w:val="•"/>
      <w:lvlJc w:val="left"/>
      <w:pPr>
        <w:ind w:left="2988" w:hanging="360"/>
      </w:pPr>
      <w:rPr>
        <w:rFonts w:hint="default"/>
      </w:rPr>
    </w:lvl>
    <w:lvl w:ilvl="5" w:tplc="BBC60FF8">
      <w:start w:val="1"/>
      <w:numFmt w:val="bullet"/>
      <w:lvlText w:val="•"/>
      <w:lvlJc w:val="left"/>
      <w:pPr>
        <w:ind w:left="3475" w:hanging="360"/>
      </w:pPr>
      <w:rPr>
        <w:rFonts w:hint="default"/>
      </w:rPr>
    </w:lvl>
    <w:lvl w:ilvl="6" w:tplc="E7F67D3A">
      <w:start w:val="1"/>
      <w:numFmt w:val="bullet"/>
      <w:lvlText w:val="•"/>
      <w:lvlJc w:val="left"/>
      <w:pPr>
        <w:ind w:left="3962" w:hanging="360"/>
      </w:pPr>
      <w:rPr>
        <w:rFonts w:hint="default"/>
      </w:rPr>
    </w:lvl>
    <w:lvl w:ilvl="7" w:tplc="B51C71A0">
      <w:start w:val="1"/>
      <w:numFmt w:val="bullet"/>
      <w:lvlText w:val="•"/>
      <w:lvlJc w:val="left"/>
      <w:pPr>
        <w:ind w:left="4449" w:hanging="360"/>
      </w:pPr>
      <w:rPr>
        <w:rFonts w:hint="default"/>
      </w:rPr>
    </w:lvl>
    <w:lvl w:ilvl="8" w:tplc="939658FE">
      <w:start w:val="1"/>
      <w:numFmt w:val="bullet"/>
      <w:lvlText w:val="•"/>
      <w:lvlJc w:val="left"/>
      <w:pPr>
        <w:ind w:left="4936" w:hanging="360"/>
      </w:pPr>
      <w:rPr>
        <w:rFonts w:hint="default"/>
      </w:rPr>
    </w:lvl>
  </w:abstractNum>
  <w:abstractNum w:abstractNumId="1" w15:restartNumberingAfterBreak="0">
    <w:nsid w:val="6214768B"/>
    <w:multiLevelType w:val="hybridMultilevel"/>
    <w:tmpl w:val="EC10BF3E"/>
    <w:lvl w:ilvl="0" w:tplc="6C7A1A1C">
      <w:start w:val="1"/>
      <w:numFmt w:val="decimal"/>
      <w:lvlText w:val="%1"/>
      <w:lvlJc w:val="left"/>
      <w:pPr>
        <w:ind w:left="1037" w:hanging="360"/>
      </w:pPr>
      <w:rPr>
        <w:rFonts w:hint="default"/>
      </w:rPr>
    </w:lvl>
    <w:lvl w:ilvl="1" w:tplc="10090019" w:tentative="1">
      <w:start w:val="1"/>
      <w:numFmt w:val="lowerLetter"/>
      <w:lvlText w:val="%2."/>
      <w:lvlJc w:val="left"/>
      <w:pPr>
        <w:ind w:left="1757" w:hanging="360"/>
      </w:pPr>
    </w:lvl>
    <w:lvl w:ilvl="2" w:tplc="1009001B" w:tentative="1">
      <w:start w:val="1"/>
      <w:numFmt w:val="lowerRoman"/>
      <w:lvlText w:val="%3."/>
      <w:lvlJc w:val="right"/>
      <w:pPr>
        <w:ind w:left="2477" w:hanging="180"/>
      </w:pPr>
    </w:lvl>
    <w:lvl w:ilvl="3" w:tplc="1009000F" w:tentative="1">
      <w:start w:val="1"/>
      <w:numFmt w:val="decimal"/>
      <w:lvlText w:val="%4."/>
      <w:lvlJc w:val="left"/>
      <w:pPr>
        <w:ind w:left="3197" w:hanging="360"/>
      </w:pPr>
    </w:lvl>
    <w:lvl w:ilvl="4" w:tplc="10090019" w:tentative="1">
      <w:start w:val="1"/>
      <w:numFmt w:val="lowerLetter"/>
      <w:lvlText w:val="%5."/>
      <w:lvlJc w:val="left"/>
      <w:pPr>
        <w:ind w:left="3917" w:hanging="360"/>
      </w:pPr>
    </w:lvl>
    <w:lvl w:ilvl="5" w:tplc="1009001B" w:tentative="1">
      <w:start w:val="1"/>
      <w:numFmt w:val="lowerRoman"/>
      <w:lvlText w:val="%6."/>
      <w:lvlJc w:val="right"/>
      <w:pPr>
        <w:ind w:left="4637" w:hanging="180"/>
      </w:pPr>
    </w:lvl>
    <w:lvl w:ilvl="6" w:tplc="1009000F" w:tentative="1">
      <w:start w:val="1"/>
      <w:numFmt w:val="decimal"/>
      <w:lvlText w:val="%7."/>
      <w:lvlJc w:val="left"/>
      <w:pPr>
        <w:ind w:left="5357" w:hanging="360"/>
      </w:pPr>
    </w:lvl>
    <w:lvl w:ilvl="7" w:tplc="10090019" w:tentative="1">
      <w:start w:val="1"/>
      <w:numFmt w:val="lowerLetter"/>
      <w:lvlText w:val="%8."/>
      <w:lvlJc w:val="left"/>
      <w:pPr>
        <w:ind w:left="6077" w:hanging="360"/>
      </w:pPr>
    </w:lvl>
    <w:lvl w:ilvl="8" w:tplc="1009001B" w:tentative="1">
      <w:start w:val="1"/>
      <w:numFmt w:val="lowerRoman"/>
      <w:lvlText w:val="%9."/>
      <w:lvlJc w:val="right"/>
      <w:pPr>
        <w:ind w:left="6797" w:hanging="180"/>
      </w:pPr>
    </w:lvl>
  </w:abstractNum>
  <w:abstractNum w:abstractNumId="2" w15:restartNumberingAfterBreak="0">
    <w:nsid w:val="6F4D3202"/>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start w:val="1"/>
      <w:numFmt w:val="bullet"/>
      <w:lvlText w:val="•"/>
      <w:lvlJc w:val="left"/>
      <w:pPr>
        <w:ind w:left="2237" w:hanging="447"/>
      </w:pPr>
      <w:rPr>
        <w:rFonts w:hint="default"/>
      </w:rPr>
    </w:lvl>
    <w:lvl w:ilvl="2" w:tplc="0CCAF27C">
      <w:start w:val="1"/>
      <w:numFmt w:val="bullet"/>
      <w:lvlText w:val="•"/>
      <w:lvlJc w:val="left"/>
      <w:pPr>
        <w:ind w:left="2615" w:hanging="447"/>
      </w:pPr>
      <w:rPr>
        <w:rFonts w:hint="default"/>
      </w:rPr>
    </w:lvl>
    <w:lvl w:ilvl="3" w:tplc="053E9660">
      <w:start w:val="1"/>
      <w:numFmt w:val="bullet"/>
      <w:lvlText w:val="•"/>
      <w:lvlJc w:val="left"/>
      <w:pPr>
        <w:ind w:left="2993" w:hanging="447"/>
      </w:pPr>
      <w:rPr>
        <w:rFonts w:hint="default"/>
      </w:rPr>
    </w:lvl>
    <w:lvl w:ilvl="4" w:tplc="835609D4">
      <w:start w:val="1"/>
      <w:numFmt w:val="bullet"/>
      <w:lvlText w:val="•"/>
      <w:lvlJc w:val="left"/>
      <w:pPr>
        <w:ind w:left="3371" w:hanging="447"/>
      </w:pPr>
      <w:rPr>
        <w:rFonts w:hint="default"/>
      </w:rPr>
    </w:lvl>
    <w:lvl w:ilvl="5" w:tplc="67361D10">
      <w:start w:val="1"/>
      <w:numFmt w:val="bullet"/>
      <w:lvlText w:val="•"/>
      <w:lvlJc w:val="left"/>
      <w:pPr>
        <w:ind w:left="3749" w:hanging="447"/>
      </w:pPr>
      <w:rPr>
        <w:rFonts w:hint="default"/>
      </w:rPr>
    </w:lvl>
    <w:lvl w:ilvl="6" w:tplc="5C882DEC">
      <w:start w:val="1"/>
      <w:numFmt w:val="bullet"/>
      <w:lvlText w:val="•"/>
      <w:lvlJc w:val="left"/>
      <w:pPr>
        <w:ind w:left="4127" w:hanging="447"/>
      </w:pPr>
      <w:rPr>
        <w:rFonts w:hint="default"/>
      </w:rPr>
    </w:lvl>
    <w:lvl w:ilvl="7" w:tplc="03B45D1C">
      <w:start w:val="1"/>
      <w:numFmt w:val="bullet"/>
      <w:lvlText w:val="•"/>
      <w:lvlJc w:val="left"/>
      <w:pPr>
        <w:ind w:left="4504" w:hanging="447"/>
      </w:pPr>
      <w:rPr>
        <w:rFonts w:hint="default"/>
      </w:rPr>
    </w:lvl>
    <w:lvl w:ilvl="8" w:tplc="73B0959A">
      <w:start w:val="1"/>
      <w:numFmt w:val="bullet"/>
      <w:lvlText w:val="•"/>
      <w:lvlJc w:val="left"/>
      <w:pPr>
        <w:ind w:left="4882" w:hanging="447"/>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2E10"/>
    <w:rsid w:val="001908A8"/>
    <w:rsid w:val="00202DBA"/>
    <w:rsid w:val="003822E4"/>
    <w:rsid w:val="003B3255"/>
    <w:rsid w:val="004D3EB8"/>
    <w:rsid w:val="005E1D16"/>
    <w:rsid w:val="00740CDA"/>
    <w:rsid w:val="00782E10"/>
    <w:rsid w:val="008952B0"/>
    <w:rsid w:val="009E6521"/>
    <w:rsid w:val="00A74292"/>
    <w:rsid w:val="00AB30E7"/>
    <w:rsid w:val="00C03D7E"/>
    <w:rsid w:val="00C81311"/>
    <w:rsid w:val="00CB015B"/>
    <w:rsid w:val="00E90105"/>
    <w:rsid w:val="00FC6A0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2C2AC14A"/>
  <w15:docId w15:val="{04CE2304-A165-4E51-BD60-72CB6C169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eastAsia="Times New Roman" w:hAnsi="Tahoma" w:cs="Tahoma"/>
      <w:sz w:val="16"/>
      <w:szCs w:val="16"/>
    </w:rPr>
  </w:style>
  <w:style w:type="character" w:styleId="Hyperlink">
    <w:name w:val="Hyperlink"/>
    <w:basedOn w:val="DefaultParagraphFont"/>
    <w:uiPriority w:val="99"/>
    <w:rPr>
      <w:color w:val="0000FF"/>
      <w:u w:val="single"/>
    </w:rPr>
  </w:style>
  <w:style w:type="character" w:styleId="FollowedHyperlink">
    <w:name w:val="FollowedHyperlink"/>
    <w:basedOn w:val="DefaultParagraphFont"/>
    <w:uiPriority w:val="99"/>
    <w:rPr>
      <w:color w:val="800080"/>
      <w:u w:val="single"/>
    </w:rPr>
  </w:style>
  <w:style w:type="character" w:customStyle="1" w:styleId="UnresolvedMention">
    <w:name w:val="Unresolved Mention"/>
    <w:basedOn w:val="DefaultParagraphFont"/>
    <w:uiPriority w:val="99"/>
    <w:rPr>
      <w:color w:val="605E5C"/>
      <w:shd w:val="clear" w:color="auto" w:fill="E1DFDD"/>
    </w:rPr>
  </w:style>
  <w:style w:type="paragraph" w:styleId="Header">
    <w:name w:val="header"/>
    <w:basedOn w:val="Normal"/>
    <w:link w:val="HeaderChar"/>
    <w:uiPriority w:val="99"/>
    <w:pPr>
      <w:tabs>
        <w:tab w:val="center" w:pos="4513"/>
        <w:tab w:val="right" w:pos="9026"/>
      </w:tabs>
    </w:pPr>
  </w:style>
  <w:style w:type="character" w:customStyle="1" w:styleId="HeaderChar">
    <w:name w:val="Header Char"/>
    <w:basedOn w:val="DefaultParagraphFont"/>
    <w:link w:val="Header"/>
    <w:uiPriority w:val="99"/>
    <w:rPr>
      <w:rFonts w:ascii="Times New Roman" w:eastAsia="Times New Roman" w:hAnsi="Times New Roman" w:cs="Times New Roman"/>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basedOn w:val="DefaultParagraphFont"/>
    <w:link w:val="Footer"/>
    <w:uiPriority w:val="99"/>
    <w:rPr>
      <w:rFonts w:ascii="Times New Roman" w:eastAsia="Times New Roman" w:hAnsi="Times New Roman" w:cs="Times New Roman"/>
    </w:rPr>
  </w:style>
  <w:style w:type="paragraph" w:styleId="Caption">
    <w:name w:val="caption"/>
    <w:basedOn w:val="Normal"/>
    <w:next w:val="Normal"/>
    <w:qFormat/>
    <w:rsid w:val="003B3255"/>
    <w:pPr>
      <w:widowControl/>
      <w:autoSpaceDE/>
      <w:autoSpaceDN/>
      <w:spacing w:before="120" w:after="120"/>
    </w:pPr>
    <w:rPr>
      <w:rFonts w:ascii="Times" w:eastAsia="Times" w:hAnsi="Times"/>
      <w:b/>
      <w:sz w:val="24"/>
      <w:szCs w:val="20"/>
    </w:rPr>
  </w:style>
  <w:style w:type="paragraph" w:customStyle="1" w:styleId="Affiliation">
    <w:name w:val="Affiliation"/>
    <w:rsid w:val="003822E4"/>
    <w:pPr>
      <w:widowControl/>
      <w:autoSpaceDE/>
      <w:autoSpaceDN/>
      <w:jc w:val="center"/>
    </w:pPr>
    <w:rPr>
      <w:rFonts w:ascii="Times New Roman" w:eastAsia="SimSu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7.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6.jpeg"/><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footer" Target="footer1.xml"/><Relationship Id="rId19" Type="http://schemas.openxmlformats.org/officeDocument/2006/relationships/image" Target="media/image8.gif"/><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B58426-6D19-4B17-8F9D-89032E8D9F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2</Pages>
  <Words>1138</Words>
  <Characters>6487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Microsoft</Company>
  <LinksUpToDate>false</LinksUpToDate>
  <CharactersWithSpaces>7610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Arash</cp:lastModifiedBy>
  <cp:revision>5</cp:revision>
  <cp:lastPrinted>2020-01-11T01:49:00Z</cp:lastPrinted>
  <dcterms:created xsi:type="dcterms:W3CDTF">2019-11-14T10:34:00Z</dcterms:created>
  <dcterms:modified xsi:type="dcterms:W3CDTF">2020-01-11T01:50:00Z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