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9BA" w:rsidRPr="003A558F" w:rsidRDefault="004B69BA" w:rsidP="004B69BA">
      <w:pPr>
        <w:spacing w:before="240" w:after="600"/>
        <w:jc w:val="center"/>
        <w:rPr>
          <w:rFonts w:asciiTheme="majorBidi" w:hAnsiTheme="majorBidi" w:cstheme="majorBidi"/>
          <w:b/>
          <w:bCs/>
          <w:sz w:val="28"/>
          <w:szCs w:val="28"/>
          <w:lang w:val="en-US"/>
        </w:rPr>
      </w:pPr>
      <w:r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Incidence of Thyroid Cancer has Increased in Algeria Over the Past Several Years: The </w:t>
      </w:r>
      <w:r w:rsidRPr="003A558F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Role </w:t>
      </w:r>
      <w:r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of Exposure to Ionizing Radiation from </w:t>
      </w:r>
      <w:r w:rsidRPr="003A558F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Nuclear Tests in </w:t>
      </w:r>
      <w:r>
        <w:rPr>
          <w:rFonts w:asciiTheme="majorBidi" w:hAnsiTheme="majorBidi" w:cstheme="majorBidi"/>
          <w:b/>
          <w:bCs/>
          <w:sz w:val="28"/>
          <w:szCs w:val="28"/>
          <w:lang w:val="en-US"/>
        </w:rPr>
        <w:t>a Context of Moderate Iodine Deficiency</w:t>
      </w:r>
      <w:r w:rsidRPr="003A558F">
        <w:rPr>
          <w:rFonts w:asciiTheme="majorBidi" w:hAnsiTheme="majorBidi" w:cstheme="majorBidi"/>
          <w:b/>
          <w:bCs/>
          <w:sz w:val="28"/>
          <w:szCs w:val="28"/>
          <w:lang w:val="en-US"/>
        </w:rPr>
        <w:t>.</w:t>
      </w:r>
    </w:p>
    <w:p w:rsidR="004B69BA" w:rsidRPr="00CA6372" w:rsidRDefault="004B69BA" w:rsidP="004B69BA">
      <w:pPr>
        <w:rPr>
          <w:rFonts w:asciiTheme="majorBidi" w:hAnsiTheme="majorBidi" w:cstheme="majorBidi"/>
          <w:b/>
          <w:sz w:val="24"/>
          <w:szCs w:val="24"/>
          <w:lang w:val="en-US"/>
        </w:rPr>
      </w:pPr>
      <w:proofErr w:type="spellStart"/>
      <w:r w:rsidRPr="00CA6372">
        <w:rPr>
          <w:rFonts w:asciiTheme="majorBidi" w:hAnsiTheme="majorBidi" w:cstheme="majorBidi"/>
          <w:b/>
          <w:sz w:val="24"/>
          <w:szCs w:val="24"/>
          <w:u w:val="single"/>
          <w:lang w:val="en-US"/>
        </w:rPr>
        <w:t>Houda</w:t>
      </w:r>
      <w:proofErr w:type="spellEnd"/>
      <w:r w:rsidRPr="00CA6372">
        <w:rPr>
          <w:rFonts w:asciiTheme="majorBidi" w:hAnsiTheme="majorBidi" w:cstheme="majorBidi"/>
          <w:b/>
          <w:sz w:val="24"/>
          <w:szCs w:val="24"/>
          <w:u w:val="single"/>
          <w:lang w:val="en-US"/>
        </w:rPr>
        <w:t xml:space="preserve"> Boukheris</w:t>
      </w:r>
      <w:r w:rsidRPr="00CA6372">
        <w:rPr>
          <w:rFonts w:asciiTheme="majorBidi" w:hAnsiTheme="majorBidi" w:cstheme="majorBidi"/>
          <w:b/>
          <w:sz w:val="24"/>
          <w:szCs w:val="24"/>
          <w:vertAlign w:val="superscript"/>
          <w:lang w:val="en-US"/>
        </w:rPr>
        <w:t>1,2</w:t>
      </w:r>
      <w:r w:rsidRPr="00CA6372">
        <w:rPr>
          <w:rFonts w:asciiTheme="majorBidi" w:hAnsiTheme="majorBidi" w:cstheme="majorBidi"/>
          <w:b/>
          <w:sz w:val="24"/>
          <w:szCs w:val="24"/>
          <w:lang w:val="en-US"/>
        </w:rPr>
        <w:t xml:space="preserve">; </w:t>
      </w:r>
      <w:proofErr w:type="spellStart"/>
      <w:r w:rsidRPr="00CA6372">
        <w:rPr>
          <w:rFonts w:asciiTheme="majorBidi" w:hAnsiTheme="majorBidi" w:cstheme="majorBidi"/>
          <w:b/>
          <w:sz w:val="24"/>
          <w:szCs w:val="24"/>
          <w:lang w:val="en-US"/>
        </w:rPr>
        <w:t>Achour</w:t>
      </w:r>
      <w:proofErr w:type="spellEnd"/>
      <w:r w:rsidRPr="00CA6372">
        <w:rPr>
          <w:rFonts w:asciiTheme="majorBidi" w:hAnsiTheme="majorBidi" w:cstheme="majorBidi"/>
          <w:b/>
          <w:sz w:val="24"/>
          <w:szCs w:val="24"/>
          <w:lang w:val="en-US"/>
        </w:rPr>
        <w:t xml:space="preserve"> Zineb</w:t>
      </w:r>
      <w:r>
        <w:rPr>
          <w:rFonts w:asciiTheme="majorBidi" w:hAnsiTheme="majorBidi" w:cstheme="majorBidi"/>
          <w:b/>
          <w:sz w:val="24"/>
          <w:szCs w:val="24"/>
          <w:vertAlign w:val="superscript"/>
          <w:lang w:val="en-US"/>
        </w:rPr>
        <w:t>3</w:t>
      </w:r>
      <w:r w:rsidRPr="00CA6372">
        <w:rPr>
          <w:rFonts w:asciiTheme="majorBidi" w:hAnsiTheme="majorBidi" w:cstheme="majorBidi"/>
          <w:b/>
          <w:sz w:val="24"/>
          <w:szCs w:val="24"/>
          <w:lang w:val="en-US"/>
        </w:rPr>
        <w:t xml:space="preserve">; </w:t>
      </w:r>
      <w:proofErr w:type="spellStart"/>
      <w:r w:rsidRPr="00CA6372">
        <w:rPr>
          <w:rFonts w:asciiTheme="majorBidi" w:hAnsiTheme="majorBidi" w:cstheme="majorBidi"/>
          <w:b/>
          <w:sz w:val="24"/>
          <w:szCs w:val="24"/>
          <w:lang w:val="en-US"/>
        </w:rPr>
        <w:t>Fatma</w:t>
      </w:r>
      <w:proofErr w:type="spellEnd"/>
      <w:r w:rsidRPr="00CA6372">
        <w:rPr>
          <w:rFonts w:asciiTheme="majorBidi" w:hAnsiTheme="majorBidi" w:cstheme="majorBidi"/>
          <w:b/>
          <w:sz w:val="24"/>
          <w:szCs w:val="24"/>
          <w:lang w:val="en-US"/>
        </w:rPr>
        <w:t xml:space="preserve"> </w:t>
      </w:r>
      <w:proofErr w:type="spellStart"/>
      <w:r w:rsidRPr="00CA6372">
        <w:rPr>
          <w:rFonts w:asciiTheme="majorBidi" w:hAnsiTheme="majorBidi" w:cstheme="majorBidi"/>
          <w:b/>
          <w:sz w:val="24"/>
          <w:szCs w:val="24"/>
          <w:lang w:val="en-US"/>
        </w:rPr>
        <w:t>Zohra</w:t>
      </w:r>
      <w:proofErr w:type="spellEnd"/>
      <w:r w:rsidRPr="00CA6372">
        <w:rPr>
          <w:rFonts w:asciiTheme="majorBidi" w:hAnsiTheme="majorBidi" w:cstheme="majorBidi"/>
          <w:b/>
          <w:sz w:val="24"/>
          <w:szCs w:val="24"/>
          <w:lang w:val="en-US"/>
        </w:rPr>
        <w:t xml:space="preserve"> Benbachir</w:t>
      </w:r>
      <w:r>
        <w:rPr>
          <w:rFonts w:asciiTheme="majorBidi" w:hAnsiTheme="majorBidi" w:cstheme="majorBidi"/>
          <w:b/>
          <w:sz w:val="24"/>
          <w:szCs w:val="24"/>
          <w:vertAlign w:val="superscript"/>
          <w:lang w:val="en-US"/>
        </w:rPr>
        <w:t>3</w:t>
      </w:r>
      <w:r w:rsidRPr="00CA6372">
        <w:rPr>
          <w:rFonts w:asciiTheme="majorBidi" w:hAnsiTheme="majorBidi" w:cstheme="majorBidi"/>
          <w:b/>
          <w:sz w:val="24"/>
          <w:szCs w:val="24"/>
          <w:lang w:val="en-US"/>
        </w:rPr>
        <w:t>;</w:t>
      </w:r>
      <w:r w:rsidRPr="00CA6372">
        <w:rPr>
          <w:rFonts w:asciiTheme="majorBidi" w:hAnsiTheme="majorBidi" w:cstheme="majorBidi"/>
          <w:b/>
          <w:sz w:val="24"/>
          <w:szCs w:val="24"/>
          <w:vertAlign w:val="superscript"/>
          <w:lang w:val="en-US"/>
        </w:rPr>
        <w:t xml:space="preserve"> </w:t>
      </w:r>
      <w:proofErr w:type="spellStart"/>
      <w:r w:rsidRPr="00CA6372">
        <w:rPr>
          <w:rFonts w:asciiTheme="majorBidi" w:hAnsiTheme="majorBidi" w:cstheme="majorBidi"/>
          <w:b/>
          <w:sz w:val="24"/>
          <w:szCs w:val="24"/>
          <w:lang w:val="en-US"/>
        </w:rPr>
        <w:t>Sarra</w:t>
      </w:r>
      <w:proofErr w:type="spellEnd"/>
      <w:r w:rsidRPr="00CA6372">
        <w:rPr>
          <w:rFonts w:asciiTheme="majorBidi" w:hAnsiTheme="majorBidi" w:cstheme="majorBidi"/>
          <w:b/>
          <w:sz w:val="24"/>
          <w:szCs w:val="24"/>
          <w:lang w:val="en-US"/>
        </w:rPr>
        <w:t xml:space="preserve"> Attar</w:t>
      </w:r>
      <w:r>
        <w:rPr>
          <w:rFonts w:asciiTheme="majorBidi" w:hAnsiTheme="majorBidi" w:cstheme="majorBidi"/>
          <w:b/>
          <w:sz w:val="24"/>
          <w:szCs w:val="24"/>
          <w:vertAlign w:val="superscript"/>
          <w:lang w:val="en-US"/>
        </w:rPr>
        <w:t>3</w:t>
      </w:r>
      <w:r w:rsidRPr="00CA6372">
        <w:rPr>
          <w:rFonts w:asciiTheme="majorBidi" w:hAnsiTheme="majorBidi" w:cstheme="majorBidi"/>
          <w:b/>
          <w:sz w:val="24"/>
          <w:szCs w:val="24"/>
          <w:lang w:val="en-US"/>
        </w:rPr>
        <w:t>;</w:t>
      </w:r>
      <w:r w:rsidRPr="00CA6372">
        <w:rPr>
          <w:rFonts w:asciiTheme="majorBidi" w:hAnsiTheme="majorBidi" w:cstheme="majorBidi"/>
          <w:b/>
          <w:sz w:val="24"/>
          <w:szCs w:val="24"/>
          <w:vertAlign w:val="superscript"/>
          <w:lang w:val="en-US"/>
        </w:rPr>
        <w:t xml:space="preserve"> </w:t>
      </w:r>
      <w:proofErr w:type="spellStart"/>
      <w:r w:rsidRPr="00CA6372">
        <w:rPr>
          <w:rFonts w:asciiTheme="majorBidi" w:hAnsiTheme="majorBidi" w:cstheme="majorBidi"/>
          <w:b/>
          <w:sz w:val="24"/>
          <w:szCs w:val="24"/>
          <w:lang w:val="en-US"/>
        </w:rPr>
        <w:t>Hafida</w:t>
      </w:r>
      <w:proofErr w:type="spellEnd"/>
      <w:r w:rsidRPr="00CA6372">
        <w:rPr>
          <w:rFonts w:asciiTheme="majorBidi" w:hAnsiTheme="majorBidi" w:cstheme="majorBidi"/>
          <w:b/>
          <w:sz w:val="24"/>
          <w:szCs w:val="24"/>
          <w:lang w:val="en-US"/>
        </w:rPr>
        <w:t xml:space="preserve"> Saim</w:t>
      </w:r>
      <w:r>
        <w:rPr>
          <w:rFonts w:asciiTheme="majorBidi" w:hAnsiTheme="majorBidi" w:cstheme="majorBidi"/>
          <w:b/>
          <w:sz w:val="24"/>
          <w:szCs w:val="24"/>
          <w:vertAlign w:val="superscript"/>
          <w:lang w:val="en-US"/>
        </w:rPr>
        <w:t>3</w:t>
      </w:r>
      <w:r w:rsidRPr="00CA6372">
        <w:rPr>
          <w:rFonts w:asciiTheme="majorBidi" w:hAnsiTheme="majorBidi" w:cstheme="majorBidi"/>
          <w:b/>
          <w:sz w:val="24"/>
          <w:szCs w:val="24"/>
          <w:lang w:val="en-US"/>
        </w:rPr>
        <w:t xml:space="preserve">; </w:t>
      </w:r>
      <w:proofErr w:type="spellStart"/>
      <w:r w:rsidRPr="00CA6372">
        <w:rPr>
          <w:rFonts w:asciiTheme="majorBidi" w:hAnsiTheme="majorBidi" w:cstheme="majorBidi"/>
          <w:b/>
          <w:sz w:val="24"/>
          <w:szCs w:val="24"/>
          <w:lang w:val="en-US"/>
        </w:rPr>
        <w:t>Kada</w:t>
      </w:r>
      <w:proofErr w:type="spellEnd"/>
      <w:r w:rsidRPr="00CA6372">
        <w:rPr>
          <w:rFonts w:asciiTheme="majorBidi" w:hAnsiTheme="majorBidi" w:cstheme="majorBidi"/>
          <w:b/>
          <w:sz w:val="24"/>
          <w:szCs w:val="24"/>
          <w:lang w:val="en-US"/>
        </w:rPr>
        <w:t xml:space="preserve"> Rouigeb</w:t>
      </w:r>
      <w:r>
        <w:rPr>
          <w:rFonts w:asciiTheme="majorBidi" w:hAnsiTheme="majorBidi" w:cstheme="majorBidi"/>
          <w:b/>
          <w:sz w:val="24"/>
          <w:szCs w:val="24"/>
          <w:vertAlign w:val="superscript"/>
          <w:lang w:val="en-US"/>
        </w:rPr>
        <w:t>3</w:t>
      </w:r>
      <w:r w:rsidRPr="00CA6372">
        <w:rPr>
          <w:rFonts w:asciiTheme="majorBidi" w:hAnsiTheme="majorBidi" w:cstheme="majorBidi"/>
          <w:b/>
          <w:sz w:val="24"/>
          <w:szCs w:val="24"/>
          <w:lang w:val="en-US"/>
        </w:rPr>
        <w:t xml:space="preserve">; </w:t>
      </w:r>
      <w:proofErr w:type="spellStart"/>
      <w:r w:rsidRPr="00CA6372">
        <w:rPr>
          <w:rFonts w:asciiTheme="majorBidi" w:hAnsiTheme="majorBidi" w:cstheme="majorBidi"/>
          <w:b/>
          <w:sz w:val="24"/>
          <w:szCs w:val="24"/>
          <w:lang w:val="en-US"/>
        </w:rPr>
        <w:t>Necib</w:t>
      </w:r>
      <w:proofErr w:type="spellEnd"/>
      <w:r w:rsidRPr="00CA6372">
        <w:rPr>
          <w:rFonts w:asciiTheme="majorBidi" w:hAnsiTheme="majorBidi" w:cstheme="majorBidi"/>
          <w:b/>
          <w:sz w:val="24"/>
          <w:szCs w:val="24"/>
          <w:lang w:val="en-US"/>
        </w:rPr>
        <w:t xml:space="preserve"> Berber</w:t>
      </w:r>
      <w:r>
        <w:rPr>
          <w:rFonts w:asciiTheme="majorBidi" w:hAnsiTheme="majorBidi" w:cstheme="majorBidi"/>
          <w:b/>
          <w:sz w:val="24"/>
          <w:szCs w:val="24"/>
          <w:vertAlign w:val="superscript"/>
          <w:lang w:val="en-US"/>
        </w:rPr>
        <w:t>4</w:t>
      </w:r>
      <w:r w:rsidRPr="00CA6372">
        <w:rPr>
          <w:rFonts w:asciiTheme="majorBidi" w:hAnsiTheme="majorBidi" w:cstheme="majorBidi"/>
          <w:b/>
          <w:sz w:val="24"/>
          <w:szCs w:val="24"/>
          <w:vertAlign w:val="superscript"/>
          <w:lang w:val="en-US"/>
        </w:rPr>
        <w:t xml:space="preserve"> </w:t>
      </w:r>
    </w:p>
    <w:p w:rsidR="004B69BA" w:rsidRPr="00CA6372" w:rsidRDefault="004B69BA" w:rsidP="004B69BA">
      <w:pPr>
        <w:spacing w:after="0"/>
        <w:rPr>
          <w:rFonts w:asciiTheme="majorBidi" w:hAnsiTheme="majorBidi" w:cstheme="majorBidi"/>
          <w:sz w:val="23"/>
          <w:szCs w:val="23"/>
          <w:lang w:val="en-US"/>
        </w:rPr>
      </w:pPr>
      <w:r w:rsidRPr="00CA6372">
        <w:rPr>
          <w:rFonts w:asciiTheme="majorBidi" w:hAnsiTheme="majorBidi" w:cstheme="majorBidi"/>
          <w:sz w:val="23"/>
          <w:szCs w:val="23"/>
          <w:lang w:val="en-US"/>
        </w:rPr>
        <w:t xml:space="preserve">1 Department of Epidemiology, University Hospital of </w:t>
      </w:r>
      <w:proofErr w:type="spellStart"/>
      <w:r w:rsidRPr="00CA6372">
        <w:rPr>
          <w:rFonts w:asciiTheme="majorBidi" w:hAnsiTheme="majorBidi" w:cstheme="majorBidi"/>
          <w:sz w:val="23"/>
          <w:szCs w:val="23"/>
          <w:lang w:val="en-US"/>
        </w:rPr>
        <w:t>Béjaïa</w:t>
      </w:r>
      <w:proofErr w:type="spellEnd"/>
      <w:r w:rsidRPr="00CA6372">
        <w:rPr>
          <w:rFonts w:asciiTheme="majorBidi" w:hAnsiTheme="majorBidi" w:cstheme="majorBidi"/>
          <w:sz w:val="23"/>
          <w:szCs w:val="23"/>
          <w:lang w:val="en-US"/>
        </w:rPr>
        <w:t>, Algeria</w:t>
      </w:r>
    </w:p>
    <w:p w:rsidR="004B69BA" w:rsidRPr="00CA6372" w:rsidRDefault="004B69BA" w:rsidP="004B69BA">
      <w:pPr>
        <w:spacing w:after="0"/>
        <w:rPr>
          <w:rFonts w:asciiTheme="majorBidi" w:hAnsiTheme="majorBidi" w:cstheme="majorBidi"/>
          <w:sz w:val="23"/>
          <w:szCs w:val="23"/>
          <w:lang w:val="en-US"/>
        </w:rPr>
      </w:pPr>
      <w:r w:rsidRPr="00CA6372">
        <w:rPr>
          <w:rFonts w:asciiTheme="majorBidi" w:hAnsiTheme="majorBidi" w:cstheme="majorBidi"/>
          <w:sz w:val="23"/>
          <w:szCs w:val="23"/>
          <w:lang w:val="en-US"/>
        </w:rPr>
        <w:t xml:space="preserve">2 School of Medicine, University of </w:t>
      </w:r>
      <w:proofErr w:type="spellStart"/>
      <w:r w:rsidRPr="00CA6372">
        <w:rPr>
          <w:rFonts w:asciiTheme="majorBidi" w:hAnsiTheme="majorBidi" w:cstheme="majorBidi"/>
          <w:sz w:val="23"/>
          <w:szCs w:val="23"/>
          <w:lang w:val="en-US"/>
        </w:rPr>
        <w:t>Béjaïa</w:t>
      </w:r>
      <w:proofErr w:type="spellEnd"/>
      <w:r w:rsidRPr="00CA6372">
        <w:rPr>
          <w:rFonts w:asciiTheme="majorBidi" w:hAnsiTheme="majorBidi" w:cstheme="majorBidi"/>
          <w:sz w:val="23"/>
          <w:szCs w:val="23"/>
          <w:lang w:val="en-US"/>
        </w:rPr>
        <w:t>, Algeria</w:t>
      </w:r>
    </w:p>
    <w:p w:rsidR="004B69BA" w:rsidRPr="00CA6372" w:rsidRDefault="004B69BA" w:rsidP="004B69BA">
      <w:pPr>
        <w:spacing w:after="0"/>
        <w:rPr>
          <w:rFonts w:asciiTheme="majorBidi" w:hAnsiTheme="majorBidi" w:cstheme="majorBidi"/>
          <w:sz w:val="23"/>
          <w:szCs w:val="23"/>
          <w:lang w:val="en-US"/>
        </w:rPr>
      </w:pPr>
      <w:r>
        <w:rPr>
          <w:rFonts w:asciiTheme="majorBidi" w:hAnsiTheme="majorBidi" w:cstheme="majorBidi"/>
          <w:sz w:val="23"/>
          <w:szCs w:val="23"/>
          <w:lang w:val="en-US"/>
        </w:rPr>
        <w:t>3</w:t>
      </w:r>
      <w:r w:rsidRPr="00CA6372">
        <w:rPr>
          <w:rFonts w:asciiTheme="majorBidi" w:hAnsiTheme="majorBidi" w:cstheme="majorBidi"/>
          <w:sz w:val="23"/>
          <w:szCs w:val="23"/>
          <w:lang w:val="en-US"/>
        </w:rPr>
        <w:t xml:space="preserve"> Department of Epidemiology, University Hospital of </w:t>
      </w:r>
      <w:proofErr w:type="spellStart"/>
      <w:r>
        <w:rPr>
          <w:rFonts w:asciiTheme="majorBidi" w:hAnsiTheme="majorBidi" w:cstheme="majorBidi"/>
          <w:sz w:val="23"/>
          <w:szCs w:val="23"/>
          <w:lang w:val="en-US"/>
        </w:rPr>
        <w:t>Tlemcen</w:t>
      </w:r>
      <w:proofErr w:type="spellEnd"/>
      <w:r w:rsidRPr="00CA6372">
        <w:rPr>
          <w:rFonts w:asciiTheme="majorBidi" w:hAnsiTheme="majorBidi" w:cstheme="majorBidi"/>
          <w:sz w:val="23"/>
          <w:szCs w:val="23"/>
          <w:lang w:val="en-US"/>
        </w:rPr>
        <w:t>, Algeria</w:t>
      </w:r>
    </w:p>
    <w:p w:rsidR="004B69BA" w:rsidRPr="003F7E2B" w:rsidRDefault="004B69BA" w:rsidP="004B69BA">
      <w:pPr>
        <w:spacing w:after="0"/>
        <w:rPr>
          <w:rFonts w:asciiTheme="majorBidi" w:hAnsiTheme="majorBidi" w:cstheme="majorBidi"/>
          <w:sz w:val="23"/>
          <w:szCs w:val="23"/>
          <w:lang w:val="en-US"/>
        </w:rPr>
      </w:pPr>
      <w:r w:rsidRPr="003F7E2B">
        <w:rPr>
          <w:rFonts w:asciiTheme="majorBidi" w:hAnsiTheme="majorBidi" w:cstheme="majorBidi"/>
          <w:sz w:val="23"/>
          <w:szCs w:val="23"/>
          <w:lang w:val="en-US"/>
        </w:rPr>
        <w:t xml:space="preserve">4 Department of Nuclear Medicine, University Hospital of </w:t>
      </w:r>
      <w:proofErr w:type="spellStart"/>
      <w:r w:rsidRPr="003F7E2B">
        <w:rPr>
          <w:rFonts w:asciiTheme="majorBidi" w:hAnsiTheme="majorBidi" w:cstheme="majorBidi"/>
          <w:sz w:val="23"/>
          <w:szCs w:val="23"/>
          <w:lang w:val="en-US"/>
        </w:rPr>
        <w:t>Tlemcen</w:t>
      </w:r>
      <w:proofErr w:type="spellEnd"/>
      <w:r w:rsidRPr="003F7E2B">
        <w:rPr>
          <w:rFonts w:asciiTheme="majorBidi" w:hAnsiTheme="majorBidi" w:cstheme="majorBidi"/>
          <w:sz w:val="23"/>
          <w:szCs w:val="23"/>
          <w:lang w:val="en-US"/>
        </w:rPr>
        <w:t>, Algeria</w:t>
      </w:r>
    </w:p>
    <w:p w:rsidR="004B69BA" w:rsidRPr="009B049A" w:rsidRDefault="004B69BA" w:rsidP="00295524">
      <w:pPr>
        <w:autoSpaceDE w:val="0"/>
        <w:autoSpaceDN w:val="0"/>
        <w:adjustRightInd w:val="0"/>
        <w:spacing w:before="600" w:after="240"/>
        <w:jc w:val="center"/>
        <w:rPr>
          <w:rFonts w:asciiTheme="majorBidi" w:hAnsiTheme="majorBidi" w:cstheme="majorBidi"/>
          <w:b/>
          <w:bCs/>
          <w:sz w:val="28"/>
          <w:szCs w:val="28"/>
          <w:lang w:val="en-US"/>
        </w:rPr>
      </w:pPr>
      <w:r w:rsidRPr="009B049A">
        <w:rPr>
          <w:rFonts w:asciiTheme="majorBidi" w:hAnsiTheme="majorBidi" w:cstheme="majorBidi"/>
          <w:b/>
          <w:bCs/>
          <w:sz w:val="28"/>
          <w:szCs w:val="28"/>
          <w:lang w:val="en-US"/>
        </w:rPr>
        <w:t>Abstract</w:t>
      </w:r>
    </w:p>
    <w:p w:rsidR="004B69BA" w:rsidRPr="006015CF" w:rsidRDefault="004B69BA" w:rsidP="00333DC2">
      <w:pPr>
        <w:pStyle w:val="NormalWeb"/>
        <w:spacing w:before="120" w:beforeAutospacing="0" w:after="0" w:afterAutospacing="0" w:line="276" w:lineRule="auto"/>
        <w:jc w:val="both"/>
        <w:rPr>
          <w:b/>
          <w:bCs/>
          <w:lang w:val="en-US"/>
        </w:rPr>
      </w:pPr>
      <w:proofErr w:type="gramStart"/>
      <w:r w:rsidRPr="00CF0384">
        <w:rPr>
          <w:rStyle w:val="lev"/>
          <w:u w:val="single"/>
          <w:lang w:val="en-US"/>
        </w:rPr>
        <w:t>Background</w:t>
      </w:r>
      <w:r w:rsidRPr="00CF0384">
        <w:rPr>
          <w:rStyle w:val="lev"/>
          <w:b w:val="0"/>
          <w:bCs w:val="0"/>
          <w:lang w:val="en-US"/>
        </w:rPr>
        <w:t> </w:t>
      </w:r>
      <w:r w:rsidRPr="00CF0384">
        <w:rPr>
          <w:rStyle w:val="lev"/>
          <w:lang w:val="en-US"/>
        </w:rPr>
        <w:t>:</w:t>
      </w:r>
      <w:proofErr w:type="gramEnd"/>
      <w:r w:rsidRPr="00CF0384">
        <w:rPr>
          <w:rStyle w:val="lev"/>
          <w:lang w:val="en-US"/>
        </w:rPr>
        <w:t> </w:t>
      </w:r>
      <w:r w:rsidRPr="00CF0384">
        <w:rPr>
          <w:rStyle w:val="lev"/>
          <w:b w:val="0"/>
          <w:bCs w:val="0"/>
          <w:lang w:val="en-US"/>
        </w:rPr>
        <w:t xml:space="preserve">Thyroid cancer </w:t>
      </w:r>
      <w:r w:rsidR="00CF0384">
        <w:rPr>
          <w:rStyle w:val="lev"/>
          <w:b w:val="0"/>
          <w:bCs w:val="0"/>
          <w:lang w:val="en-US"/>
        </w:rPr>
        <w:t xml:space="preserve">(TC) </w:t>
      </w:r>
      <w:r w:rsidRPr="00CF0384">
        <w:rPr>
          <w:rStyle w:val="lev"/>
          <w:b w:val="0"/>
          <w:bCs w:val="0"/>
          <w:lang w:val="en-US"/>
        </w:rPr>
        <w:t xml:space="preserve">incidence has </w:t>
      </w:r>
      <w:r w:rsidR="00CD4497">
        <w:rPr>
          <w:rStyle w:val="lev"/>
          <w:b w:val="0"/>
          <w:bCs w:val="0"/>
          <w:lang w:val="en-US"/>
        </w:rPr>
        <w:t xml:space="preserve">dramatically increased </w:t>
      </w:r>
      <w:r w:rsidRPr="00CF0384">
        <w:rPr>
          <w:rStyle w:val="lev"/>
          <w:b w:val="0"/>
          <w:bCs w:val="0"/>
          <w:lang w:val="en-US"/>
        </w:rPr>
        <w:t>in most of the developed world</w:t>
      </w:r>
      <w:r w:rsidR="00CD4497">
        <w:rPr>
          <w:rStyle w:val="lev"/>
          <w:b w:val="0"/>
          <w:bCs w:val="0"/>
          <w:lang w:val="en-US"/>
        </w:rPr>
        <w:t>,</w:t>
      </w:r>
      <w:r w:rsidRPr="00CF0384">
        <w:rPr>
          <w:rStyle w:val="lev"/>
          <w:b w:val="0"/>
          <w:bCs w:val="0"/>
          <w:lang w:val="en-US"/>
        </w:rPr>
        <w:t xml:space="preserve"> mostly because of an increase in the papillary </w:t>
      </w:r>
      <w:proofErr w:type="spellStart"/>
      <w:r w:rsidRPr="00CF0384">
        <w:rPr>
          <w:rStyle w:val="lev"/>
          <w:b w:val="0"/>
          <w:bCs w:val="0"/>
          <w:lang w:val="en-US"/>
        </w:rPr>
        <w:t>histo</w:t>
      </w:r>
      <w:r w:rsidR="00CF0384">
        <w:rPr>
          <w:rStyle w:val="lev"/>
          <w:b w:val="0"/>
          <w:bCs w:val="0"/>
          <w:lang w:val="en-US"/>
        </w:rPr>
        <w:t>type</w:t>
      </w:r>
      <w:proofErr w:type="spellEnd"/>
      <w:r w:rsidRPr="00CF0384">
        <w:rPr>
          <w:rStyle w:val="lev"/>
          <w:b w:val="0"/>
          <w:bCs w:val="0"/>
          <w:lang w:val="en-US"/>
        </w:rPr>
        <w:t xml:space="preserve"> (PTC) and </w:t>
      </w:r>
      <w:proofErr w:type="spellStart"/>
      <w:r w:rsidRPr="00CF0384">
        <w:rPr>
          <w:rStyle w:val="lev"/>
          <w:b w:val="0"/>
          <w:bCs w:val="0"/>
          <w:lang w:val="en-US"/>
        </w:rPr>
        <w:t>microcarcinomas</w:t>
      </w:r>
      <w:proofErr w:type="spellEnd"/>
      <w:r w:rsidRPr="00CF0384">
        <w:rPr>
          <w:rStyle w:val="lev"/>
          <w:b w:val="0"/>
          <w:bCs w:val="0"/>
          <w:lang w:val="en-US"/>
        </w:rPr>
        <w:t xml:space="preserve">. </w:t>
      </w:r>
      <w:r w:rsidR="00CD4497">
        <w:rPr>
          <w:rStyle w:val="lev"/>
          <w:b w:val="0"/>
          <w:bCs w:val="0"/>
          <w:lang w:val="en-US"/>
        </w:rPr>
        <w:t>The</w:t>
      </w:r>
      <w:r w:rsidRPr="00CF0384">
        <w:rPr>
          <w:rStyle w:val="lev"/>
          <w:b w:val="0"/>
          <w:bCs w:val="0"/>
          <w:lang w:val="en-US"/>
        </w:rPr>
        <w:t xml:space="preserve"> </w:t>
      </w:r>
      <w:r w:rsidR="00333DC2">
        <w:rPr>
          <w:rStyle w:val="lev"/>
          <w:b w:val="0"/>
          <w:bCs w:val="0"/>
          <w:lang w:val="en-US"/>
        </w:rPr>
        <w:t xml:space="preserve">question remains on whether this increase is true or apparent due to </w:t>
      </w:r>
      <w:proofErr w:type="spellStart"/>
      <w:r w:rsidR="00333DC2">
        <w:rPr>
          <w:rStyle w:val="lev"/>
          <w:b w:val="0"/>
          <w:bCs w:val="0"/>
          <w:lang w:val="en-US"/>
        </w:rPr>
        <w:t>overdiagnosis</w:t>
      </w:r>
      <w:proofErr w:type="spellEnd"/>
      <w:r w:rsidRPr="00CF0384">
        <w:rPr>
          <w:rStyle w:val="lev"/>
          <w:b w:val="0"/>
          <w:bCs w:val="0"/>
          <w:lang w:val="en-US"/>
        </w:rPr>
        <w:t xml:space="preserve">. Among all risk factors exposure to ionizing </w:t>
      </w:r>
      <w:r w:rsidR="00333CBA">
        <w:rPr>
          <w:rStyle w:val="lev"/>
          <w:b w:val="0"/>
          <w:bCs w:val="0"/>
          <w:lang w:val="en-US"/>
        </w:rPr>
        <w:t xml:space="preserve">radiation </w:t>
      </w:r>
      <w:r w:rsidRPr="00CF0384">
        <w:rPr>
          <w:rStyle w:val="lev"/>
          <w:b w:val="0"/>
          <w:bCs w:val="0"/>
          <w:lang w:val="en-US"/>
        </w:rPr>
        <w:t xml:space="preserve">is a </w:t>
      </w:r>
      <w:r w:rsidR="00890B13">
        <w:rPr>
          <w:rStyle w:val="lev"/>
          <w:b w:val="0"/>
          <w:bCs w:val="0"/>
          <w:lang w:val="en-US"/>
        </w:rPr>
        <w:t>well-</w:t>
      </w:r>
      <w:r w:rsidRPr="00CF0384">
        <w:rPr>
          <w:rStyle w:val="lev"/>
          <w:b w:val="0"/>
          <w:bCs w:val="0"/>
          <w:lang w:val="en-US"/>
        </w:rPr>
        <w:t>established and well quantified risk factor</w:t>
      </w:r>
      <w:r w:rsidR="00F42C91">
        <w:rPr>
          <w:rStyle w:val="lev"/>
          <w:b w:val="0"/>
          <w:bCs w:val="0"/>
          <w:lang w:val="en-US"/>
        </w:rPr>
        <w:t xml:space="preserve"> for PTC</w:t>
      </w:r>
      <w:r w:rsidR="00D41ACF">
        <w:rPr>
          <w:rStyle w:val="lev"/>
          <w:b w:val="0"/>
          <w:bCs w:val="0"/>
          <w:lang w:val="en-US"/>
        </w:rPr>
        <w:t xml:space="preserve">, and to a lesser extent </w:t>
      </w:r>
      <w:r w:rsidRPr="00CF0384">
        <w:rPr>
          <w:rStyle w:val="lev"/>
          <w:b w:val="0"/>
          <w:bCs w:val="0"/>
          <w:lang w:val="en-US"/>
        </w:rPr>
        <w:t>iodine deficiency and supplementation</w:t>
      </w:r>
      <w:r w:rsidR="00D41ACF">
        <w:rPr>
          <w:rStyle w:val="lev"/>
          <w:b w:val="0"/>
          <w:bCs w:val="0"/>
          <w:lang w:val="en-US"/>
        </w:rPr>
        <w:t xml:space="preserve">. The roles of </w:t>
      </w:r>
      <w:r w:rsidR="00F42C91">
        <w:rPr>
          <w:rStyle w:val="lev"/>
          <w:b w:val="0"/>
          <w:bCs w:val="0"/>
          <w:lang w:val="en-US"/>
        </w:rPr>
        <w:t xml:space="preserve">other risk factors </w:t>
      </w:r>
      <w:r w:rsidR="00D41ACF">
        <w:rPr>
          <w:rStyle w:val="lev"/>
          <w:b w:val="0"/>
          <w:bCs w:val="0"/>
          <w:lang w:val="en-US"/>
        </w:rPr>
        <w:t>are still debated</w:t>
      </w:r>
      <w:r w:rsidR="00CF0384">
        <w:rPr>
          <w:rStyle w:val="lev"/>
          <w:b w:val="0"/>
          <w:bCs w:val="0"/>
          <w:lang w:val="en-US"/>
        </w:rPr>
        <w:t xml:space="preserve">. </w:t>
      </w:r>
      <w:r w:rsidRPr="00CF0384">
        <w:rPr>
          <w:lang w:val="en-US"/>
        </w:rPr>
        <w:t xml:space="preserve">We </w:t>
      </w:r>
      <w:r w:rsidR="00F42C91">
        <w:rPr>
          <w:lang w:val="en-US"/>
        </w:rPr>
        <w:t xml:space="preserve">analyzed </w:t>
      </w:r>
      <w:r w:rsidRPr="00CF0384">
        <w:rPr>
          <w:lang w:val="en-US"/>
        </w:rPr>
        <w:t xml:space="preserve">population-based </w:t>
      </w:r>
      <w:r w:rsidR="00F42C91">
        <w:rPr>
          <w:lang w:val="en-US"/>
        </w:rPr>
        <w:t>TC data i</w:t>
      </w:r>
      <w:r w:rsidRPr="00CF0384">
        <w:rPr>
          <w:lang w:val="en-US"/>
        </w:rPr>
        <w:t xml:space="preserve">n order to determine TC incidence rates (IRs) and temporal trends, according to factors such as </w:t>
      </w:r>
      <w:r w:rsidR="00CF0384">
        <w:rPr>
          <w:lang w:val="en-US"/>
        </w:rPr>
        <w:t>gender</w:t>
      </w:r>
      <w:r w:rsidR="00AA79AB">
        <w:rPr>
          <w:lang w:val="en-US"/>
        </w:rPr>
        <w:t xml:space="preserve"> and </w:t>
      </w:r>
      <w:r w:rsidR="00CF0384">
        <w:rPr>
          <w:lang w:val="en-US"/>
        </w:rPr>
        <w:t xml:space="preserve">TC </w:t>
      </w:r>
      <w:proofErr w:type="spellStart"/>
      <w:r w:rsidRPr="00CF0384">
        <w:rPr>
          <w:lang w:val="en-US"/>
        </w:rPr>
        <w:t>histo</w:t>
      </w:r>
      <w:r w:rsidR="006015CF">
        <w:rPr>
          <w:lang w:val="en-US"/>
        </w:rPr>
        <w:t>typ</w:t>
      </w:r>
      <w:r w:rsidR="00AA79AB">
        <w:rPr>
          <w:lang w:val="en-US"/>
        </w:rPr>
        <w:t>e</w:t>
      </w:r>
      <w:proofErr w:type="spellEnd"/>
      <w:r w:rsidRPr="00CF0384">
        <w:rPr>
          <w:lang w:val="en-US"/>
        </w:rPr>
        <w:t xml:space="preserve"> over a 21-year period.</w:t>
      </w:r>
    </w:p>
    <w:p w:rsidR="004B69BA" w:rsidRPr="006015CF" w:rsidRDefault="004B69BA" w:rsidP="006015CF">
      <w:pPr>
        <w:pStyle w:val="NormalWeb"/>
        <w:spacing w:before="120" w:beforeAutospacing="0" w:after="0" w:afterAutospacing="0" w:line="276" w:lineRule="auto"/>
        <w:jc w:val="both"/>
        <w:rPr>
          <w:lang w:val="en-US"/>
        </w:rPr>
      </w:pPr>
      <w:proofErr w:type="gramStart"/>
      <w:r w:rsidRPr="00CF0384">
        <w:rPr>
          <w:rStyle w:val="lev"/>
          <w:u w:val="single"/>
          <w:lang w:val="en-US"/>
        </w:rPr>
        <w:t>Methods </w:t>
      </w:r>
      <w:r w:rsidRPr="00CF0384">
        <w:rPr>
          <w:rStyle w:val="lev"/>
          <w:lang w:val="en-US"/>
        </w:rPr>
        <w:t>:</w:t>
      </w:r>
      <w:proofErr w:type="gramEnd"/>
      <w:r w:rsidRPr="00CF0384">
        <w:rPr>
          <w:rStyle w:val="lev"/>
          <w:b w:val="0"/>
          <w:bCs w:val="0"/>
          <w:lang w:val="en-US"/>
        </w:rPr>
        <w:t> </w:t>
      </w:r>
      <w:r w:rsidR="00890B13">
        <w:rPr>
          <w:rStyle w:val="lev"/>
          <w:b w:val="0"/>
          <w:bCs w:val="0"/>
          <w:lang w:val="en-US"/>
        </w:rPr>
        <w:t xml:space="preserve">We </w:t>
      </w:r>
      <w:r w:rsidRPr="00CF0384">
        <w:rPr>
          <w:rStyle w:val="lev"/>
          <w:b w:val="0"/>
          <w:bCs w:val="0"/>
          <w:lang w:val="en-US"/>
        </w:rPr>
        <w:t>carried out a r</w:t>
      </w:r>
      <w:r w:rsidRPr="00CF0384">
        <w:rPr>
          <w:lang w:val="en-US"/>
        </w:rPr>
        <w:t>etrospective cohort analysis using parametric and non-parametric models to assess TC incidence and temporal trends</w:t>
      </w:r>
      <w:r w:rsidR="00F42C91">
        <w:rPr>
          <w:lang w:val="en-US"/>
        </w:rPr>
        <w:t xml:space="preserve"> in the</w:t>
      </w:r>
      <w:r w:rsidR="00890B13">
        <w:rPr>
          <w:lang w:val="en-US"/>
        </w:rPr>
        <w:t xml:space="preserve"> district of Oran in </w:t>
      </w:r>
      <w:r w:rsidRPr="00CF0384">
        <w:rPr>
          <w:lang w:val="en-US"/>
        </w:rPr>
        <w:t xml:space="preserve">Algeria. Age-adjusted (to the world population) incidence rates (IRs) were calculated by gender, </w:t>
      </w:r>
      <w:r w:rsidR="006015CF">
        <w:rPr>
          <w:lang w:val="en-US"/>
        </w:rPr>
        <w:t xml:space="preserve">and </w:t>
      </w:r>
      <w:r w:rsidR="00CF0384">
        <w:rPr>
          <w:lang w:val="en-US"/>
        </w:rPr>
        <w:t xml:space="preserve">TC </w:t>
      </w:r>
      <w:proofErr w:type="spellStart"/>
      <w:r w:rsidRPr="00CF0384">
        <w:rPr>
          <w:lang w:val="en-US"/>
        </w:rPr>
        <w:t>histo</w:t>
      </w:r>
      <w:r w:rsidR="00CF0384">
        <w:rPr>
          <w:lang w:val="en-US"/>
        </w:rPr>
        <w:t>type</w:t>
      </w:r>
      <w:proofErr w:type="spellEnd"/>
      <w:r w:rsidRPr="00CF0384">
        <w:rPr>
          <w:lang w:val="en-US"/>
        </w:rPr>
        <w:t xml:space="preserve">. Annual IRs </w:t>
      </w:r>
      <w:proofErr w:type="gramStart"/>
      <w:r w:rsidRPr="00CF0384">
        <w:rPr>
          <w:lang w:val="en-US"/>
        </w:rPr>
        <w:t>were</w:t>
      </w:r>
      <w:proofErr w:type="gramEnd"/>
      <w:r w:rsidRPr="00CF0384">
        <w:rPr>
          <w:lang w:val="en-US"/>
        </w:rPr>
        <w:t xml:space="preserve"> computed and temporal trends in IRs </w:t>
      </w:r>
      <w:r w:rsidRPr="001614F9">
        <w:rPr>
          <w:rStyle w:val="Accentuation"/>
          <w:i w:val="0"/>
          <w:iCs w:val="0"/>
          <w:lang w:val="en-US"/>
        </w:rPr>
        <w:t>were</w:t>
      </w:r>
      <w:r w:rsidRPr="001614F9">
        <w:rPr>
          <w:i/>
          <w:iCs/>
          <w:lang w:val="en-US"/>
        </w:rPr>
        <w:t> </w:t>
      </w:r>
      <w:r w:rsidRPr="00CF0384">
        <w:rPr>
          <w:lang w:val="en-US"/>
        </w:rPr>
        <w:t>assessed by </w:t>
      </w:r>
      <w:r w:rsidRPr="001614F9">
        <w:rPr>
          <w:rStyle w:val="Accentuation"/>
          <w:i w:val="0"/>
          <w:iCs w:val="0"/>
          <w:lang w:val="en-US"/>
        </w:rPr>
        <w:t>calculating</w:t>
      </w:r>
      <w:r w:rsidRPr="001614F9">
        <w:rPr>
          <w:i/>
          <w:iCs/>
          <w:lang w:val="en-US"/>
        </w:rPr>
        <w:t> </w:t>
      </w:r>
      <w:r w:rsidRPr="00CF0384">
        <w:rPr>
          <w:lang w:val="en-US"/>
        </w:rPr>
        <w:t xml:space="preserve">the estimated annual percentage change (EAPC).  The </w:t>
      </w:r>
      <w:proofErr w:type="spellStart"/>
      <w:r w:rsidRPr="00CF0384">
        <w:rPr>
          <w:lang w:val="en-US"/>
        </w:rPr>
        <w:t>joinpoint</w:t>
      </w:r>
      <w:proofErr w:type="spellEnd"/>
      <w:r w:rsidRPr="00CF0384">
        <w:rPr>
          <w:lang w:val="en-US"/>
        </w:rPr>
        <w:t xml:space="preserve"> regression analysis was used to identify time points (in calendar years) where changes had occurred. We further analyzed </w:t>
      </w:r>
      <w:r w:rsidR="001B0457">
        <w:rPr>
          <w:lang w:val="en-US"/>
        </w:rPr>
        <w:t xml:space="preserve">both effects of the </w:t>
      </w:r>
      <w:r w:rsidRPr="00CF0384">
        <w:rPr>
          <w:lang w:val="en-US"/>
        </w:rPr>
        <w:t>period of diagnosis and birth cohort.      </w:t>
      </w:r>
    </w:p>
    <w:p w:rsidR="004B69BA" w:rsidRPr="006015CF" w:rsidRDefault="004B69BA" w:rsidP="00333DC2">
      <w:pPr>
        <w:pStyle w:val="PrformatHTML"/>
        <w:spacing w:before="12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006CEC">
        <w:rPr>
          <w:rStyle w:val="lev"/>
          <w:rFonts w:ascii="Times New Roman" w:hAnsi="Times New Roman" w:cs="Times New Roman"/>
          <w:sz w:val="24"/>
          <w:szCs w:val="24"/>
          <w:u w:val="single"/>
          <w:lang w:val="en-US"/>
        </w:rPr>
        <w:t>Results</w:t>
      </w:r>
      <w:r w:rsidRPr="00006CEC">
        <w:rPr>
          <w:rStyle w:val="lev"/>
          <w:rFonts w:ascii="Times New Roman" w:hAnsi="Times New Roman" w:cs="Times New Roman"/>
          <w:sz w:val="24"/>
          <w:szCs w:val="24"/>
          <w:lang w:val="en-US"/>
        </w:rPr>
        <w:t> :</w:t>
      </w:r>
      <w:proofErr w:type="gramEnd"/>
      <w:r w:rsidRPr="00CF0384">
        <w:rPr>
          <w:rStyle w:val="lev"/>
          <w:rFonts w:ascii="Times New Roman" w:hAnsi="Times New Roman" w:cs="Times New Roman"/>
          <w:b w:val="0"/>
          <w:bCs w:val="0"/>
          <w:sz w:val="24"/>
          <w:szCs w:val="24"/>
          <w:lang w:val="en-US"/>
        </w:rPr>
        <w:t xml:space="preserve"> Between </w:t>
      </w:r>
      <w:r w:rsidRPr="00CF0384">
        <w:rPr>
          <w:rFonts w:asciiTheme="majorBidi" w:hAnsiTheme="majorBidi" w:cstheme="majorBidi"/>
          <w:sz w:val="24"/>
          <w:szCs w:val="24"/>
          <w:lang w:val="en-US"/>
        </w:rPr>
        <w:t>1993 and 2013 TC incidence has more than tripled among women and men</w:t>
      </w:r>
      <w:r w:rsidR="00890B13">
        <w:rPr>
          <w:rFonts w:asciiTheme="majorBidi" w:hAnsiTheme="majorBidi" w:cstheme="majorBidi"/>
          <w:sz w:val="24"/>
          <w:szCs w:val="24"/>
          <w:lang w:val="en-US"/>
        </w:rPr>
        <w:t xml:space="preserve">. About </w:t>
      </w:r>
      <w:r w:rsidRPr="00CF0384">
        <w:rPr>
          <w:rFonts w:asciiTheme="majorBidi" w:hAnsiTheme="majorBidi" w:cstheme="majorBidi"/>
          <w:sz w:val="24"/>
          <w:szCs w:val="24"/>
          <w:lang w:val="en-US"/>
        </w:rPr>
        <w:t xml:space="preserve">90% of the increase </w:t>
      </w:r>
      <w:r w:rsidR="00890B13">
        <w:rPr>
          <w:rFonts w:asciiTheme="majorBidi" w:hAnsiTheme="majorBidi" w:cstheme="majorBidi"/>
          <w:sz w:val="24"/>
          <w:szCs w:val="24"/>
          <w:lang w:val="en-US"/>
        </w:rPr>
        <w:t xml:space="preserve">was </w:t>
      </w:r>
      <w:r w:rsidRPr="00CF0384">
        <w:rPr>
          <w:rFonts w:asciiTheme="majorBidi" w:hAnsiTheme="majorBidi" w:cstheme="majorBidi"/>
          <w:sz w:val="24"/>
          <w:szCs w:val="24"/>
          <w:lang w:val="en-US"/>
        </w:rPr>
        <w:t xml:space="preserve">driven by an increase in </w:t>
      </w:r>
      <w:r w:rsidR="00890B13">
        <w:rPr>
          <w:rFonts w:asciiTheme="majorBidi" w:hAnsiTheme="majorBidi" w:cstheme="majorBidi"/>
          <w:sz w:val="24"/>
          <w:szCs w:val="24"/>
          <w:lang w:val="en-US"/>
        </w:rPr>
        <w:t xml:space="preserve">the </w:t>
      </w:r>
      <w:r w:rsidRPr="00CF0384">
        <w:rPr>
          <w:rFonts w:asciiTheme="majorBidi" w:hAnsiTheme="majorBidi" w:cstheme="majorBidi"/>
          <w:sz w:val="24"/>
          <w:szCs w:val="24"/>
          <w:lang w:val="en-US"/>
        </w:rPr>
        <w:t>incidence of PTC</w:t>
      </w:r>
      <w:r w:rsidR="00890B13">
        <w:rPr>
          <w:rFonts w:asciiTheme="majorBidi" w:hAnsiTheme="majorBidi" w:cstheme="majorBidi"/>
          <w:sz w:val="24"/>
          <w:szCs w:val="24"/>
          <w:lang w:val="en-US"/>
        </w:rPr>
        <w:t xml:space="preserve">, while the incidence of </w:t>
      </w:r>
      <w:r w:rsidRPr="00CF0384">
        <w:rPr>
          <w:rFonts w:asciiTheme="majorBidi" w:hAnsiTheme="majorBidi" w:cstheme="majorBidi"/>
          <w:sz w:val="24"/>
          <w:szCs w:val="24"/>
          <w:lang w:val="en-US"/>
        </w:rPr>
        <w:t xml:space="preserve">the follicular </w:t>
      </w:r>
      <w:proofErr w:type="spellStart"/>
      <w:r w:rsidRPr="00CF0384">
        <w:rPr>
          <w:rFonts w:asciiTheme="majorBidi" w:hAnsiTheme="majorBidi" w:cstheme="majorBidi"/>
          <w:sz w:val="24"/>
          <w:szCs w:val="24"/>
          <w:lang w:val="en-US"/>
        </w:rPr>
        <w:t>histo</w:t>
      </w:r>
      <w:r w:rsidR="00E435D1">
        <w:rPr>
          <w:rFonts w:asciiTheme="majorBidi" w:hAnsiTheme="majorBidi" w:cstheme="majorBidi"/>
          <w:sz w:val="24"/>
          <w:szCs w:val="24"/>
          <w:lang w:val="en-US"/>
        </w:rPr>
        <w:t>type</w:t>
      </w:r>
      <w:proofErr w:type="spellEnd"/>
      <w:r w:rsidR="00890B13">
        <w:rPr>
          <w:rFonts w:asciiTheme="majorBidi" w:hAnsiTheme="majorBidi" w:cstheme="majorBidi"/>
          <w:sz w:val="24"/>
          <w:szCs w:val="24"/>
          <w:lang w:val="en-US"/>
        </w:rPr>
        <w:t xml:space="preserve"> significantly decreased </w:t>
      </w:r>
      <w:r w:rsidRPr="00CF0384">
        <w:rPr>
          <w:rFonts w:asciiTheme="majorBidi" w:hAnsiTheme="majorBidi" w:cstheme="majorBidi"/>
          <w:sz w:val="24"/>
          <w:szCs w:val="24"/>
          <w:lang w:val="en-US"/>
        </w:rPr>
        <w:t>(</w:t>
      </w:r>
      <w:proofErr w:type="gramStart"/>
      <w:r w:rsidRPr="00CF0384">
        <w:rPr>
          <w:rFonts w:asciiTheme="majorBidi" w:hAnsiTheme="majorBidi" w:cstheme="majorBidi"/>
          <w:sz w:val="24"/>
          <w:szCs w:val="24"/>
          <w:lang w:val="en-US"/>
        </w:rPr>
        <w:t>EAPC :</w:t>
      </w:r>
      <w:proofErr w:type="gramEnd"/>
      <w:r w:rsidRPr="00CF0384">
        <w:rPr>
          <w:rFonts w:asciiTheme="majorBidi" w:hAnsiTheme="majorBidi" w:cstheme="majorBidi"/>
          <w:sz w:val="24"/>
          <w:szCs w:val="24"/>
          <w:lang w:val="en-US"/>
        </w:rPr>
        <w:t xml:space="preserve"> -3,95% ; p&lt;0,05). A sharp increase in </w:t>
      </w:r>
      <w:r w:rsidR="00F42C91">
        <w:rPr>
          <w:rFonts w:asciiTheme="majorBidi" w:hAnsiTheme="majorBidi" w:cstheme="majorBidi"/>
          <w:sz w:val="24"/>
          <w:szCs w:val="24"/>
          <w:lang w:val="en-US"/>
        </w:rPr>
        <w:t>inciden</w:t>
      </w:r>
      <w:r w:rsidR="00333DC2">
        <w:rPr>
          <w:rFonts w:asciiTheme="majorBidi" w:hAnsiTheme="majorBidi" w:cstheme="majorBidi"/>
          <w:sz w:val="24"/>
          <w:szCs w:val="24"/>
          <w:lang w:val="en-US"/>
        </w:rPr>
        <w:t>c</w:t>
      </w:r>
      <w:r w:rsidR="00F42C91">
        <w:rPr>
          <w:rFonts w:asciiTheme="majorBidi" w:hAnsiTheme="majorBidi" w:cstheme="majorBidi"/>
          <w:sz w:val="24"/>
          <w:szCs w:val="24"/>
          <w:lang w:val="en-US"/>
        </w:rPr>
        <w:t xml:space="preserve">e of </w:t>
      </w:r>
      <w:r w:rsidRPr="00CF0384">
        <w:rPr>
          <w:rFonts w:asciiTheme="majorBidi" w:hAnsiTheme="majorBidi" w:cstheme="majorBidi"/>
          <w:sz w:val="24"/>
          <w:szCs w:val="24"/>
          <w:lang w:val="en-US"/>
        </w:rPr>
        <w:t>PTC starting in 2001 was observed among women and men</w:t>
      </w:r>
      <w:r w:rsidR="00E435D1">
        <w:rPr>
          <w:rFonts w:asciiTheme="majorBidi" w:hAnsiTheme="majorBidi" w:cstheme="majorBidi"/>
          <w:sz w:val="24"/>
          <w:szCs w:val="24"/>
          <w:lang w:val="en-US"/>
        </w:rPr>
        <w:t>. T</w:t>
      </w:r>
      <w:r w:rsidRPr="00CF0384">
        <w:rPr>
          <w:rFonts w:asciiTheme="majorBidi" w:hAnsiTheme="majorBidi" w:cstheme="majorBidi"/>
          <w:sz w:val="24"/>
          <w:szCs w:val="24"/>
          <w:lang w:val="en-US"/>
        </w:rPr>
        <w:t>h</w:t>
      </w:r>
      <w:r w:rsidR="00F42C91">
        <w:rPr>
          <w:rFonts w:asciiTheme="majorBidi" w:hAnsiTheme="majorBidi" w:cstheme="majorBidi"/>
          <w:sz w:val="24"/>
          <w:szCs w:val="24"/>
          <w:lang w:val="en-US"/>
        </w:rPr>
        <w:t>is</w:t>
      </w:r>
      <w:r w:rsidRPr="00CF0384">
        <w:rPr>
          <w:rFonts w:asciiTheme="majorBidi" w:hAnsiTheme="majorBidi" w:cstheme="majorBidi"/>
          <w:sz w:val="24"/>
          <w:szCs w:val="24"/>
          <w:lang w:val="en-US"/>
        </w:rPr>
        <w:t xml:space="preserve"> increase was significant </w:t>
      </w:r>
      <w:r w:rsidR="00F42C91">
        <w:rPr>
          <w:rFonts w:asciiTheme="majorBidi" w:hAnsiTheme="majorBidi" w:cstheme="majorBidi"/>
          <w:sz w:val="24"/>
          <w:szCs w:val="24"/>
          <w:lang w:val="en-US"/>
        </w:rPr>
        <w:t xml:space="preserve">for </w:t>
      </w:r>
      <w:r w:rsidRPr="00CF0384">
        <w:rPr>
          <w:rFonts w:asciiTheme="majorBidi" w:hAnsiTheme="majorBidi" w:cstheme="majorBidi"/>
          <w:sz w:val="24"/>
          <w:szCs w:val="24"/>
          <w:lang w:val="en-US"/>
        </w:rPr>
        <w:t xml:space="preserve">cohorts born in 1960 onward </w:t>
      </w:r>
      <w:r w:rsidR="00890B13">
        <w:rPr>
          <w:rFonts w:asciiTheme="majorBidi" w:hAnsiTheme="majorBidi" w:cstheme="majorBidi"/>
          <w:sz w:val="24"/>
          <w:szCs w:val="24"/>
          <w:lang w:val="en-US"/>
        </w:rPr>
        <w:t xml:space="preserve">with the highest rates observed for individuals of the cohort born in the 1980s. </w:t>
      </w:r>
      <w:r w:rsidRPr="00CF0384">
        <w:rPr>
          <w:rFonts w:asciiTheme="majorBidi" w:hAnsiTheme="majorBidi" w:cstheme="majorBidi"/>
          <w:sz w:val="24"/>
          <w:szCs w:val="24"/>
          <w:lang w:val="en-US"/>
        </w:rPr>
        <w:t xml:space="preserve">   </w:t>
      </w:r>
    </w:p>
    <w:p w:rsidR="00EF1B59" w:rsidRDefault="00EF1B59" w:rsidP="003D5C36">
      <w:pPr>
        <w:autoSpaceDE w:val="0"/>
        <w:autoSpaceDN w:val="0"/>
        <w:adjustRightInd w:val="0"/>
        <w:spacing w:before="120" w:after="0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F16701">
        <w:rPr>
          <w:rFonts w:asciiTheme="majorBidi" w:hAnsiTheme="majorBidi" w:cstheme="majorBidi"/>
          <w:b/>
          <w:bCs/>
          <w:sz w:val="24"/>
          <w:szCs w:val="24"/>
          <w:lang w:val="en-US"/>
        </w:rPr>
        <w:t>Conclusion:</w:t>
      </w:r>
      <w:r w:rsidRPr="00F16701">
        <w:rPr>
          <w:rFonts w:asciiTheme="majorBidi" w:hAnsiTheme="majorBidi" w:cstheme="majorBidi"/>
          <w:sz w:val="24"/>
          <w:szCs w:val="24"/>
          <w:lang w:val="en-US"/>
        </w:rPr>
        <w:t xml:space="preserve"> While the strong period effect in both sexes strongly suggest the role of 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iodine supplementation and </w:t>
      </w:r>
      <w:r w:rsidRPr="00F16701">
        <w:rPr>
          <w:rFonts w:asciiTheme="majorBidi" w:hAnsiTheme="majorBidi" w:cstheme="majorBidi"/>
          <w:sz w:val="24"/>
          <w:szCs w:val="24"/>
          <w:lang w:val="en-US"/>
        </w:rPr>
        <w:t>medical practices, the birth cohort</w:t>
      </w:r>
      <w:r>
        <w:rPr>
          <w:rFonts w:asciiTheme="majorBidi" w:hAnsiTheme="majorBidi" w:cstheme="majorBidi"/>
          <w:sz w:val="24"/>
          <w:szCs w:val="24"/>
          <w:lang w:val="en-US"/>
        </w:rPr>
        <w:t>-</w:t>
      </w:r>
      <w:r w:rsidRPr="00F16701">
        <w:rPr>
          <w:rFonts w:asciiTheme="majorBidi" w:hAnsiTheme="majorBidi" w:cstheme="majorBidi"/>
          <w:sz w:val="24"/>
          <w:szCs w:val="24"/>
          <w:lang w:val="en-US"/>
        </w:rPr>
        <w:t xml:space="preserve">related changes in environmental exposures and lifestyle habits 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may </w:t>
      </w:r>
      <w:r w:rsidRPr="00F16701">
        <w:rPr>
          <w:rFonts w:asciiTheme="majorBidi" w:hAnsiTheme="majorBidi" w:cstheme="majorBidi"/>
          <w:sz w:val="24"/>
          <w:szCs w:val="24"/>
          <w:lang w:val="en-US"/>
        </w:rPr>
        <w:t>have contributed to the observed increase in PTC during the past two decades in Oran.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3D5C36">
        <w:rPr>
          <w:rFonts w:asciiTheme="majorBidi" w:hAnsiTheme="majorBidi" w:cstheme="majorBidi"/>
          <w:sz w:val="24"/>
          <w:szCs w:val="24"/>
          <w:lang w:val="en-US"/>
        </w:rPr>
        <w:t xml:space="preserve">The effects of exposure to 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ionizing radiation </w:t>
      </w:r>
      <w:r w:rsidR="003D5C36">
        <w:rPr>
          <w:rFonts w:asciiTheme="majorBidi" w:hAnsiTheme="majorBidi" w:cstheme="majorBidi"/>
          <w:sz w:val="24"/>
          <w:szCs w:val="24"/>
          <w:lang w:val="en-US"/>
        </w:rPr>
        <w:t xml:space="preserve">from nuclear tests </w:t>
      </w:r>
      <w:r>
        <w:rPr>
          <w:rFonts w:asciiTheme="majorBidi" w:hAnsiTheme="majorBidi" w:cstheme="majorBidi"/>
          <w:sz w:val="24"/>
          <w:szCs w:val="24"/>
          <w:lang w:val="en-US"/>
        </w:rPr>
        <w:lastRenderedPageBreak/>
        <w:t>should have been maximal on coh</w:t>
      </w:r>
      <w:r w:rsidR="003D5C36">
        <w:rPr>
          <w:rFonts w:asciiTheme="majorBidi" w:hAnsiTheme="majorBidi" w:cstheme="majorBidi"/>
          <w:sz w:val="24"/>
          <w:szCs w:val="24"/>
          <w:lang w:val="en-US"/>
        </w:rPr>
        <w:t>orts born during the period 1940</w:t>
      </w:r>
      <w:r>
        <w:rPr>
          <w:rFonts w:asciiTheme="majorBidi" w:hAnsiTheme="majorBidi" w:cstheme="majorBidi"/>
          <w:sz w:val="24"/>
          <w:szCs w:val="24"/>
          <w:lang w:val="en-US"/>
        </w:rPr>
        <w:t>-1960. However for PTC we observed an increased risk for cohorts born after 1960, with an acceleration noted for cohorts born in the mid- and late 1980s.</w:t>
      </w:r>
      <w:r w:rsidR="00564FAF">
        <w:rPr>
          <w:rFonts w:asciiTheme="majorBidi" w:hAnsiTheme="majorBidi" w:cstheme="majorBidi"/>
          <w:sz w:val="24"/>
          <w:szCs w:val="24"/>
          <w:lang w:val="en-US"/>
        </w:rPr>
        <w:t xml:space="preserve"> Increased over</w:t>
      </w:r>
      <w:r w:rsidR="003D5C36">
        <w:rPr>
          <w:rFonts w:asciiTheme="majorBidi" w:hAnsiTheme="majorBidi" w:cstheme="majorBidi"/>
          <w:sz w:val="24"/>
          <w:szCs w:val="24"/>
          <w:lang w:val="en-US"/>
        </w:rPr>
        <w:t>-</w:t>
      </w:r>
      <w:r w:rsidR="00564FAF">
        <w:rPr>
          <w:rFonts w:asciiTheme="majorBidi" w:hAnsiTheme="majorBidi" w:cstheme="majorBidi"/>
          <w:sz w:val="24"/>
          <w:szCs w:val="24"/>
          <w:lang w:val="en-US"/>
        </w:rPr>
        <w:t>use of imaging in medicine is one of the important issues believed to affect the increased epidemic of PTC</w:t>
      </w:r>
      <w:r w:rsidR="003D5C36">
        <w:rPr>
          <w:rFonts w:asciiTheme="majorBidi" w:hAnsiTheme="majorBidi" w:cstheme="majorBidi"/>
          <w:sz w:val="24"/>
          <w:szCs w:val="24"/>
          <w:lang w:val="en-US"/>
        </w:rPr>
        <w:t xml:space="preserve">. </w:t>
      </w:r>
      <w:r w:rsidR="00564FAF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  </w:t>
      </w:r>
    </w:p>
    <w:p w:rsidR="004B69BA" w:rsidRPr="00CF0384" w:rsidRDefault="004B69BA" w:rsidP="006C2F10">
      <w:pPr>
        <w:spacing w:before="240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E25BE2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Key </w:t>
      </w:r>
      <w:proofErr w:type="gramStart"/>
      <w:r w:rsidRPr="00E25BE2">
        <w:rPr>
          <w:rFonts w:asciiTheme="majorBidi" w:hAnsiTheme="majorBidi" w:cstheme="majorBidi"/>
          <w:b/>
          <w:bCs/>
          <w:sz w:val="24"/>
          <w:szCs w:val="24"/>
          <w:lang w:val="en-US"/>
        </w:rPr>
        <w:t>words :</w:t>
      </w:r>
      <w:proofErr w:type="gramEnd"/>
      <w:r w:rsidRPr="00CF0384">
        <w:rPr>
          <w:rFonts w:asciiTheme="majorBidi" w:hAnsiTheme="majorBidi" w:cstheme="majorBidi"/>
          <w:sz w:val="24"/>
          <w:szCs w:val="24"/>
          <w:lang w:val="en-US"/>
        </w:rPr>
        <w:t xml:space="preserve"> Thyroid cancer ; incidence rate ; </w:t>
      </w:r>
      <w:r w:rsidR="006C2F10">
        <w:rPr>
          <w:rFonts w:asciiTheme="majorBidi" w:hAnsiTheme="majorBidi" w:cstheme="majorBidi"/>
          <w:sz w:val="24"/>
          <w:szCs w:val="24"/>
          <w:lang w:val="en-US"/>
        </w:rPr>
        <w:t xml:space="preserve">thyroid cancer </w:t>
      </w:r>
      <w:proofErr w:type="spellStart"/>
      <w:r w:rsidRPr="00CF0384">
        <w:rPr>
          <w:rFonts w:asciiTheme="majorBidi" w:hAnsiTheme="majorBidi" w:cstheme="majorBidi"/>
          <w:sz w:val="24"/>
          <w:szCs w:val="24"/>
          <w:lang w:val="en-US"/>
        </w:rPr>
        <w:t>histo</w:t>
      </w:r>
      <w:r w:rsidR="006C2F10">
        <w:rPr>
          <w:rFonts w:asciiTheme="majorBidi" w:hAnsiTheme="majorBidi" w:cstheme="majorBidi"/>
          <w:sz w:val="24"/>
          <w:szCs w:val="24"/>
          <w:lang w:val="en-US"/>
        </w:rPr>
        <w:t>type</w:t>
      </w:r>
      <w:proofErr w:type="spellEnd"/>
      <w:r w:rsidRPr="00CF0384">
        <w:rPr>
          <w:rFonts w:asciiTheme="majorBidi" w:hAnsiTheme="majorBidi" w:cstheme="majorBidi"/>
          <w:sz w:val="24"/>
          <w:szCs w:val="24"/>
          <w:lang w:val="en-US"/>
        </w:rPr>
        <w:t xml:space="preserve"> ; Estimated Annual Percent Change </w:t>
      </w:r>
    </w:p>
    <w:p w:rsidR="0098423E" w:rsidRPr="004B69BA" w:rsidRDefault="00333DC2">
      <w:pPr>
        <w:rPr>
          <w:lang w:val="en-US"/>
        </w:rPr>
      </w:pPr>
    </w:p>
    <w:sectPr w:rsidR="0098423E" w:rsidRPr="004B69BA" w:rsidSect="00EC3F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4B69BA"/>
    <w:rsid w:val="00006CEC"/>
    <w:rsid w:val="001614F9"/>
    <w:rsid w:val="001678D4"/>
    <w:rsid w:val="001933A1"/>
    <w:rsid w:val="001956D7"/>
    <w:rsid w:val="001B0457"/>
    <w:rsid w:val="001D3716"/>
    <w:rsid w:val="00215A2B"/>
    <w:rsid w:val="00265884"/>
    <w:rsid w:val="00295524"/>
    <w:rsid w:val="002E0F9F"/>
    <w:rsid w:val="00333CBA"/>
    <w:rsid w:val="00333DC2"/>
    <w:rsid w:val="003D256E"/>
    <w:rsid w:val="003D5C36"/>
    <w:rsid w:val="004A03FC"/>
    <w:rsid w:val="004A049D"/>
    <w:rsid w:val="004B69BA"/>
    <w:rsid w:val="00557F0F"/>
    <w:rsid w:val="00564FAF"/>
    <w:rsid w:val="006015CF"/>
    <w:rsid w:val="006C2F10"/>
    <w:rsid w:val="006E20BA"/>
    <w:rsid w:val="007A5518"/>
    <w:rsid w:val="00874CCF"/>
    <w:rsid w:val="00876330"/>
    <w:rsid w:val="00890B13"/>
    <w:rsid w:val="008916AC"/>
    <w:rsid w:val="008D20A0"/>
    <w:rsid w:val="008F2BDB"/>
    <w:rsid w:val="009922F6"/>
    <w:rsid w:val="009B529A"/>
    <w:rsid w:val="00A016F7"/>
    <w:rsid w:val="00A4545B"/>
    <w:rsid w:val="00AA79AB"/>
    <w:rsid w:val="00AC2BA2"/>
    <w:rsid w:val="00C44B0A"/>
    <w:rsid w:val="00C71D51"/>
    <w:rsid w:val="00CB7F4D"/>
    <w:rsid w:val="00CD4497"/>
    <w:rsid w:val="00CE352F"/>
    <w:rsid w:val="00CE6260"/>
    <w:rsid w:val="00CF0384"/>
    <w:rsid w:val="00D41ACF"/>
    <w:rsid w:val="00DE3982"/>
    <w:rsid w:val="00E25BE2"/>
    <w:rsid w:val="00E435D1"/>
    <w:rsid w:val="00E74FE0"/>
    <w:rsid w:val="00EC3F1A"/>
    <w:rsid w:val="00EF1B59"/>
    <w:rsid w:val="00F124A8"/>
    <w:rsid w:val="00F26759"/>
    <w:rsid w:val="00F42C91"/>
    <w:rsid w:val="00F946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69B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Accentuation">
    <w:name w:val="Emphasis"/>
    <w:basedOn w:val="Policepardfaut"/>
    <w:uiPriority w:val="20"/>
    <w:qFormat/>
    <w:rsid w:val="004B69BA"/>
    <w:rPr>
      <w:i/>
      <w:iCs/>
    </w:rPr>
  </w:style>
  <w:style w:type="paragraph" w:styleId="PrformatHTML">
    <w:name w:val="HTML Preformatted"/>
    <w:basedOn w:val="Normal"/>
    <w:link w:val="PrformatHTMLCar"/>
    <w:uiPriority w:val="99"/>
    <w:unhideWhenUsed/>
    <w:rsid w:val="004B69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rsid w:val="004B69BA"/>
    <w:rPr>
      <w:rFonts w:ascii="Courier New" w:eastAsia="Times New Roman" w:hAnsi="Courier New" w:cs="Courier New"/>
      <w:sz w:val="20"/>
      <w:szCs w:val="20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4B69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4B69B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</Pages>
  <Words>491</Words>
  <Characters>2704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66</cp:revision>
  <dcterms:created xsi:type="dcterms:W3CDTF">2019-10-29T09:38:00Z</dcterms:created>
  <dcterms:modified xsi:type="dcterms:W3CDTF">2019-10-31T04:43:00Z</dcterms:modified>
</cp:coreProperties>
</file>