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782" w:rsidRPr="00997ACA" w:rsidRDefault="00A85782" w:rsidP="00997ACA">
      <w:pPr>
        <w:autoSpaceDE w:val="0"/>
        <w:autoSpaceDN w:val="0"/>
        <w:adjustRightInd w:val="0"/>
        <w:spacing w:after="0" w:line="240" w:lineRule="auto"/>
        <w:rPr>
          <w:rFonts w:asciiTheme="majorBidi" w:hAnsiTheme="majorBidi" w:cstheme="majorBidi"/>
          <w:b/>
          <w:bCs/>
          <w:sz w:val="24"/>
          <w:szCs w:val="24"/>
        </w:rPr>
      </w:pPr>
      <w:r w:rsidRPr="00997ACA">
        <w:rPr>
          <w:rFonts w:asciiTheme="majorBidi" w:hAnsiTheme="majorBidi" w:cstheme="majorBidi"/>
          <w:b/>
          <w:bCs/>
          <w:sz w:val="24"/>
          <w:szCs w:val="24"/>
        </w:rPr>
        <w:t xml:space="preserve">Pooled prevalence of non-typhoidal </w:t>
      </w:r>
      <w:r w:rsidRPr="00997ACA">
        <w:rPr>
          <w:rFonts w:asciiTheme="majorBidi" w:hAnsiTheme="majorBidi" w:cstheme="majorBidi"/>
          <w:b/>
          <w:bCs/>
          <w:i/>
          <w:iCs/>
          <w:sz w:val="24"/>
          <w:szCs w:val="24"/>
        </w:rPr>
        <w:t xml:space="preserve">Salmonella </w:t>
      </w:r>
      <w:proofErr w:type="spellStart"/>
      <w:r w:rsidRPr="00997ACA">
        <w:rPr>
          <w:rFonts w:asciiTheme="majorBidi" w:hAnsiTheme="majorBidi" w:cstheme="majorBidi"/>
          <w:b/>
          <w:bCs/>
          <w:sz w:val="24"/>
          <w:szCs w:val="24"/>
        </w:rPr>
        <w:t>enterica</w:t>
      </w:r>
      <w:proofErr w:type="spellEnd"/>
      <w:r w:rsidRPr="00997ACA">
        <w:rPr>
          <w:rFonts w:asciiTheme="majorBidi" w:hAnsiTheme="majorBidi" w:cstheme="majorBidi"/>
          <w:b/>
          <w:bCs/>
          <w:sz w:val="24"/>
          <w:szCs w:val="24"/>
        </w:rPr>
        <w:t xml:space="preserve"> in food in the Middle East and North Africa: a systematic review and meta-analysis </w:t>
      </w:r>
    </w:p>
    <w:p w:rsidR="008A34D2" w:rsidRPr="00997ACA" w:rsidRDefault="008A34D2" w:rsidP="00997ACA">
      <w:pPr>
        <w:autoSpaceDE w:val="0"/>
        <w:autoSpaceDN w:val="0"/>
        <w:adjustRightInd w:val="0"/>
        <w:spacing w:after="0" w:line="240" w:lineRule="auto"/>
        <w:rPr>
          <w:rFonts w:asciiTheme="majorBidi" w:hAnsiTheme="majorBidi" w:cstheme="majorBidi"/>
          <w:sz w:val="24"/>
          <w:szCs w:val="24"/>
        </w:rPr>
      </w:pPr>
    </w:p>
    <w:p w:rsidR="008A34D2" w:rsidRPr="00997ACA" w:rsidRDefault="008A34D2" w:rsidP="00997ACA">
      <w:pPr>
        <w:autoSpaceDE w:val="0"/>
        <w:autoSpaceDN w:val="0"/>
        <w:adjustRightInd w:val="0"/>
        <w:spacing w:after="0" w:line="240" w:lineRule="auto"/>
        <w:rPr>
          <w:rFonts w:asciiTheme="majorBidi" w:hAnsiTheme="majorBidi" w:cstheme="majorBidi"/>
          <w:sz w:val="24"/>
          <w:szCs w:val="24"/>
          <w:vertAlign w:val="superscript"/>
        </w:rPr>
      </w:pPr>
      <w:r w:rsidRPr="00997ACA">
        <w:rPr>
          <w:rFonts w:asciiTheme="majorBidi" w:hAnsiTheme="majorBidi" w:cstheme="majorBidi"/>
          <w:sz w:val="24"/>
          <w:szCs w:val="24"/>
        </w:rPr>
        <w:t>Rami H. Al-Rifai</w:t>
      </w:r>
      <w:r w:rsidRPr="00997ACA">
        <w:rPr>
          <w:rFonts w:asciiTheme="majorBidi" w:hAnsiTheme="majorBidi" w:cstheme="majorBidi"/>
          <w:iCs/>
          <w:sz w:val="24"/>
          <w:szCs w:val="24"/>
          <w:vertAlign w:val="superscript"/>
        </w:rPr>
        <w:t>1</w:t>
      </w:r>
      <w:r w:rsidRPr="00997ACA">
        <w:rPr>
          <w:rFonts w:asciiTheme="majorBidi" w:hAnsiTheme="majorBidi" w:cstheme="majorBidi"/>
          <w:sz w:val="24"/>
          <w:szCs w:val="24"/>
        </w:rPr>
        <w:t xml:space="preserve">, </w:t>
      </w:r>
      <w:proofErr w:type="spellStart"/>
      <w:r w:rsidRPr="00997ACA">
        <w:rPr>
          <w:rFonts w:asciiTheme="majorBidi" w:hAnsiTheme="majorBidi" w:cstheme="majorBidi"/>
          <w:sz w:val="24"/>
          <w:szCs w:val="24"/>
        </w:rPr>
        <w:t>Karima</w:t>
      </w:r>
      <w:proofErr w:type="spellEnd"/>
      <w:r w:rsidRPr="00997ACA">
        <w:rPr>
          <w:rFonts w:asciiTheme="majorBidi" w:hAnsiTheme="majorBidi" w:cstheme="majorBidi"/>
          <w:sz w:val="24"/>
          <w:szCs w:val="24"/>
        </w:rPr>
        <w:t xml:space="preserve"> Chaabna</w:t>
      </w:r>
      <w:r w:rsidRPr="00997ACA">
        <w:rPr>
          <w:rFonts w:asciiTheme="majorBidi" w:hAnsiTheme="majorBidi" w:cstheme="majorBidi"/>
          <w:sz w:val="24"/>
          <w:szCs w:val="24"/>
          <w:vertAlign w:val="superscript"/>
        </w:rPr>
        <w:t>2</w:t>
      </w:r>
      <w:r w:rsidRPr="00997ACA">
        <w:rPr>
          <w:rFonts w:asciiTheme="majorBidi" w:hAnsiTheme="majorBidi" w:cstheme="majorBidi"/>
          <w:sz w:val="24"/>
          <w:szCs w:val="24"/>
        </w:rPr>
        <w:t>, Thomas Denagamage</w:t>
      </w:r>
      <w:r w:rsidRPr="00997ACA">
        <w:rPr>
          <w:rFonts w:asciiTheme="majorBidi" w:hAnsiTheme="majorBidi" w:cstheme="majorBidi"/>
          <w:sz w:val="24"/>
          <w:szCs w:val="24"/>
          <w:vertAlign w:val="superscript"/>
        </w:rPr>
        <w:t>3</w:t>
      </w:r>
      <w:r w:rsidRPr="00997ACA">
        <w:rPr>
          <w:rFonts w:asciiTheme="majorBidi" w:hAnsiTheme="majorBidi" w:cstheme="majorBidi"/>
          <w:sz w:val="24"/>
          <w:szCs w:val="24"/>
        </w:rPr>
        <w:t>, and Walid Q. Alali</w:t>
      </w:r>
      <w:r w:rsidRPr="00997ACA">
        <w:rPr>
          <w:rFonts w:asciiTheme="majorBidi" w:hAnsiTheme="majorBidi" w:cstheme="majorBidi"/>
          <w:sz w:val="24"/>
          <w:szCs w:val="24"/>
          <w:vertAlign w:val="superscript"/>
        </w:rPr>
        <w:t>4</w:t>
      </w:r>
    </w:p>
    <w:p w:rsidR="008A34D2" w:rsidRPr="00997ACA" w:rsidRDefault="008A34D2" w:rsidP="00997ACA">
      <w:pPr>
        <w:autoSpaceDE w:val="0"/>
        <w:autoSpaceDN w:val="0"/>
        <w:adjustRightInd w:val="0"/>
        <w:spacing w:after="0" w:line="240" w:lineRule="auto"/>
        <w:rPr>
          <w:rFonts w:asciiTheme="majorBidi" w:hAnsiTheme="majorBidi" w:cstheme="majorBidi"/>
          <w:sz w:val="24"/>
          <w:szCs w:val="24"/>
        </w:rPr>
      </w:pPr>
    </w:p>
    <w:p w:rsidR="00565A0F" w:rsidRPr="00895D8A" w:rsidRDefault="00565A0F" w:rsidP="00997ACA">
      <w:pPr>
        <w:pStyle w:val="aff"/>
        <w:spacing w:after="0" w:line="240" w:lineRule="auto"/>
        <w:ind w:left="284" w:hanging="284"/>
        <w:rPr>
          <w:rFonts w:asciiTheme="majorBidi" w:hAnsiTheme="majorBidi" w:cstheme="majorBidi"/>
          <w:snapToGrid w:val="0"/>
          <w:sz w:val="20"/>
          <w:lang w:val="en-US"/>
        </w:rPr>
      </w:pPr>
      <w:proofErr w:type="gramStart"/>
      <w:r w:rsidRPr="00895D8A">
        <w:rPr>
          <w:rFonts w:asciiTheme="majorBidi" w:hAnsiTheme="majorBidi" w:cstheme="majorBidi"/>
          <w:i w:val="0"/>
          <w:iCs/>
          <w:sz w:val="20"/>
          <w:vertAlign w:val="superscript"/>
          <w:lang w:val="en-US"/>
        </w:rPr>
        <w:t>1</w:t>
      </w:r>
      <w:proofErr w:type="gramEnd"/>
      <w:r w:rsidR="00C17BF3" w:rsidRPr="00895D8A">
        <w:rPr>
          <w:rFonts w:asciiTheme="majorBidi" w:hAnsiTheme="majorBidi" w:cstheme="majorBidi"/>
          <w:i w:val="0"/>
          <w:iCs/>
          <w:sz w:val="20"/>
          <w:vertAlign w:val="superscript"/>
          <w:lang w:val="en-US"/>
        </w:rPr>
        <w:t xml:space="preserve"> </w:t>
      </w:r>
      <w:r w:rsidRPr="00895D8A">
        <w:rPr>
          <w:rFonts w:asciiTheme="majorBidi" w:hAnsiTheme="majorBidi" w:cstheme="majorBidi"/>
          <w:sz w:val="20"/>
          <w:shd w:val="clear" w:color="auto" w:fill="FFFFFF"/>
        </w:rPr>
        <w:t xml:space="preserve">Institute of Public Health, College of Medicine and Health Sciences, United Arab Emirates University, </w:t>
      </w:r>
      <w:r w:rsidRPr="00895D8A">
        <w:rPr>
          <w:rFonts w:asciiTheme="majorBidi" w:hAnsiTheme="majorBidi" w:cstheme="majorBidi"/>
          <w:sz w:val="20"/>
        </w:rPr>
        <w:t>Al-Ain, United Arab Emirates</w:t>
      </w:r>
    </w:p>
    <w:p w:rsidR="00565A0F" w:rsidRPr="00895D8A" w:rsidRDefault="00565A0F" w:rsidP="00997ACA">
      <w:pPr>
        <w:pStyle w:val="aff"/>
        <w:spacing w:after="0" w:line="240" w:lineRule="auto"/>
        <w:ind w:left="284" w:hanging="284"/>
        <w:rPr>
          <w:rFonts w:asciiTheme="majorBidi" w:hAnsiTheme="majorBidi" w:cstheme="majorBidi"/>
          <w:sz w:val="20"/>
          <w:vertAlign w:val="superscript"/>
        </w:rPr>
      </w:pPr>
      <w:proofErr w:type="gramStart"/>
      <w:r w:rsidRPr="00895D8A">
        <w:rPr>
          <w:rFonts w:asciiTheme="majorBidi" w:hAnsiTheme="majorBidi" w:cstheme="majorBidi"/>
          <w:sz w:val="20"/>
          <w:vertAlign w:val="superscript"/>
        </w:rPr>
        <w:t>2</w:t>
      </w:r>
      <w:proofErr w:type="gramEnd"/>
      <w:r w:rsidR="00C17BF3" w:rsidRPr="00895D8A">
        <w:rPr>
          <w:rFonts w:asciiTheme="majorBidi" w:hAnsiTheme="majorBidi" w:cstheme="majorBidi"/>
          <w:sz w:val="20"/>
          <w:vertAlign w:val="superscript"/>
        </w:rPr>
        <w:t xml:space="preserve"> </w:t>
      </w:r>
      <w:r w:rsidRPr="00895D8A">
        <w:rPr>
          <w:rFonts w:asciiTheme="majorBidi" w:hAnsiTheme="majorBidi" w:cstheme="majorBidi"/>
          <w:sz w:val="20"/>
          <w:shd w:val="clear" w:color="auto" w:fill="FFFFFF"/>
        </w:rPr>
        <w:t>Institute for Population Health, Weill Cornell Medicine-Qatar, Doha, Qatar</w:t>
      </w:r>
    </w:p>
    <w:p w:rsidR="00565A0F" w:rsidRPr="00895D8A" w:rsidRDefault="00565A0F" w:rsidP="00997ACA">
      <w:pPr>
        <w:pStyle w:val="aff"/>
        <w:spacing w:after="0" w:line="240" w:lineRule="auto"/>
        <w:ind w:left="284" w:hanging="284"/>
        <w:rPr>
          <w:rFonts w:asciiTheme="majorBidi" w:hAnsiTheme="majorBidi" w:cstheme="majorBidi"/>
          <w:sz w:val="20"/>
          <w:shd w:val="clear" w:color="auto" w:fill="FFFFFF"/>
        </w:rPr>
      </w:pPr>
      <w:r w:rsidRPr="00895D8A">
        <w:rPr>
          <w:rFonts w:asciiTheme="majorBidi" w:hAnsiTheme="majorBidi" w:cstheme="majorBidi"/>
          <w:sz w:val="20"/>
          <w:shd w:val="clear" w:color="auto" w:fill="FFFFFF"/>
          <w:vertAlign w:val="superscript"/>
        </w:rPr>
        <w:t>3</w:t>
      </w:r>
      <w:r w:rsidR="00C17BF3" w:rsidRPr="00895D8A">
        <w:rPr>
          <w:rFonts w:asciiTheme="majorBidi" w:hAnsiTheme="majorBidi" w:cstheme="majorBidi"/>
          <w:sz w:val="20"/>
          <w:shd w:val="clear" w:color="auto" w:fill="FFFFFF"/>
          <w:vertAlign w:val="superscript"/>
        </w:rPr>
        <w:t xml:space="preserve"> </w:t>
      </w:r>
      <w:r w:rsidRPr="00895D8A">
        <w:rPr>
          <w:rFonts w:asciiTheme="majorBidi" w:hAnsiTheme="majorBidi" w:cstheme="majorBidi"/>
          <w:sz w:val="20"/>
          <w:shd w:val="clear" w:color="auto" w:fill="FFFFFF"/>
        </w:rPr>
        <w:t>Department of Large Animal Clinical Sciences, College of Veterinary Medicine, University of Florida, United States of America</w:t>
      </w:r>
    </w:p>
    <w:p w:rsidR="00565A0F" w:rsidRPr="00895D8A" w:rsidRDefault="00565A0F" w:rsidP="00997ACA">
      <w:pPr>
        <w:pStyle w:val="aff"/>
        <w:spacing w:after="0" w:line="240" w:lineRule="auto"/>
        <w:ind w:left="284" w:hanging="284"/>
        <w:rPr>
          <w:rFonts w:asciiTheme="majorBidi" w:hAnsiTheme="majorBidi" w:cstheme="majorBidi"/>
          <w:sz w:val="20"/>
          <w:shd w:val="clear" w:color="auto" w:fill="FFFFFF"/>
        </w:rPr>
      </w:pPr>
      <w:proofErr w:type="gramStart"/>
      <w:r w:rsidRPr="00895D8A">
        <w:rPr>
          <w:rFonts w:asciiTheme="majorBidi" w:hAnsiTheme="majorBidi" w:cstheme="majorBidi"/>
          <w:sz w:val="20"/>
          <w:vertAlign w:val="superscript"/>
        </w:rPr>
        <w:t>4</w:t>
      </w:r>
      <w:proofErr w:type="gramEnd"/>
      <w:r w:rsidR="00C17BF3" w:rsidRPr="00895D8A">
        <w:rPr>
          <w:rFonts w:asciiTheme="majorBidi" w:hAnsiTheme="majorBidi" w:cstheme="majorBidi"/>
          <w:sz w:val="20"/>
          <w:vertAlign w:val="superscript"/>
        </w:rPr>
        <w:t xml:space="preserve"> </w:t>
      </w:r>
      <w:r w:rsidRPr="00895D8A">
        <w:rPr>
          <w:rFonts w:asciiTheme="majorBidi" w:hAnsiTheme="majorBidi" w:cstheme="majorBidi"/>
          <w:sz w:val="20"/>
          <w:shd w:val="clear" w:color="auto" w:fill="FFFFFF"/>
        </w:rPr>
        <w:t xml:space="preserve">Department of Epidemiology and Biostatistics, Faculty of Public Health, Kuwait University, </w:t>
      </w:r>
      <w:proofErr w:type="spellStart"/>
      <w:r w:rsidRPr="00895D8A">
        <w:rPr>
          <w:rFonts w:asciiTheme="majorBidi" w:hAnsiTheme="majorBidi" w:cstheme="majorBidi"/>
          <w:sz w:val="20"/>
          <w:shd w:val="clear" w:color="auto" w:fill="FFFFFF"/>
        </w:rPr>
        <w:t>Safat</w:t>
      </w:r>
      <w:proofErr w:type="spellEnd"/>
      <w:r w:rsidRPr="00895D8A">
        <w:rPr>
          <w:rFonts w:asciiTheme="majorBidi" w:hAnsiTheme="majorBidi" w:cstheme="majorBidi"/>
          <w:sz w:val="20"/>
          <w:shd w:val="clear" w:color="auto" w:fill="FFFFFF"/>
        </w:rPr>
        <w:t>, Kuwait</w:t>
      </w:r>
    </w:p>
    <w:p w:rsidR="00565A0F" w:rsidRPr="00997ACA" w:rsidRDefault="00565A0F" w:rsidP="00997ACA">
      <w:pPr>
        <w:tabs>
          <w:tab w:val="left" w:pos="1440"/>
          <w:tab w:val="left" w:pos="1890"/>
          <w:tab w:val="left" w:pos="2520"/>
        </w:tabs>
        <w:spacing w:after="0" w:line="240" w:lineRule="auto"/>
        <w:ind w:left="284" w:hanging="284"/>
        <w:rPr>
          <w:rFonts w:asciiTheme="majorBidi" w:hAnsiTheme="majorBidi" w:cstheme="majorBidi"/>
          <w:b/>
          <w:bCs/>
          <w:sz w:val="24"/>
          <w:szCs w:val="24"/>
          <w:lang w:val="en-GB"/>
        </w:rPr>
      </w:pPr>
    </w:p>
    <w:p w:rsidR="00A85782" w:rsidRPr="00997ACA" w:rsidRDefault="00A85782" w:rsidP="00997ACA">
      <w:pPr>
        <w:spacing w:after="0" w:line="240" w:lineRule="auto"/>
        <w:jc w:val="both"/>
        <w:rPr>
          <w:rFonts w:asciiTheme="majorBidi" w:hAnsiTheme="majorBidi" w:cstheme="majorBidi"/>
          <w:b/>
          <w:bCs/>
          <w:sz w:val="24"/>
          <w:szCs w:val="24"/>
        </w:rPr>
      </w:pPr>
      <w:r w:rsidRPr="00997ACA">
        <w:rPr>
          <w:rFonts w:asciiTheme="majorBidi" w:hAnsiTheme="majorBidi" w:cstheme="majorBidi"/>
          <w:b/>
          <w:bCs/>
          <w:sz w:val="24"/>
          <w:szCs w:val="24"/>
        </w:rPr>
        <w:t>ABSTRACT</w:t>
      </w:r>
      <w:bookmarkStart w:id="0" w:name="_GoBack"/>
      <w:bookmarkEnd w:id="0"/>
    </w:p>
    <w:p w:rsidR="00A85782" w:rsidRPr="00997ACA" w:rsidRDefault="00A85782" w:rsidP="00997ACA">
      <w:pPr>
        <w:spacing w:after="0" w:line="240" w:lineRule="auto"/>
        <w:jc w:val="both"/>
        <w:rPr>
          <w:rFonts w:asciiTheme="majorBidi" w:hAnsiTheme="majorBidi" w:cstheme="majorBidi"/>
          <w:sz w:val="24"/>
          <w:szCs w:val="24"/>
        </w:rPr>
      </w:pPr>
      <w:r w:rsidRPr="00997ACA">
        <w:rPr>
          <w:rFonts w:asciiTheme="majorBidi" w:hAnsiTheme="majorBidi" w:cstheme="majorBidi"/>
          <w:b/>
          <w:sz w:val="24"/>
          <w:szCs w:val="24"/>
        </w:rPr>
        <w:t>Background</w:t>
      </w:r>
      <w:r w:rsidRPr="00997ACA">
        <w:rPr>
          <w:rFonts w:asciiTheme="majorBidi" w:hAnsiTheme="majorBidi" w:cstheme="majorBidi"/>
          <w:sz w:val="24"/>
          <w:szCs w:val="24"/>
        </w:rPr>
        <w:t>: To enhance a safer food in the Middle East and North Africa (MENA), we quantified the overall regional and national-specific prevalence of non-typhoidal</w:t>
      </w:r>
      <w:r w:rsidRPr="00997ACA">
        <w:rPr>
          <w:rFonts w:asciiTheme="majorBidi" w:hAnsiTheme="majorBidi" w:cstheme="majorBidi"/>
          <w:i/>
          <w:iCs/>
          <w:sz w:val="24"/>
          <w:szCs w:val="24"/>
        </w:rPr>
        <w:t xml:space="preserve"> Salmonella </w:t>
      </w:r>
      <w:r w:rsidRPr="00997ACA">
        <w:rPr>
          <w:rFonts w:asciiTheme="majorBidi" w:hAnsiTheme="majorBidi" w:cstheme="majorBidi"/>
          <w:sz w:val="24"/>
          <w:szCs w:val="24"/>
        </w:rPr>
        <w:t>(NTS) enterica in food, in the MENA region.</w:t>
      </w:r>
      <w:r w:rsidR="00997ACA" w:rsidRPr="00997ACA">
        <w:rPr>
          <w:rFonts w:asciiTheme="majorBidi" w:hAnsiTheme="majorBidi" w:cstheme="majorBidi"/>
          <w:sz w:val="24"/>
          <w:szCs w:val="24"/>
        </w:rPr>
        <w:t xml:space="preserve"> </w:t>
      </w:r>
      <w:r w:rsidRPr="00997ACA">
        <w:rPr>
          <w:rFonts w:asciiTheme="majorBidi" w:hAnsiTheme="majorBidi" w:cstheme="majorBidi"/>
          <w:sz w:val="24"/>
          <w:szCs w:val="24"/>
        </w:rPr>
        <w:t>Published literature of NTS</w:t>
      </w:r>
      <w:r w:rsidRPr="00997ACA">
        <w:rPr>
          <w:rFonts w:asciiTheme="majorBidi" w:hAnsiTheme="majorBidi" w:cstheme="majorBidi"/>
          <w:i/>
          <w:iCs/>
          <w:sz w:val="24"/>
          <w:szCs w:val="24"/>
        </w:rPr>
        <w:t xml:space="preserve"> </w:t>
      </w:r>
      <w:r w:rsidRPr="00997ACA">
        <w:rPr>
          <w:rFonts w:asciiTheme="majorBidi" w:hAnsiTheme="majorBidi" w:cstheme="majorBidi"/>
          <w:sz w:val="24"/>
          <w:szCs w:val="24"/>
        </w:rPr>
        <w:t>enterica</w:t>
      </w:r>
      <w:r w:rsidRPr="00997ACA">
        <w:rPr>
          <w:rFonts w:asciiTheme="majorBidi" w:hAnsiTheme="majorBidi" w:cstheme="majorBidi"/>
          <w:i/>
          <w:iCs/>
          <w:sz w:val="24"/>
          <w:szCs w:val="24"/>
        </w:rPr>
        <w:t xml:space="preserve"> </w:t>
      </w:r>
      <w:r w:rsidRPr="00997ACA">
        <w:rPr>
          <w:rFonts w:asciiTheme="majorBidi" w:hAnsiTheme="majorBidi" w:cstheme="majorBidi"/>
          <w:sz w:val="24"/>
          <w:szCs w:val="24"/>
        </w:rPr>
        <w:t xml:space="preserve">prevalence in food </w:t>
      </w:r>
      <w:proofErr w:type="gramStart"/>
      <w:r w:rsidRPr="00997ACA">
        <w:rPr>
          <w:rFonts w:asciiTheme="majorBidi" w:hAnsiTheme="majorBidi" w:cstheme="majorBidi"/>
          <w:sz w:val="24"/>
          <w:szCs w:val="24"/>
        </w:rPr>
        <w:t>was systematically reviewed and reported following PRISMA guidelines</w:t>
      </w:r>
      <w:proofErr w:type="gramEnd"/>
      <w:r w:rsidRPr="00997ACA">
        <w:rPr>
          <w:rFonts w:asciiTheme="majorBidi" w:hAnsiTheme="majorBidi" w:cstheme="majorBidi"/>
          <w:sz w:val="24"/>
          <w:szCs w:val="24"/>
        </w:rPr>
        <w:t xml:space="preserve">. The overall NTS enterica prevalence </w:t>
      </w:r>
      <w:proofErr w:type="gramStart"/>
      <w:r w:rsidRPr="00997ACA">
        <w:rPr>
          <w:rFonts w:asciiTheme="majorBidi" w:hAnsiTheme="majorBidi" w:cstheme="majorBidi"/>
          <w:sz w:val="24"/>
          <w:szCs w:val="24"/>
        </w:rPr>
        <w:t>was estimated</w:t>
      </w:r>
      <w:proofErr w:type="gramEnd"/>
      <w:r w:rsidRPr="00997ACA">
        <w:rPr>
          <w:rFonts w:asciiTheme="majorBidi" w:hAnsiTheme="majorBidi" w:cstheme="majorBidi"/>
          <w:sz w:val="24"/>
          <w:szCs w:val="24"/>
        </w:rPr>
        <w:t xml:space="preserve"> regionally and nationally in MENA stratified by food commodity, sample size, and period of data collection</w:t>
      </w:r>
      <w:r w:rsidRPr="00997ACA">
        <w:rPr>
          <w:rFonts w:asciiTheme="majorBidi" w:eastAsia="Calibri" w:hAnsiTheme="majorBidi" w:cstheme="majorBidi"/>
          <w:sz w:val="24"/>
          <w:szCs w:val="24"/>
        </w:rPr>
        <w:t xml:space="preserve">. </w:t>
      </w:r>
      <w:r w:rsidRPr="00997ACA">
        <w:rPr>
          <w:rFonts w:asciiTheme="majorBidi" w:hAnsiTheme="majorBidi" w:cstheme="majorBidi"/>
          <w:sz w:val="24"/>
          <w:szCs w:val="24"/>
        </w:rPr>
        <w:t>Pooled NTS</w:t>
      </w:r>
      <w:r w:rsidRPr="00997ACA">
        <w:rPr>
          <w:rFonts w:asciiTheme="majorBidi" w:hAnsiTheme="majorBidi" w:cstheme="majorBidi"/>
          <w:i/>
          <w:iCs/>
          <w:sz w:val="24"/>
          <w:szCs w:val="24"/>
        </w:rPr>
        <w:t xml:space="preserve"> </w:t>
      </w:r>
      <w:r w:rsidRPr="00997ACA">
        <w:rPr>
          <w:rFonts w:asciiTheme="majorBidi" w:hAnsiTheme="majorBidi" w:cstheme="majorBidi"/>
          <w:sz w:val="24"/>
          <w:szCs w:val="24"/>
        </w:rPr>
        <w:t>enterica</w:t>
      </w:r>
      <w:r w:rsidRPr="00997ACA">
        <w:rPr>
          <w:rFonts w:asciiTheme="majorBidi" w:hAnsiTheme="majorBidi" w:cstheme="majorBidi"/>
          <w:i/>
          <w:iCs/>
          <w:sz w:val="24"/>
          <w:szCs w:val="24"/>
        </w:rPr>
        <w:t xml:space="preserve"> </w:t>
      </w:r>
      <w:r w:rsidRPr="00997ACA">
        <w:rPr>
          <w:rFonts w:asciiTheme="majorBidi" w:hAnsiTheme="majorBidi" w:cstheme="majorBidi"/>
          <w:sz w:val="24"/>
          <w:szCs w:val="24"/>
        </w:rPr>
        <w:t xml:space="preserve">prevalence measures </w:t>
      </w:r>
      <w:proofErr w:type="gramStart"/>
      <w:r w:rsidRPr="00997ACA">
        <w:rPr>
          <w:rFonts w:asciiTheme="majorBidi" w:hAnsiTheme="majorBidi" w:cstheme="majorBidi"/>
          <w:sz w:val="24"/>
          <w:szCs w:val="24"/>
        </w:rPr>
        <w:t>were estimated</w:t>
      </w:r>
      <w:proofErr w:type="gramEnd"/>
      <w:r w:rsidRPr="00997ACA">
        <w:rPr>
          <w:rFonts w:asciiTheme="majorBidi" w:hAnsiTheme="majorBidi" w:cstheme="majorBidi"/>
          <w:sz w:val="24"/>
          <w:szCs w:val="24"/>
        </w:rPr>
        <w:t xml:space="preserve"> </w:t>
      </w:r>
      <w:r w:rsidRPr="00997ACA">
        <w:rPr>
          <w:rFonts w:asciiTheme="majorBidi" w:eastAsia="Calibri" w:hAnsiTheme="majorBidi" w:cstheme="majorBidi"/>
          <w:sz w:val="24"/>
          <w:szCs w:val="24"/>
        </w:rPr>
        <w:t>using a random-effects model.</w:t>
      </w:r>
      <w:r w:rsidR="00997ACA" w:rsidRPr="00997ACA">
        <w:rPr>
          <w:rFonts w:asciiTheme="majorBidi" w:eastAsia="Calibri" w:hAnsiTheme="majorBidi" w:cstheme="majorBidi"/>
          <w:sz w:val="24"/>
          <w:szCs w:val="24"/>
        </w:rPr>
        <w:t xml:space="preserve"> </w:t>
      </w:r>
      <w:r w:rsidRPr="00997ACA">
        <w:rPr>
          <w:rFonts w:asciiTheme="majorBidi" w:hAnsiTheme="majorBidi" w:cstheme="majorBidi"/>
          <w:sz w:val="24"/>
          <w:szCs w:val="24"/>
        </w:rPr>
        <w:t>Of the screened 5,495 citations, 60 eligible research reports in 13 countries published between 1996 and 2018 were eligible. In the yielded 154 NTS prevalence measures, there were 24,023 tested food samples with 1,324 NTS-positive samples</w:t>
      </w:r>
      <w:r w:rsidRPr="00997ACA">
        <w:rPr>
          <w:rFonts w:asciiTheme="majorBidi" w:hAnsiTheme="majorBidi" w:cstheme="majorBidi"/>
          <w:i/>
          <w:iCs/>
          <w:sz w:val="24"/>
          <w:szCs w:val="24"/>
        </w:rPr>
        <w:t xml:space="preserve">. </w:t>
      </w:r>
      <w:r w:rsidRPr="00997ACA">
        <w:rPr>
          <w:rFonts w:asciiTheme="majorBidi" w:hAnsiTheme="majorBidi" w:cstheme="majorBidi"/>
          <w:sz w:val="24"/>
          <w:szCs w:val="24"/>
        </w:rPr>
        <w:t xml:space="preserve">The pooled NTS enterica prevalence </w:t>
      </w:r>
      <w:proofErr w:type="gramStart"/>
      <w:r w:rsidRPr="00997ACA">
        <w:rPr>
          <w:rFonts w:asciiTheme="majorBidi" w:hAnsiTheme="majorBidi" w:cstheme="majorBidi"/>
          <w:sz w:val="24"/>
          <w:szCs w:val="24"/>
        </w:rPr>
        <w:t>was estimated</w:t>
      </w:r>
      <w:proofErr w:type="gramEnd"/>
      <w:r w:rsidRPr="00997ACA">
        <w:rPr>
          <w:rFonts w:asciiTheme="majorBidi" w:hAnsiTheme="majorBidi" w:cstheme="majorBidi"/>
          <w:sz w:val="24"/>
          <w:szCs w:val="24"/>
        </w:rPr>
        <w:t xml:space="preserve"> at 8.8% (95% confidence interval (CI): 7.0–10.8%). The highest pooled prevalence in food was in Tunisia (20.7%, 95% CI: 13.2–29.3%). In the 13 countries, the pooled NTS prevalence was 9.0% (95% CI: 6.8–11.4) in food of land animals. In aquatic food in four countries, the pooled NTS prevalence was 22.9% (95% CI: 13.8–33.4%). NTS prevalence was 13.4% (95% CI: 10.1–17.1%) in studies tested &lt;100 food samples</w:t>
      </w:r>
      <w:proofErr w:type="gramStart"/>
      <w:r w:rsidRPr="00997ACA">
        <w:rPr>
          <w:rFonts w:asciiTheme="majorBidi" w:hAnsiTheme="majorBidi" w:cstheme="majorBidi"/>
          <w:sz w:val="24"/>
          <w:szCs w:val="24"/>
        </w:rPr>
        <w:t>;</w:t>
      </w:r>
      <w:proofErr w:type="gramEnd"/>
      <w:r w:rsidRPr="00997ACA">
        <w:rPr>
          <w:rFonts w:asciiTheme="majorBidi" w:hAnsiTheme="majorBidi" w:cstheme="majorBidi"/>
          <w:sz w:val="24"/>
          <w:szCs w:val="24"/>
        </w:rPr>
        <w:t xml:space="preserve"> whereas, 4.1% (95% CI: 2.7–5.8%) in studies tested ≥100 food samples. Country, food commodity, sample size, and period of the data collection were predictors associated with heterogeneity in the NTS prevalence measures.</w:t>
      </w:r>
      <w:r w:rsidRPr="00997ACA">
        <w:rPr>
          <w:rFonts w:asciiTheme="majorBidi" w:hAnsiTheme="majorBidi" w:cstheme="majorBidi"/>
          <w:i/>
          <w:iCs/>
          <w:sz w:val="24"/>
          <w:szCs w:val="24"/>
        </w:rPr>
        <w:t xml:space="preserve"> Salmonella Typhimurium</w:t>
      </w:r>
      <w:r w:rsidRPr="00997ACA">
        <w:rPr>
          <w:rFonts w:asciiTheme="majorBidi" w:hAnsiTheme="majorBidi" w:cstheme="majorBidi"/>
          <w:sz w:val="24"/>
          <w:szCs w:val="24"/>
        </w:rPr>
        <w:t xml:space="preserve"> (28.0%), </w:t>
      </w:r>
      <w:r w:rsidRPr="00997ACA">
        <w:rPr>
          <w:rFonts w:asciiTheme="majorBidi" w:hAnsiTheme="majorBidi" w:cstheme="majorBidi"/>
          <w:i/>
          <w:iCs/>
          <w:sz w:val="24"/>
          <w:szCs w:val="24"/>
        </w:rPr>
        <w:t>Salmonella</w:t>
      </w:r>
      <w:r w:rsidRPr="00997ACA">
        <w:rPr>
          <w:rFonts w:asciiTheme="majorBidi" w:hAnsiTheme="majorBidi" w:cstheme="majorBidi"/>
          <w:sz w:val="24"/>
          <w:szCs w:val="24"/>
        </w:rPr>
        <w:t xml:space="preserve"> </w:t>
      </w:r>
      <w:r w:rsidRPr="00997ACA">
        <w:rPr>
          <w:rFonts w:asciiTheme="majorBidi" w:hAnsiTheme="majorBidi" w:cstheme="majorBidi"/>
          <w:i/>
          <w:iCs/>
          <w:sz w:val="24"/>
          <w:szCs w:val="24"/>
        </w:rPr>
        <w:t>Enteritidis</w:t>
      </w:r>
      <w:r w:rsidRPr="00997ACA">
        <w:rPr>
          <w:rFonts w:asciiTheme="majorBidi" w:hAnsiTheme="majorBidi" w:cstheme="majorBidi"/>
          <w:sz w:val="24"/>
          <w:szCs w:val="24"/>
        </w:rPr>
        <w:t xml:space="preserve"> (23.6%), and </w:t>
      </w:r>
      <w:r w:rsidRPr="00997ACA">
        <w:rPr>
          <w:rFonts w:asciiTheme="majorBidi" w:hAnsiTheme="majorBidi" w:cstheme="majorBidi"/>
          <w:i/>
          <w:iCs/>
          <w:sz w:val="24"/>
          <w:szCs w:val="24"/>
        </w:rPr>
        <w:t>Salmonella</w:t>
      </w:r>
      <w:r w:rsidRPr="00997ACA">
        <w:rPr>
          <w:rFonts w:asciiTheme="majorBidi" w:hAnsiTheme="majorBidi" w:cstheme="majorBidi"/>
          <w:sz w:val="24"/>
          <w:szCs w:val="24"/>
        </w:rPr>
        <w:t xml:space="preserve"> </w:t>
      </w:r>
      <w:r w:rsidRPr="00997ACA">
        <w:rPr>
          <w:rFonts w:asciiTheme="majorBidi" w:hAnsiTheme="majorBidi" w:cstheme="majorBidi"/>
          <w:i/>
          <w:iCs/>
          <w:sz w:val="24"/>
          <w:szCs w:val="24"/>
        </w:rPr>
        <w:t>Kentucky</w:t>
      </w:r>
      <w:r w:rsidRPr="00997ACA">
        <w:rPr>
          <w:rFonts w:asciiTheme="majorBidi" w:hAnsiTheme="majorBidi" w:cstheme="majorBidi"/>
          <w:sz w:val="24"/>
          <w:szCs w:val="24"/>
        </w:rPr>
        <w:t xml:space="preserve"> (20.3%) were the most common serotypes in the tested food commodities.</w:t>
      </w:r>
      <w:r w:rsidRPr="00997ACA">
        <w:rPr>
          <w:rFonts w:asciiTheme="majorBidi" w:hAnsiTheme="majorBidi" w:cstheme="majorBidi"/>
          <w:b/>
          <w:bCs/>
          <w:sz w:val="24"/>
          <w:szCs w:val="24"/>
        </w:rPr>
        <w:t xml:space="preserve"> </w:t>
      </w:r>
      <w:r w:rsidRPr="00997ACA">
        <w:rPr>
          <w:rFonts w:asciiTheme="majorBidi" w:hAnsiTheme="majorBidi" w:cstheme="majorBidi"/>
          <w:sz w:val="24"/>
          <w:szCs w:val="24"/>
        </w:rPr>
        <w:t>In MENA, NTS enterica is relatively common in human-consumed food. A crucial coinage in controlling the burden of NTS in MENA is the enforcing of effective food safety and control programs on locally produced and internationally imported on high-risk food items for NTS enterica.</w:t>
      </w:r>
    </w:p>
    <w:p w:rsidR="00984102" w:rsidRPr="00997ACA" w:rsidRDefault="00984102" w:rsidP="00997ACA">
      <w:pPr>
        <w:spacing w:after="0" w:line="240" w:lineRule="auto"/>
        <w:rPr>
          <w:rFonts w:asciiTheme="majorBidi" w:hAnsiTheme="majorBidi" w:cstheme="majorBidi"/>
          <w:sz w:val="24"/>
          <w:szCs w:val="24"/>
        </w:rPr>
      </w:pPr>
    </w:p>
    <w:p w:rsidR="008A34D2" w:rsidRPr="00997ACA" w:rsidRDefault="008A34D2" w:rsidP="00997ACA">
      <w:pPr>
        <w:spacing w:after="0" w:line="240" w:lineRule="auto"/>
        <w:jc w:val="both"/>
        <w:rPr>
          <w:rFonts w:asciiTheme="majorBidi" w:hAnsiTheme="majorBidi" w:cstheme="majorBidi"/>
          <w:b/>
          <w:sz w:val="24"/>
          <w:szCs w:val="24"/>
        </w:rPr>
      </w:pPr>
      <w:r w:rsidRPr="00997ACA">
        <w:rPr>
          <w:rFonts w:asciiTheme="majorBidi" w:hAnsiTheme="majorBidi" w:cstheme="majorBidi"/>
          <w:b/>
          <w:sz w:val="24"/>
          <w:szCs w:val="24"/>
        </w:rPr>
        <w:t>Biography</w:t>
      </w:r>
    </w:p>
    <w:p w:rsidR="008A34D2" w:rsidRPr="00997ACA" w:rsidRDefault="008A34D2" w:rsidP="00997ACA">
      <w:pPr>
        <w:spacing w:after="0" w:line="240" w:lineRule="auto"/>
        <w:ind w:right="18"/>
        <w:jc w:val="both"/>
        <w:rPr>
          <w:rFonts w:asciiTheme="majorBidi" w:hAnsiTheme="majorBidi" w:cstheme="majorBidi"/>
          <w:sz w:val="24"/>
          <w:szCs w:val="24"/>
        </w:rPr>
      </w:pPr>
      <w:r w:rsidRPr="00997ACA">
        <w:rPr>
          <w:rFonts w:asciiTheme="majorBidi" w:hAnsiTheme="majorBidi" w:cstheme="majorBidi"/>
          <w:sz w:val="24"/>
          <w:szCs w:val="24"/>
        </w:rPr>
        <w:t>Dr. Rami Al-Rifai</w:t>
      </w:r>
      <w:r w:rsidR="00C05016" w:rsidRPr="00997ACA">
        <w:rPr>
          <w:rFonts w:asciiTheme="majorBidi" w:hAnsiTheme="majorBidi" w:cstheme="majorBidi"/>
          <w:sz w:val="24"/>
          <w:szCs w:val="24"/>
        </w:rPr>
        <w:t xml:space="preserve"> has completed his </w:t>
      </w:r>
      <w:r w:rsidRPr="00997ACA">
        <w:rPr>
          <w:rFonts w:asciiTheme="majorBidi" w:hAnsiTheme="majorBidi" w:cstheme="majorBidi"/>
          <w:sz w:val="24"/>
          <w:szCs w:val="24"/>
        </w:rPr>
        <w:t>PhD</w:t>
      </w:r>
      <w:r w:rsidR="00C05016" w:rsidRPr="00997ACA">
        <w:rPr>
          <w:rFonts w:asciiTheme="majorBidi" w:hAnsiTheme="majorBidi" w:cstheme="majorBidi"/>
          <w:sz w:val="24"/>
          <w:szCs w:val="24"/>
        </w:rPr>
        <w:t xml:space="preserve"> from Tokyo Medical and Dental University Japan and postdoctoral studies from Weill Cornell Medical College-Qatar and Tokyo Medical and Dental University Japan. He</w:t>
      </w:r>
      <w:r w:rsidRPr="00997ACA">
        <w:rPr>
          <w:rFonts w:asciiTheme="majorBidi" w:hAnsiTheme="majorBidi" w:cstheme="majorBidi"/>
          <w:sz w:val="24"/>
          <w:szCs w:val="24"/>
        </w:rPr>
        <w:t xml:space="preserve"> is an Assistant Professor and Epidemiologist at the Institute of Public Health, College of Medicine and Health Sciences, UAE University. Dr. Al-Rifai gained broad expertise in epidemiological studies, and systematic reviews and meta-analyses studies assessing the burden of and identify factors associated with and risk factors of various health ou</w:t>
      </w:r>
      <w:r w:rsidR="00997ACA" w:rsidRPr="00997ACA">
        <w:rPr>
          <w:rFonts w:asciiTheme="majorBidi" w:hAnsiTheme="majorBidi" w:cstheme="majorBidi"/>
          <w:sz w:val="24"/>
          <w:szCs w:val="24"/>
        </w:rPr>
        <w:t>tcomes. So far, he has published over 28 peer-reviewed papers on various epidemiology and public health topics.</w:t>
      </w:r>
    </w:p>
    <w:p w:rsidR="00997ACA" w:rsidRPr="00997ACA" w:rsidRDefault="00997ACA" w:rsidP="00997ACA">
      <w:pPr>
        <w:spacing w:after="0" w:line="240" w:lineRule="auto"/>
        <w:ind w:right="18"/>
        <w:jc w:val="both"/>
        <w:rPr>
          <w:rFonts w:asciiTheme="majorBidi" w:hAnsiTheme="majorBidi" w:cstheme="majorBidi"/>
          <w:sz w:val="24"/>
          <w:szCs w:val="24"/>
        </w:rPr>
      </w:pPr>
    </w:p>
    <w:p w:rsidR="00997ACA" w:rsidRPr="00997ACA" w:rsidRDefault="00997ACA" w:rsidP="00997ACA">
      <w:pPr>
        <w:autoSpaceDE w:val="0"/>
        <w:autoSpaceDN w:val="0"/>
        <w:adjustRightInd w:val="0"/>
        <w:spacing w:after="0" w:line="240" w:lineRule="auto"/>
        <w:rPr>
          <w:rFonts w:asciiTheme="majorBidi" w:hAnsiTheme="majorBidi" w:cstheme="majorBidi"/>
          <w:b/>
          <w:sz w:val="24"/>
          <w:szCs w:val="24"/>
          <w:lang w:val="en-NZ"/>
        </w:rPr>
      </w:pPr>
      <w:r w:rsidRPr="00997ACA">
        <w:rPr>
          <w:rFonts w:asciiTheme="majorBidi" w:hAnsiTheme="majorBidi" w:cstheme="majorBidi"/>
          <w:b/>
          <w:sz w:val="24"/>
          <w:szCs w:val="24"/>
          <w:lang w:val="en-NZ"/>
        </w:rPr>
        <w:t xml:space="preserve">Presenting author details </w:t>
      </w:r>
    </w:p>
    <w:p w:rsidR="00997ACA" w:rsidRPr="00997ACA" w:rsidRDefault="00997ACA" w:rsidP="00997ACA">
      <w:pPr>
        <w:autoSpaceDE w:val="0"/>
        <w:autoSpaceDN w:val="0"/>
        <w:adjustRightInd w:val="0"/>
        <w:spacing w:after="0" w:line="240" w:lineRule="auto"/>
        <w:rPr>
          <w:rFonts w:asciiTheme="majorBidi" w:hAnsiTheme="majorBidi" w:cstheme="majorBidi"/>
          <w:b/>
          <w:sz w:val="24"/>
          <w:szCs w:val="24"/>
          <w:lang w:val="en-NZ"/>
        </w:rPr>
      </w:pPr>
    </w:p>
    <w:p w:rsidR="00997ACA" w:rsidRPr="00997ACA" w:rsidRDefault="00997ACA" w:rsidP="00997ACA">
      <w:pPr>
        <w:autoSpaceDE w:val="0"/>
        <w:autoSpaceDN w:val="0"/>
        <w:adjustRightInd w:val="0"/>
        <w:spacing w:after="0"/>
        <w:rPr>
          <w:rFonts w:asciiTheme="majorBidi" w:hAnsiTheme="majorBidi" w:cstheme="majorBidi"/>
          <w:sz w:val="24"/>
          <w:szCs w:val="24"/>
          <w:lang w:val="en-NZ"/>
        </w:rPr>
      </w:pPr>
      <w:r w:rsidRPr="00997ACA">
        <w:rPr>
          <w:rFonts w:asciiTheme="majorBidi" w:hAnsiTheme="majorBidi" w:cstheme="majorBidi"/>
          <w:sz w:val="24"/>
          <w:szCs w:val="24"/>
          <w:lang w:val="en-NZ"/>
        </w:rPr>
        <w:lastRenderedPageBreak/>
        <w:t>Full Name:</w:t>
      </w:r>
      <w:r w:rsidRPr="00997ACA">
        <w:rPr>
          <w:rFonts w:asciiTheme="majorBidi" w:hAnsiTheme="majorBidi" w:cstheme="majorBidi"/>
          <w:sz w:val="24"/>
          <w:szCs w:val="24"/>
          <w:lang w:val="en-NZ"/>
        </w:rPr>
        <w:t xml:space="preserve"> Rami H. Al-Rifai</w:t>
      </w:r>
    </w:p>
    <w:p w:rsidR="00997ACA" w:rsidRPr="00997ACA" w:rsidRDefault="00997ACA" w:rsidP="00997ACA">
      <w:pPr>
        <w:autoSpaceDE w:val="0"/>
        <w:autoSpaceDN w:val="0"/>
        <w:adjustRightInd w:val="0"/>
        <w:spacing w:after="0"/>
        <w:rPr>
          <w:rFonts w:asciiTheme="majorBidi" w:hAnsiTheme="majorBidi" w:cstheme="majorBidi"/>
          <w:sz w:val="24"/>
          <w:szCs w:val="24"/>
          <w:lang w:val="en-NZ"/>
        </w:rPr>
      </w:pPr>
      <w:r w:rsidRPr="00997ACA">
        <w:rPr>
          <w:rFonts w:asciiTheme="majorBidi" w:hAnsiTheme="majorBidi" w:cstheme="majorBidi"/>
          <w:sz w:val="24"/>
          <w:szCs w:val="24"/>
          <w:lang w:val="en-NZ"/>
        </w:rPr>
        <w:t>Contact number:</w:t>
      </w:r>
      <w:r w:rsidRPr="00997ACA">
        <w:rPr>
          <w:rFonts w:asciiTheme="majorBidi" w:hAnsiTheme="majorBidi" w:cstheme="majorBidi"/>
          <w:sz w:val="24"/>
          <w:szCs w:val="24"/>
          <w:lang w:val="en-NZ"/>
        </w:rPr>
        <w:t xml:space="preserve"> +971504136302</w:t>
      </w:r>
      <w:r w:rsidRPr="00997ACA">
        <w:rPr>
          <w:rFonts w:asciiTheme="majorBidi" w:hAnsiTheme="majorBidi" w:cstheme="majorBidi"/>
          <w:sz w:val="24"/>
          <w:szCs w:val="24"/>
          <w:lang w:val="en-NZ"/>
        </w:rPr>
        <w:br/>
      </w:r>
      <w:r w:rsidRPr="00997ACA">
        <w:rPr>
          <w:rFonts w:asciiTheme="majorBidi" w:hAnsiTheme="majorBidi" w:cstheme="majorBidi"/>
          <w:sz w:val="24"/>
          <w:szCs w:val="24"/>
          <w:lang w:val="en-NZ"/>
        </w:rPr>
        <w:t>Category: Poster presentation</w:t>
      </w:r>
    </w:p>
    <w:p w:rsidR="00997ACA" w:rsidRPr="00997ACA" w:rsidRDefault="00997ACA" w:rsidP="00997ACA">
      <w:pPr>
        <w:autoSpaceDE w:val="0"/>
        <w:autoSpaceDN w:val="0"/>
        <w:adjustRightInd w:val="0"/>
        <w:spacing w:after="0" w:line="240" w:lineRule="auto"/>
        <w:rPr>
          <w:rFonts w:asciiTheme="majorBidi" w:hAnsiTheme="majorBidi" w:cstheme="majorBidi"/>
          <w:b/>
          <w:sz w:val="24"/>
          <w:szCs w:val="24"/>
          <w:lang w:val="en-NZ"/>
        </w:rPr>
      </w:pPr>
    </w:p>
    <w:p w:rsidR="00997ACA" w:rsidRPr="00997ACA" w:rsidRDefault="00997ACA" w:rsidP="00997ACA">
      <w:pPr>
        <w:spacing w:after="0" w:line="240" w:lineRule="auto"/>
        <w:ind w:right="18"/>
        <w:jc w:val="both"/>
        <w:rPr>
          <w:rFonts w:asciiTheme="majorBidi" w:hAnsiTheme="majorBidi" w:cstheme="majorBidi"/>
          <w:sz w:val="24"/>
          <w:szCs w:val="24"/>
          <w:lang w:val="en-NZ"/>
        </w:rPr>
      </w:pPr>
    </w:p>
    <w:p w:rsidR="008A34D2" w:rsidRPr="00997ACA" w:rsidRDefault="008A34D2" w:rsidP="00997ACA">
      <w:pPr>
        <w:spacing w:after="0" w:line="240" w:lineRule="auto"/>
        <w:rPr>
          <w:rFonts w:asciiTheme="majorBidi" w:hAnsiTheme="majorBidi" w:cstheme="majorBidi"/>
          <w:sz w:val="24"/>
          <w:szCs w:val="24"/>
        </w:rPr>
      </w:pPr>
    </w:p>
    <w:sectPr w:rsidR="008A34D2" w:rsidRPr="00997AC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A4C"/>
    <w:rsid w:val="00327A4C"/>
    <w:rsid w:val="00565A0F"/>
    <w:rsid w:val="006F48AE"/>
    <w:rsid w:val="00741E65"/>
    <w:rsid w:val="00825B2B"/>
    <w:rsid w:val="0084626D"/>
    <w:rsid w:val="00895D8A"/>
    <w:rsid w:val="008A0233"/>
    <w:rsid w:val="008A34D2"/>
    <w:rsid w:val="00962B21"/>
    <w:rsid w:val="00984102"/>
    <w:rsid w:val="00997ACA"/>
    <w:rsid w:val="00A85782"/>
    <w:rsid w:val="00B22A04"/>
    <w:rsid w:val="00B22B9F"/>
    <w:rsid w:val="00B95EBC"/>
    <w:rsid w:val="00C05016"/>
    <w:rsid w:val="00C17B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FDBE3"/>
  <w15:chartTrackingRefBased/>
  <w15:docId w15:val="{4D065401-C59A-4C4F-8A3A-670CB368A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5EBC"/>
  </w:style>
  <w:style w:type="paragraph" w:styleId="Heading2">
    <w:name w:val="heading 2"/>
    <w:basedOn w:val="Normal"/>
    <w:next w:val="Normal"/>
    <w:link w:val="Heading2Char"/>
    <w:uiPriority w:val="9"/>
    <w:unhideWhenUsed/>
    <w:qFormat/>
    <w:rsid w:val="00B95EBC"/>
    <w:pPr>
      <w:keepNext/>
      <w:keepLines/>
      <w:spacing w:before="40" w:after="0"/>
      <w:outlineLvl w:val="1"/>
    </w:pPr>
    <w:rPr>
      <w:rFonts w:ascii="Times New Roman" w:eastAsiaTheme="majorEastAsia" w:hAnsi="Times New Roman"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95EBC"/>
    <w:rPr>
      <w:rFonts w:ascii="Times New Roman" w:eastAsiaTheme="majorEastAsia" w:hAnsi="Times New Roman" w:cstheme="majorBidi"/>
      <w:b/>
      <w:sz w:val="28"/>
      <w:szCs w:val="26"/>
    </w:rPr>
  </w:style>
  <w:style w:type="paragraph" w:customStyle="1" w:styleId="aff">
    <w:name w:val="aff"/>
    <w:basedOn w:val="Normal"/>
    <w:rsid w:val="00B95EBC"/>
    <w:pPr>
      <w:spacing w:after="240" w:line="480" w:lineRule="atLeast"/>
    </w:pPr>
    <w:rPr>
      <w:rFonts w:ascii="Times New Roman" w:eastAsia="Times New Roman" w:hAnsi="Times New Roman" w:cs="Times New Roman"/>
      <w:i/>
      <w:sz w:val="24"/>
      <w:szCs w:val="20"/>
      <w:lang w:val="en-GB"/>
    </w:rPr>
  </w:style>
  <w:style w:type="character" w:styleId="Hyperlink">
    <w:name w:val="Hyperlink"/>
    <w:basedOn w:val="DefaultParagraphFont"/>
    <w:uiPriority w:val="99"/>
    <w:unhideWhenUsed/>
    <w:rsid w:val="00B95EB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509</Words>
  <Characters>2903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 AL Rifai</dc:creator>
  <cp:keywords/>
  <dc:description/>
  <cp:lastModifiedBy>Rami AL Rifai</cp:lastModifiedBy>
  <cp:revision>16</cp:revision>
  <dcterms:created xsi:type="dcterms:W3CDTF">2019-01-14T03:44:00Z</dcterms:created>
  <dcterms:modified xsi:type="dcterms:W3CDTF">2019-09-12T07:12:00Z</dcterms:modified>
</cp:coreProperties>
</file>