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5DE" w:rsidRPr="007C0B29" w:rsidRDefault="00A345DE" w:rsidP="007C0B29">
      <w:pPr>
        <w:spacing w:after="0" w:line="480" w:lineRule="auto"/>
        <w:jc w:val="both"/>
        <w:rPr>
          <w:rFonts w:ascii="Times New Roman" w:hAnsi="Times New Roman"/>
          <w:b/>
          <w:sz w:val="28"/>
          <w:szCs w:val="24"/>
        </w:rPr>
      </w:pPr>
      <w:r w:rsidRPr="007C0B29">
        <w:rPr>
          <w:rFonts w:ascii="Times New Roman" w:hAnsi="Times New Roman"/>
          <w:b/>
          <w:sz w:val="28"/>
          <w:szCs w:val="24"/>
        </w:rPr>
        <w:t>Regulation of RyeA/SraC</w:t>
      </w:r>
      <w:r w:rsidR="007C0B29" w:rsidRPr="007C0B29">
        <w:rPr>
          <w:rFonts w:ascii="Times New Roman" w:hAnsi="Times New Roman"/>
          <w:b/>
          <w:sz w:val="28"/>
          <w:szCs w:val="24"/>
        </w:rPr>
        <w:t xml:space="preserve"> expression in </w:t>
      </w:r>
      <w:r w:rsidR="007C0B29" w:rsidRPr="007C0B29">
        <w:rPr>
          <w:rFonts w:ascii="Times New Roman" w:hAnsi="Times New Roman"/>
          <w:b/>
          <w:i/>
          <w:sz w:val="28"/>
          <w:szCs w:val="24"/>
        </w:rPr>
        <w:t>Escherichia coli</w:t>
      </w:r>
    </w:p>
    <w:p w:rsidR="00A345DE" w:rsidRDefault="00A345DE" w:rsidP="007C0B29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Amit K. Gupta and Tanmay Dutta</w:t>
      </w:r>
    </w:p>
    <w:p w:rsidR="00A345DE" w:rsidRDefault="00A345DE" w:rsidP="007C0B2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RNA Biology Laboratory, Department of Chemistry, Indian Institute of Technology Delhi, Hauz Khas, New Delhi-110016</w:t>
      </w:r>
      <w:r w:rsidR="007C0B29">
        <w:rPr>
          <w:rFonts w:ascii="Times New Roman" w:hAnsi="Times New Roman"/>
          <w:sz w:val="24"/>
          <w:szCs w:val="24"/>
        </w:rPr>
        <w:t>.</w:t>
      </w:r>
    </w:p>
    <w:p w:rsidR="007C0B29" w:rsidRDefault="007C0B29" w:rsidP="007C0B2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56ADF" w:rsidRPr="00D55D08" w:rsidRDefault="007C0B29" w:rsidP="00E7709F">
      <w:pPr>
        <w:spacing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E7709F" w:rsidRPr="00C46965">
        <w:rPr>
          <w:rFonts w:ascii="Times New Roman" w:hAnsi="Times New Roman"/>
          <w:sz w:val="24"/>
          <w:szCs w:val="24"/>
        </w:rPr>
        <w:t xml:space="preserve">Small RNAs (sRNA) plays a pivotal role in controlling majority of the physiological functions in prokaryotes. </w:t>
      </w:r>
      <w:r w:rsidR="002372B1">
        <w:rPr>
          <w:rFonts w:ascii="Times New Roman" w:hAnsi="Times New Roman"/>
          <w:sz w:val="24"/>
          <w:szCs w:val="24"/>
        </w:rPr>
        <w:t>Majority of the physiological processes</w:t>
      </w:r>
      <w:r w:rsidR="00E7709F" w:rsidRPr="00C46965">
        <w:rPr>
          <w:rFonts w:ascii="Times New Roman" w:hAnsi="Times New Roman"/>
          <w:sz w:val="24"/>
          <w:szCs w:val="24"/>
        </w:rPr>
        <w:t xml:space="preserve"> in </w:t>
      </w:r>
      <w:r w:rsidR="00E7709F" w:rsidRPr="00C46965">
        <w:rPr>
          <w:rFonts w:ascii="Times New Roman" w:hAnsi="Times New Roman"/>
          <w:iCs/>
          <w:sz w:val="24"/>
          <w:szCs w:val="24"/>
        </w:rPr>
        <w:t>bacteria</w:t>
      </w:r>
      <w:r w:rsidR="000E4297">
        <w:rPr>
          <w:rFonts w:ascii="Times New Roman" w:hAnsi="Times New Roman"/>
          <w:sz w:val="24"/>
          <w:szCs w:val="24"/>
        </w:rPr>
        <w:t xml:space="preserve"> are modulated by these </w:t>
      </w:r>
      <w:r w:rsidR="00E7709F" w:rsidRPr="00C46965">
        <w:rPr>
          <w:rFonts w:ascii="Times New Roman" w:hAnsi="Times New Roman"/>
          <w:sz w:val="24"/>
          <w:szCs w:val="24"/>
        </w:rPr>
        <w:t xml:space="preserve">regulatory sRNAs </w:t>
      </w:r>
      <w:r w:rsidR="002372B1">
        <w:rPr>
          <w:rFonts w:ascii="Times New Roman" w:hAnsi="Times New Roman"/>
          <w:sz w:val="24"/>
          <w:szCs w:val="24"/>
        </w:rPr>
        <w:t>primarily by base</w:t>
      </w:r>
      <w:r w:rsidR="0071139A">
        <w:rPr>
          <w:rFonts w:ascii="Times New Roman" w:hAnsi="Times New Roman"/>
          <w:sz w:val="24"/>
          <w:szCs w:val="24"/>
        </w:rPr>
        <w:t xml:space="preserve"> </w:t>
      </w:r>
      <w:r w:rsidR="00E7709F" w:rsidRPr="00C46965">
        <w:rPr>
          <w:rFonts w:ascii="Times New Roman" w:hAnsi="Times New Roman"/>
          <w:sz w:val="24"/>
          <w:szCs w:val="24"/>
        </w:rPr>
        <w:t>pair</w:t>
      </w:r>
      <w:r w:rsidR="002372B1">
        <w:rPr>
          <w:rFonts w:ascii="Times New Roman" w:hAnsi="Times New Roman"/>
          <w:sz w:val="24"/>
          <w:szCs w:val="24"/>
        </w:rPr>
        <w:t>ing with their target mRNA</w:t>
      </w:r>
      <w:r w:rsidR="00E7709F" w:rsidRPr="00C46965">
        <w:rPr>
          <w:rFonts w:ascii="Times New Roman" w:hAnsi="Times New Roman"/>
          <w:sz w:val="24"/>
          <w:szCs w:val="24"/>
        </w:rPr>
        <w:t xml:space="preserve">s. RyeA is </w:t>
      </w:r>
      <w:r w:rsidR="006741EE">
        <w:rPr>
          <w:rFonts w:ascii="Times New Roman" w:hAnsi="Times New Roman"/>
          <w:sz w:val="24"/>
          <w:szCs w:val="24"/>
        </w:rPr>
        <w:t xml:space="preserve">a </w:t>
      </w:r>
      <w:r w:rsidR="00E7709F" w:rsidRPr="00C46965">
        <w:rPr>
          <w:rFonts w:ascii="Times New Roman" w:hAnsi="Times New Roman"/>
          <w:sz w:val="24"/>
          <w:szCs w:val="24"/>
        </w:rPr>
        <w:t xml:space="preserve">~270 nucleotide long sRNA, a part of which (~104 nucleotide) is complementary to RyeB. RyeA and RyeB in the stationary phase constitute a toxin-antitoxin system and function antagonistically to each other where RyeA normalizes accumulation of RyeB toxin by acting as RNA sponge. </w:t>
      </w:r>
      <w:r w:rsidR="00E7709F" w:rsidRPr="00130017">
        <w:rPr>
          <w:rFonts w:ascii="Times New Roman" w:hAnsi="Times New Roman"/>
          <w:sz w:val="24"/>
          <w:szCs w:val="24"/>
        </w:rPr>
        <w:t>Ap</w:t>
      </w:r>
      <w:r w:rsidR="00130017">
        <w:rPr>
          <w:rFonts w:ascii="Times New Roman" w:hAnsi="Times New Roman"/>
          <w:sz w:val="24"/>
          <w:szCs w:val="24"/>
        </w:rPr>
        <w:t xml:space="preserve">art from that no additional information </w:t>
      </w:r>
      <w:r w:rsidR="00E7709F" w:rsidRPr="00130017">
        <w:rPr>
          <w:rFonts w:ascii="Times New Roman" w:hAnsi="Times New Roman"/>
          <w:sz w:val="24"/>
          <w:szCs w:val="24"/>
        </w:rPr>
        <w:t xml:space="preserve">is known about the regulation of RyeA expression in </w:t>
      </w:r>
      <w:r w:rsidR="00E7709F" w:rsidRPr="00130017">
        <w:rPr>
          <w:rFonts w:ascii="Times New Roman" w:hAnsi="Times New Roman"/>
          <w:iCs/>
          <w:sz w:val="24"/>
          <w:szCs w:val="24"/>
        </w:rPr>
        <w:t>bacteria.</w:t>
      </w:r>
      <w:r w:rsidR="00E7709F" w:rsidRPr="00C46965">
        <w:rPr>
          <w:rFonts w:ascii="Times New Roman" w:hAnsi="Times New Roman"/>
          <w:iCs/>
          <w:sz w:val="24"/>
          <w:szCs w:val="24"/>
        </w:rPr>
        <w:t xml:space="preserve"> In this current study, we comprehensively investigate </w:t>
      </w:r>
      <w:r w:rsidR="00E7709F" w:rsidRPr="00C46965">
        <w:rPr>
          <w:rFonts w:ascii="Times New Roman" w:hAnsi="Times New Roman"/>
          <w:sz w:val="24"/>
          <w:szCs w:val="24"/>
        </w:rPr>
        <w:t>how RyeA expression is regulated at different growth phase</w:t>
      </w:r>
      <w:r w:rsidR="006741EE">
        <w:rPr>
          <w:rFonts w:ascii="Times New Roman" w:hAnsi="Times New Roman"/>
          <w:sz w:val="24"/>
          <w:szCs w:val="24"/>
        </w:rPr>
        <w:t>s</w:t>
      </w:r>
      <w:r w:rsidR="00E7709F" w:rsidRPr="00C46965">
        <w:rPr>
          <w:rFonts w:ascii="Times New Roman" w:hAnsi="Times New Roman"/>
          <w:sz w:val="24"/>
          <w:szCs w:val="24"/>
        </w:rPr>
        <w:t xml:space="preserve">. Based on </w:t>
      </w:r>
      <w:r w:rsidR="006741EE">
        <w:rPr>
          <w:rFonts w:ascii="Times New Roman" w:hAnsi="Times New Roman"/>
          <w:sz w:val="24"/>
          <w:szCs w:val="24"/>
        </w:rPr>
        <w:t>our current observations</w:t>
      </w:r>
      <w:r w:rsidR="00E7709F" w:rsidRPr="00C46965">
        <w:rPr>
          <w:rFonts w:ascii="Times New Roman" w:hAnsi="Times New Roman"/>
          <w:sz w:val="24"/>
          <w:szCs w:val="24"/>
        </w:rPr>
        <w:t xml:space="preserve">, it was elucidated that RyeA expression is regulated </w:t>
      </w:r>
      <w:r w:rsidR="006741EE">
        <w:rPr>
          <w:rFonts w:ascii="Times New Roman" w:hAnsi="Times New Roman"/>
          <w:sz w:val="24"/>
          <w:szCs w:val="24"/>
        </w:rPr>
        <w:t xml:space="preserve">neither </w:t>
      </w:r>
      <w:r w:rsidR="00E7709F" w:rsidRPr="00C46965">
        <w:rPr>
          <w:rFonts w:ascii="Times New Roman" w:hAnsi="Times New Roman"/>
          <w:sz w:val="24"/>
          <w:szCs w:val="24"/>
        </w:rPr>
        <w:t xml:space="preserve">by stationary phase-specific σ-factor nor by RNA chaperon </w:t>
      </w:r>
      <w:proofErr w:type="spellStart"/>
      <w:r w:rsidR="00E7709F" w:rsidRPr="00C46965">
        <w:rPr>
          <w:rFonts w:ascii="Times New Roman" w:hAnsi="Times New Roman"/>
          <w:sz w:val="24"/>
          <w:szCs w:val="24"/>
        </w:rPr>
        <w:t>Hfq</w:t>
      </w:r>
      <w:proofErr w:type="spellEnd"/>
      <w:r w:rsidR="00E7709F" w:rsidRPr="00C46965">
        <w:rPr>
          <w:rFonts w:ascii="Times New Roman" w:hAnsi="Times New Roman"/>
          <w:sz w:val="24"/>
          <w:szCs w:val="24"/>
        </w:rPr>
        <w:t xml:space="preserve">. However, </w:t>
      </w:r>
      <w:r w:rsidR="00EE1000">
        <w:rPr>
          <w:rFonts w:ascii="Times New Roman" w:hAnsi="Times New Roman"/>
          <w:sz w:val="24"/>
          <w:szCs w:val="24"/>
        </w:rPr>
        <w:t>R</w:t>
      </w:r>
      <w:r w:rsidR="00E7709F" w:rsidRPr="00C46965">
        <w:rPr>
          <w:rFonts w:ascii="Times New Roman" w:hAnsi="Times New Roman"/>
          <w:sz w:val="24"/>
          <w:szCs w:val="24"/>
        </w:rPr>
        <w:t xml:space="preserve">ibonuclease BN was identified as </w:t>
      </w:r>
      <w:r w:rsidR="00EE1000">
        <w:rPr>
          <w:rFonts w:ascii="Times New Roman" w:hAnsi="Times New Roman"/>
          <w:sz w:val="24"/>
          <w:szCs w:val="24"/>
        </w:rPr>
        <w:t xml:space="preserve">an </w:t>
      </w:r>
      <w:r w:rsidR="00E7709F" w:rsidRPr="00C46965">
        <w:rPr>
          <w:rFonts w:ascii="Times New Roman" w:hAnsi="Times New Roman"/>
          <w:sz w:val="24"/>
          <w:szCs w:val="24"/>
        </w:rPr>
        <w:t>important regulator</w:t>
      </w:r>
      <w:r w:rsidR="00EE1000">
        <w:rPr>
          <w:rFonts w:ascii="Times New Roman" w:hAnsi="Times New Roman"/>
          <w:sz w:val="24"/>
          <w:szCs w:val="24"/>
        </w:rPr>
        <w:t>,</w:t>
      </w:r>
      <w:r w:rsidR="00E7709F" w:rsidRPr="00C46965">
        <w:rPr>
          <w:rFonts w:ascii="Times New Roman" w:hAnsi="Times New Roman"/>
          <w:sz w:val="24"/>
          <w:szCs w:val="24"/>
        </w:rPr>
        <w:t xml:space="preserve"> which modulates the expression of RyeA during exponential phase. </w:t>
      </w:r>
      <w:r w:rsidR="00E27E9B">
        <w:rPr>
          <w:rFonts w:ascii="Times New Roman" w:hAnsi="Times New Roman"/>
          <w:sz w:val="24"/>
          <w:szCs w:val="24"/>
        </w:rPr>
        <w:t>As a consequence</w:t>
      </w:r>
      <w:r w:rsidR="00E7709F" w:rsidRPr="00C46965">
        <w:rPr>
          <w:rFonts w:ascii="Times New Roman" w:hAnsi="Times New Roman"/>
          <w:sz w:val="24"/>
          <w:szCs w:val="24"/>
        </w:rPr>
        <w:t xml:space="preserve">, stability of RyeA improves in the exponential phase upon deletion of </w:t>
      </w:r>
      <w:r w:rsidR="00E7709F" w:rsidRPr="002E1767">
        <w:rPr>
          <w:rFonts w:ascii="Times New Roman" w:hAnsi="Times New Roman"/>
          <w:i/>
          <w:sz w:val="24"/>
          <w:szCs w:val="24"/>
        </w:rPr>
        <w:t>rbn</w:t>
      </w:r>
      <w:r w:rsidR="00E7709F" w:rsidRPr="00C46965">
        <w:rPr>
          <w:rFonts w:ascii="Times New Roman" w:hAnsi="Times New Roman"/>
          <w:sz w:val="24"/>
          <w:szCs w:val="24"/>
        </w:rPr>
        <w:t xml:space="preserve"> gene. </w:t>
      </w:r>
      <w:r w:rsidR="00E27E9B">
        <w:rPr>
          <w:rFonts w:ascii="Times New Roman" w:hAnsi="Times New Roman"/>
          <w:sz w:val="24"/>
          <w:szCs w:val="24"/>
        </w:rPr>
        <w:t>Conversely</w:t>
      </w:r>
      <w:r w:rsidR="00E7709F" w:rsidRPr="00C46965">
        <w:rPr>
          <w:rFonts w:ascii="Times New Roman" w:hAnsi="Times New Roman"/>
          <w:sz w:val="24"/>
          <w:szCs w:val="24"/>
        </w:rPr>
        <w:t xml:space="preserve">, </w:t>
      </w:r>
      <w:r w:rsidR="00E27E9B">
        <w:rPr>
          <w:rFonts w:ascii="Times New Roman" w:hAnsi="Times New Roman"/>
          <w:sz w:val="24"/>
          <w:szCs w:val="24"/>
        </w:rPr>
        <w:t>abundance</w:t>
      </w:r>
      <w:r w:rsidR="00E7709F" w:rsidRPr="00C46965">
        <w:rPr>
          <w:rFonts w:ascii="Times New Roman" w:hAnsi="Times New Roman"/>
          <w:sz w:val="24"/>
          <w:szCs w:val="24"/>
        </w:rPr>
        <w:t xml:space="preserve"> of RyeB in the stationary phase </w:t>
      </w:r>
      <w:r w:rsidR="00E27E9B">
        <w:rPr>
          <w:rFonts w:ascii="Times New Roman" w:hAnsi="Times New Roman"/>
          <w:sz w:val="24"/>
          <w:szCs w:val="24"/>
        </w:rPr>
        <w:t>leads to</w:t>
      </w:r>
      <w:r w:rsidR="00E7709F" w:rsidRPr="00C46965">
        <w:rPr>
          <w:rFonts w:ascii="Times New Roman" w:hAnsi="Times New Roman"/>
          <w:sz w:val="24"/>
          <w:szCs w:val="24"/>
        </w:rPr>
        <w:t xml:space="preserve"> RyeA d</w:t>
      </w:r>
      <w:r w:rsidR="00C46965" w:rsidRPr="00C46965">
        <w:rPr>
          <w:rFonts w:ascii="Times New Roman" w:hAnsi="Times New Roman"/>
          <w:sz w:val="24"/>
          <w:szCs w:val="24"/>
        </w:rPr>
        <w:t>egradation</w:t>
      </w:r>
      <w:r w:rsidR="00E27E9B">
        <w:rPr>
          <w:rFonts w:ascii="Times New Roman" w:hAnsi="Times New Roman"/>
          <w:sz w:val="24"/>
          <w:szCs w:val="24"/>
        </w:rPr>
        <w:t xml:space="preserve"> by acting as RNA trap</w:t>
      </w:r>
      <w:r w:rsidR="00E7709F" w:rsidRPr="00C46965">
        <w:rPr>
          <w:rFonts w:ascii="Times New Roman" w:hAnsi="Times New Roman"/>
          <w:sz w:val="24"/>
          <w:szCs w:val="24"/>
        </w:rPr>
        <w:t>. The regulatory mechanism</w:t>
      </w:r>
      <w:r w:rsidR="00E27E9B">
        <w:rPr>
          <w:rFonts w:ascii="Times New Roman" w:hAnsi="Times New Roman"/>
          <w:sz w:val="24"/>
          <w:szCs w:val="24"/>
        </w:rPr>
        <w:t>s</w:t>
      </w:r>
      <w:r w:rsidR="00E7709F" w:rsidRPr="00C46965">
        <w:rPr>
          <w:rFonts w:ascii="Times New Roman" w:hAnsi="Times New Roman"/>
          <w:sz w:val="24"/>
          <w:szCs w:val="24"/>
        </w:rPr>
        <w:t xml:space="preserve"> deciphered in the present study throw more light on the role of RyeA in </w:t>
      </w:r>
      <w:r w:rsidR="00E7709F" w:rsidRPr="00C46965">
        <w:rPr>
          <w:rFonts w:ascii="Times New Roman" w:hAnsi="Times New Roman"/>
          <w:i/>
          <w:iCs/>
          <w:sz w:val="24"/>
          <w:szCs w:val="24"/>
        </w:rPr>
        <w:t>E.coli</w:t>
      </w:r>
      <w:r w:rsidR="00C46965" w:rsidRPr="00C46965">
        <w:rPr>
          <w:rFonts w:ascii="Times New Roman" w:hAnsi="Times New Roman"/>
          <w:i/>
          <w:iCs/>
          <w:sz w:val="24"/>
          <w:szCs w:val="24"/>
        </w:rPr>
        <w:t>.</w:t>
      </w:r>
    </w:p>
    <w:p w:rsidR="00556ADF" w:rsidRDefault="00556ADF" w:rsidP="00E7709F">
      <w:pPr>
        <w:spacing w:line="36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556ADF">
        <w:rPr>
          <w:rFonts w:ascii="Times New Roman" w:hAnsi="Times New Roman"/>
          <w:b/>
          <w:iCs/>
          <w:sz w:val="24"/>
          <w:szCs w:val="24"/>
        </w:rPr>
        <w:t>Reference.</w:t>
      </w:r>
    </w:p>
    <w:p w:rsidR="00D55D08" w:rsidRPr="00234E15" w:rsidRDefault="00D55D08" w:rsidP="00E7709F">
      <w:pPr>
        <w:spacing w:line="360" w:lineRule="auto"/>
        <w:jc w:val="both"/>
        <w:rPr>
          <w:rFonts w:ascii="Times New Roman" w:hAnsi="Times New Roman"/>
          <w:iCs/>
          <w:sz w:val="24"/>
          <w:szCs w:val="24"/>
        </w:rPr>
      </w:pPr>
      <w:bookmarkStart w:id="0" w:name="_GoBack"/>
      <w:r w:rsidRPr="00234E15">
        <w:rPr>
          <w:rFonts w:ascii="Times New Roman" w:hAnsi="Times New Roman"/>
          <w:iCs/>
          <w:sz w:val="24"/>
          <w:szCs w:val="24"/>
        </w:rPr>
        <w:t xml:space="preserve">Amit </w:t>
      </w:r>
      <w:proofErr w:type="spellStart"/>
      <w:r w:rsidRPr="00234E15">
        <w:rPr>
          <w:rFonts w:ascii="Times New Roman" w:hAnsi="Times New Roman"/>
          <w:iCs/>
          <w:sz w:val="24"/>
          <w:szCs w:val="24"/>
        </w:rPr>
        <w:t>K.Gupta</w:t>
      </w:r>
      <w:proofErr w:type="spellEnd"/>
      <w:r w:rsidRPr="00234E15">
        <w:rPr>
          <w:rFonts w:ascii="Times New Roman" w:hAnsi="Times New Roman"/>
          <w:iCs/>
          <w:sz w:val="24"/>
          <w:szCs w:val="24"/>
        </w:rPr>
        <w:t xml:space="preserve">, </w:t>
      </w:r>
      <w:proofErr w:type="spellStart"/>
      <w:r w:rsidRPr="00234E15">
        <w:rPr>
          <w:rFonts w:ascii="Times New Roman" w:hAnsi="Times New Roman"/>
          <w:iCs/>
          <w:sz w:val="24"/>
          <w:szCs w:val="24"/>
        </w:rPr>
        <w:t>Namra</w:t>
      </w:r>
      <w:proofErr w:type="spellEnd"/>
      <w:r w:rsidRPr="00234E15">
        <w:rPr>
          <w:rFonts w:ascii="Times New Roman" w:hAnsi="Times New Roman"/>
          <w:iCs/>
          <w:sz w:val="24"/>
          <w:szCs w:val="24"/>
        </w:rPr>
        <w:t xml:space="preserve"> Siddiqui, </w:t>
      </w:r>
      <w:proofErr w:type="spellStart"/>
      <w:r w:rsidRPr="00234E15">
        <w:rPr>
          <w:rFonts w:ascii="Times New Roman" w:hAnsi="Times New Roman"/>
          <w:iCs/>
          <w:sz w:val="24"/>
          <w:szCs w:val="24"/>
        </w:rPr>
        <w:t>Divya</w:t>
      </w:r>
      <w:proofErr w:type="spellEnd"/>
      <w:r w:rsidRPr="00234E15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234E15">
        <w:rPr>
          <w:rFonts w:ascii="Times New Roman" w:hAnsi="Times New Roman"/>
          <w:iCs/>
          <w:sz w:val="24"/>
          <w:szCs w:val="24"/>
        </w:rPr>
        <w:t>Yadav</w:t>
      </w:r>
      <w:proofErr w:type="spellEnd"/>
      <w:r w:rsidRPr="00234E15">
        <w:rPr>
          <w:rFonts w:ascii="Times New Roman" w:hAnsi="Times New Roman"/>
          <w:iCs/>
          <w:sz w:val="24"/>
          <w:szCs w:val="24"/>
        </w:rPr>
        <w:t xml:space="preserve">, </w:t>
      </w:r>
      <w:proofErr w:type="spellStart"/>
      <w:r w:rsidRPr="00234E15">
        <w:rPr>
          <w:rFonts w:ascii="Times New Roman" w:hAnsi="Times New Roman"/>
          <w:iCs/>
          <w:sz w:val="24"/>
          <w:szCs w:val="24"/>
        </w:rPr>
        <w:t>Laxmi</w:t>
      </w:r>
      <w:proofErr w:type="spellEnd"/>
      <w:r w:rsidRPr="00234E15">
        <w:rPr>
          <w:rFonts w:ascii="Times New Roman" w:hAnsi="Times New Roman"/>
          <w:iCs/>
          <w:sz w:val="24"/>
          <w:szCs w:val="24"/>
        </w:rPr>
        <w:t xml:space="preserve"> Arora and Tanmay Dutta</w:t>
      </w:r>
      <w:r w:rsidR="00234E15">
        <w:rPr>
          <w:rFonts w:ascii="Times New Roman" w:hAnsi="Times New Roman"/>
          <w:iCs/>
          <w:sz w:val="24"/>
          <w:szCs w:val="24"/>
        </w:rPr>
        <w:t>.</w:t>
      </w:r>
      <w:r w:rsidRPr="00234E15">
        <w:rPr>
          <w:rFonts w:ascii="Times New Roman" w:hAnsi="Times New Roman"/>
          <w:iCs/>
          <w:sz w:val="24"/>
          <w:szCs w:val="24"/>
        </w:rPr>
        <w:t xml:space="preserve"> (2019). Regulation of RyeA/SraC expression in </w:t>
      </w:r>
      <w:r w:rsidRPr="00234E15">
        <w:rPr>
          <w:rFonts w:ascii="Times New Roman" w:hAnsi="Times New Roman"/>
          <w:i/>
          <w:iCs/>
          <w:sz w:val="24"/>
          <w:szCs w:val="24"/>
        </w:rPr>
        <w:t xml:space="preserve">Escherichia coli. Biochem. Biophys. </w:t>
      </w:r>
      <w:proofErr w:type="spellStart"/>
      <w:r w:rsidRPr="00234E15">
        <w:rPr>
          <w:rFonts w:ascii="Times New Roman" w:hAnsi="Times New Roman"/>
          <w:i/>
          <w:iCs/>
          <w:sz w:val="24"/>
          <w:szCs w:val="24"/>
        </w:rPr>
        <w:t>Res.commum</w:t>
      </w:r>
      <w:proofErr w:type="spellEnd"/>
      <w:r w:rsidR="00234E15" w:rsidRPr="00234E15">
        <w:rPr>
          <w:rFonts w:ascii="Times New Roman" w:hAnsi="Times New Roman"/>
          <w:i/>
          <w:iCs/>
          <w:sz w:val="24"/>
          <w:szCs w:val="24"/>
        </w:rPr>
        <w:t xml:space="preserve"> </w:t>
      </w:r>
      <w:hyperlink r:id="rId5" w:tooltip="Go to table of contents for this volume/issue" w:history="1">
        <w:r w:rsidR="00234E15" w:rsidRPr="00234E15">
          <w:rPr>
            <w:rStyle w:val="Hyperlink"/>
            <w:rFonts w:ascii="Times New Roman" w:hAnsi="Times New Roman"/>
            <w:color w:val="auto"/>
            <w:sz w:val="21"/>
            <w:szCs w:val="21"/>
            <w:u w:val="none"/>
          </w:rPr>
          <w:t>Volume 516, Issue 3</w:t>
        </w:r>
      </w:hyperlink>
      <w:r w:rsidR="00234E15" w:rsidRPr="00234E15">
        <w:rPr>
          <w:rFonts w:ascii="Times New Roman" w:hAnsi="Times New Roman"/>
          <w:sz w:val="21"/>
          <w:szCs w:val="21"/>
        </w:rPr>
        <w:t>, 27 August 2019, Pages 661-665</w:t>
      </w:r>
      <w:bookmarkEnd w:id="0"/>
      <w:r w:rsidR="00234E15">
        <w:rPr>
          <w:rFonts w:ascii="Arial" w:hAnsi="Arial" w:cs="Arial"/>
          <w:sz w:val="21"/>
          <w:szCs w:val="21"/>
        </w:rPr>
        <w:t>.</w:t>
      </w:r>
    </w:p>
    <w:p w:rsidR="005F682A" w:rsidRDefault="005F682A"/>
    <w:sectPr w:rsidR="005F68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UwNjIzNTEyMTAyM7NQ0lEKTi0uzszPAykwqQUAYgFqDCwAAAA="/>
  </w:docVars>
  <w:rsids>
    <w:rsidRoot w:val="00E7709F"/>
    <w:rsid w:val="000E4297"/>
    <w:rsid w:val="00130017"/>
    <w:rsid w:val="00234E15"/>
    <w:rsid w:val="002372B1"/>
    <w:rsid w:val="002E1767"/>
    <w:rsid w:val="00556ADF"/>
    <w:rsid w:val="005F0879"/>
    <w:rsid w:val="005F682A"/>
    <w:rsid w:val="00657FAB"/>
    <w:rsid w:val="006741EE"/>
    <w:rsid w:val="0071139A"/>
    <w:rsid w:val="007C0B29"/>
    <w:rsid w:val="0095228C"/>
    <w:rsid w:val="009801C2"/>
    <w:rsid w:val="00A345DE"/>
    <w:rsid w:val="00C03FC1"/>
    <w:rsid w:val="00C46965"/>
    <w:rsid w:val="00D55D08"/>
    <w:rsid w:val="00D73C83"/>
    <w:rsid w:val="00E27E9B"/>
    <w:rsid w:val="00E7709F"/>
    <w:rsid w:val="00EE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565858-CF09-46D7-A560-2DBED3345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709F"/>
    <w:pPr>
      <w:spacing w:line="256" w:lineRule="auto"/>
    </w:pPr>
    <w:rPr>
      <w:rFonts w:ascii="Calibri" w:eastAsia="Calibri" w:hAnsi="Calibri" w:cs="Times New Roman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34E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4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sciencedirect.com/science/journal/0006291X/516/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41946-6253-42F8-8F89-01C6FE07A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10</cp:revision>
  <dcterms:created xsi:type="dcterms:W3CDTF">2019-06-25T11:04:00Z</dcterms:created>
  <dcterms:modified xsi:type="dcterms:W3CDTF">2019-08-13T16:58:00Z</dcterms:modified>
</cp:coreProperties>
</file>