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0C339A" w14:textId="518F1A4A" w:rsidR="00CA51F8" w:rsidRPr="00CA51F8" w:rsidRDefault="00CA51F8" w:rsidP="00CA51F8">
      <w:pPr>
        <w:pStyle w:val="Web"/>
        <w:jc w:val="center"/>
        <w:rPr>
          <w:lang w:val="en-US"/>
        </w:rPr>
      </w:pPr>
      <w:r w:rsidRPr="00CA51F8">
        <w:rPr>
          <w:rFonts w:ascii="Cambria" w:hAnsi="Cambria"/>
          <w:b/>
          <w:bCs/>
          <w:sz w:val="28"/>
          <w:szCs w:val="28"/>
          <w:lang w:val="en-US"/>
        </w:rPr>
        <w:t>The Influence of Spirituality and Religiosity in Palliative Care</w:t>
      </w:r>
    </w:p>
    <w:p w14:paraId="1424819A" w14:textId="77777777" w:rsidR="00CA51F8" w:rsidRPr="00CA51F8" w:rsidRDefault="00CA51F8" w:rsidP="00CA51F8">
      <w:pPr>
        <w:pStyle w:val="Web"/>
        <w:rPr>
          <w:lang w:val="en-US"/>
        </w:rPr>
      </w:pPr>
      <w:proofErr w:type="spellStart"/>
      <w:r w:rsidRPr="00CA51F8">
        <w:rPr>
          <w:rFonts w:ascii="Cambria" w:hAnsi="Cambria"/>
          <w:b/>
          <w:bCs/>
          <w:lang w:val="en-US"/>
        </w:rPr>
        <w:t>Kleanthis</w:t>
      </w:r>
      <w:proofErr w:type="spellEnd"/>
      <w:r w:rsidRPr="00CA51F8">
        <w:rPr>
          <w:rFonts w:ascii="Cambria" w:hAnsi="Cambria"/>
          <w:b/>
          <w:bCs/>
          <w:lang w:val="en-US"/>
        </w:rPr>
        <w:t xml:space="preserve"> </w:t>
      </w:r>
      <w:proofErr w:type="spellStart"/>
      <w:r w:rsidRPr="00CA51F8">
        <w:rPr>
          <w:rFonts w:ascii="Cambria" w:hAnsi="Cambria"/>
          <w:b/>
          <w:bCs/>
          <w:lang w:val="en-US"/>
        </w:rPr>
        <w:t>Nizamis</w:t>
      </w:r>
      <w:proofErr w:type="spellEnd"/>
      <w:r w:rsidRPr="00CA51F8">
        <w:rPr>
          <w:rFonts w:ascii="Cambria" w:hAnsi="Cambria"/>
          <w:b/>
          <w:bCs/>
          <w:lang w:val="en-US"/>
        </w:rPr>
        <w:t xml:space="preserve"> </w:t>
      </w:r>
    </w:p>
    <w:p w14:paraId="578C9E93" w14:textId="669FA385" w:rsidR="00CA51F8" w:rsidRPr="00CA51F8" w:rsidRDefault="00CA51F8" w:rsidP="00CA51F8">
      <w:pPr>
        <w:pStyle w:val="Web"/>
        <w:rPr>
          <w:lang w:val="en-US"/>
        </w:rPr>
      </w:pPr>
      <w:r w:rsidRPr="00CA51F8">
        <w:rPr>
          <w:rFonts w:ascii="Cambria" w:hAnsi="Cambria"/>
          <w:color w:val="212121"/>
          <w:sz w:val="22"/>
          <w:szCs w:val="22"/>
          <w:shd w:val="clear" w:color="auto" w:fill="FFFFFF"/>
          <w:lang w:val="en-US"/>
        </w:rPr>
        <w:t xml:space="preserve">School of Theology, Aristotle University of Thessaloniki </w:t>
      </w:r>
      <w:r>
        <w:rPr>
          <w:rFonts w:ascii="Cambria" w:hAnsi="Cambria"/>
          <w:color w:val="212121"/>
          <w:sz w:val="22"/>
          <w:szCs w:val="22"/>
          <w:shd w:val="clear" w:color="auto" w:fill="FFFFFF"/>
          <w:lang w:val="en-US"/>
        </w:rPr>
        <w:t>Greece</w:t>
      </w:r>
    </w:p>
    <w:p w14:paraId="48AC5EFE" w14:textId="77777777" w:rsidR="00CA51F8" w:rsidRPr="00CA51F8" w:rsidRDefault="00CA51F8" w:rsidP="00CA51F8">
      <w:pPr>
        <w:pStyle w:val="Web"/>
        <w:rPr>
          <w:lang w:val="en-US"/>
        </w:rPr>
      </w:pPr>
      <w:r w:rsidRPr="00CA51F8">
        <w:rPr>
          <w:rFonts w:ascii="Cambria" w:hAnsi="Cambria"/>
          <w:b/>
          <w:bCs/>
          <w:lang w:val="en-US"/>
        </w:rPr>
        <w:t xml:space="preserve">Vassilios </w:t>
      </w:r>
      <w:proofErr w:type="spellStart"/>
      <w:r w:rsidRPr="00CA51F8">
        <w:rPr>
          <w:rFonts w:ascii="Cambria" w:hAnsi="Cambria"/>
          <w:b/>
          <w:bCs/>
          <w:lang w:val="en-US"/>
        </w:rPr>
        <w:t>Kalliakmanis</w:t>
      </w:r>
      <w:proofErr w:type="spellEnd"/>
      <w:r w:rsidRPr="00CA51F8">
        <w:rPr>
          <w:rFonts w:ascii="Cambria" w:hAnsi="Cambria"/>
          <w:b/>
          <w:bCs/>
          <w:lang w:val="en-US"/>
        </w:rPr>
        <w:t xml:space="preserve"> </w:t>
      </w:r>
    </w:p>
    <w:p w14:paraId="17C51E34" w14:textId="14309DE5" w:rsidR="00CA51F8" w:rsidRPr="00CA51F8" w:rsidRDefault="00CA51F8" w:rsidP="00CA51F8">
      <w:pPr>
        <w:pStyle w:val="Web"/>
        <w:rPr>
          <w:lang w:val="en-US"/>
        </w:rPr>
      </w:pPr>
      <w:r w:rsidRPr="00CA51F8">
        <w:rPr>
          <w:rFonts w:ascii="Cambria" w:hAnsi="Cambria"/>
          <w:color w:val="212121"/>
          <w:sz w:val="22"/>
          <w:szCs w:val="22"/>
          <w:shd w:val="clear" w:color="auto" w:fill="FFFFFF"/>
          <w:lang w:val="en-US"/>
        </w:rPr>
        <w:t xml:space="preserve">School of Theology, Aristotle University of Thessaloniki </w:t>
      </w:r>
      <w:r>
        <w:rPr>
          <w:rFonts w:ascii="Cambria" w:hAnsi="Cambria"/>
          <w:color w:val="212121"/>
          <w:sz w:val="22"/>
          <w:szCs w:val="22"/>
          <w:shd w:val="clear" w:color="auto" w:fill="FFFFFF"/>
          <w:lang w:val="en-US"/>
        </w:rPr>
        <w:t>Greece</w:t>
      </w:r>
    </w:p>
    <w:p w14:paraId="4A352099" w14:textId="77777777" w:rsidR="00CA51F8" w:rsidRDefault="00CA51F8" w:rsidP="00CA51F8">
      <w:pPr>
        <w:pStyle w:val="Web"/>
        <w:rPr>
          <w:rFonts w:ascii="Cambria" w:hAnsi="Cambria"/>
          <w:b/>
          <w:bCs/>
          <w:lang w:val="en-US"/>
        </w:rPr>
      </w:pPr>
      <w:r w:rsidRPr="00CA51F8">
        <w:rPr>
          <w:rFonts w:ascii="Cambria" w:hAnsi="Cambria"/>
          <w:b/>
          <w:bCs/>
          <w:lang w:val="en-US"/>
        </w:rPr>
        <w:t xml:space="preserve">Nikolaos </w:t>
      </w:r>
      <w:proofErr w:type="spellStart"/>
      <w:r w:rsidRPr="00CA51F8">
        <w:rPr>
          <w:rFonts w:ascii="Cambria" w:hAnsi="Cambria"/>
          <w:b/>
          <w:bCs/>
          <w:lang w:val="en-US"/>
        </w:rPr>
        <w:t>Koutsoupias</w:t>
      </w:r>
      <w:proofErr w:type="spellEnd"/>
      <w:r w:rsidRPr="00CA51F8">
        <w:rPr>
          <w:rFonts w:ascii="Cambria" w:hAnsi="Cambria"/>
          <w:b/>
          <w:bCs/>
          <w:lang w:val="en-US"/>
        </w:rPr>
        <w:t xml:space="preserve"> </w:t>
      </w:r>
    </w:p>
    <w:p w14:paraId="24247E96" w14:textId="5C9775D5" w:rsidR="00CA51F8" w:rsidRPr="00CA51F8" w:rsidRDefault="00CA51F8" w:rsidP="00CA51F8">
      <w:pPr>
        <w:pStyle w:val="Web"/>
        <w:rPr>
          <w:lang w:val="en-US"/>
        </w:rPr>
      </w:pPr>
      <w:r w:rsidRPr="00CA51F8">
        <w:rPr>
          <w:rFonts w:ascii="Cambria" w:hAnsi="Cambria"/>
          <w:color w:val="212121"/>
          <w:sz w:val="22"/>
          <w:szCs w:val="22"/>
          <w:lang w:val="en-US"/>
        </w:rPr>
        <w:t xml:space="preserve">Department of International and European Studies, University of Macedonia </w:t>
      </w:r>
      <w:r>
        <w:rPr>
          <w:rFonts w:ascii="Cambria" w:hAnsi="Cambria"/>
          <w:color w:val="212121"/>
          <w:sz w:val="22"/>
          <w:szCs w:val="22"/>
          <w:lang w:val="en-US"/>
        </w:rPr>
        <w:t>Greece</w:t>
      </w:r>
    </w:p>
    <w:p w14:paraId="002461E6" w14:textId="73306F23" w:rsidR="00CA51F8" w:rsidRPr="00CA51F8" w:rsidRDefault="00CA51F8" w:rsidP="00CA51F8">
      <w:pPr>
        <w:pStyle w:val="Web"/>
        <w:rPr>
          <w:lang w:val="en-US"/>
        </w:rPr>
      </w:pPr>
      <w:r w:rsidRPr="00CA51F8">
        <w:rPr>
          <w:rFonts w:ascii="Cambria" w:hAnsi="Cambria"/>
          <w:b/>
          <w:bCs/>
          <w:lang w:val="en-US"/>
        </w:rPr>
        <w:t xml:space="preserve">Petros </w:t>
      </w:r>
      <w:proofErr w:type="spellStart"/>
      <w:r w:rsidRPr="00CA51F8">
        <w:rPr>
          <w:rFonts w:ascii="Cambria" w:hAnsi="Cambria"/>
          <w:b/>
          <w:bCs/>
          <w:lang w:val="en-US"/>
        </w:rPr>
        <w:t>Panagiotopoulos</w:t>
      </w:r>
      <w:proofErr w:type="spellEnd"/>
      <w:r w:rsidRPr="00CA51F8">
        <w:rPr>
          <w:rFonts w:ascii="Cambria" w:hAnsi="Cambria"/>
          <w:b/>
          <w:bCs/>
          <w:lang w:val="en-US"/>
        </w:rPr>
        <w:t xml:space="preserve"> </w:t>
      </w:r>
    </w:p>
    <w:p w14:paraId="4D1B5FC7" w14:textId="713FCBA3" w:rsidR="00CA51F8" w:rsidRPr="00CA51F8" w:rsidRDefault="00CA51F8" w:rsidP="00CA51F8">
      <w:pPr>
        <w:pStyle w:val="Web"/>
        <w:rPr>
          <w:rFonts w:ascii="Cambria" w:hAnsi="Cambria"/>
          <w:color w:val="212121"/>
          <w:sz w:val="22"/>
          <w:szCs w:val="22"/>
          <w:shd w:val="clear" w:color="auto" w:fill="FFFFFF"/>
          <w:lang w:val="en-US"/>
        </w:rPr>
      </w:pPr>
      <w:r w:rsidRPr="00CA51F8">
        <w:rPr>
          <w:rFonts w:ascii="Cambria" w:hAnsi="Cambria"/>
          <w:color w:val="212121"/>
          <w:sz w:val="22"/>
          <w:szCs w:val="22"/>
          <w:shd w:val="clear" w:color="auto" w:fill="FFFFFF"/>
          <w:lang w:val="en-US"/>
        </w:rPr>
        <w:t xml:space="preserve">School of Theology, Aristotle University of Thessaloniki </w:t>
      </w:r>
      <w:r>
        <w:rPr>
          <w:rFonts w:ascii="Cambria" w:hAnsi="Cambria"/>
          <w:color w:val="212121"/>
          <w:sz w:val="22"/>
          <w:szCs w:val="22"/>
          <w:shd w:val="clear" w:color="auto" w:fill="FFFFFF"/>
          <w:lang w:val="en-US"/>
        </w:rPr>
        <w:t>Greece</w:t>
      </w:r>
    </w:p>
    <w:p w14:paraId="6DF2EF99" w14:textId="77777777" w:rsidR="00CA51F8" w:rsidRPr="00CA51F8" w:rsidRDefault="00CA51F8" w:rsidP="00CA51F8">
      <w:pPr>
        <w:pStyle w:val="Web"/>
        <w:rPr>
          <w:lang w:val="en-US"/>
        </w:rPr>
      </w:pPr>
    </w:p>
    <w:p w14:paraId="5E4ACB44" w14:textId="2E3626BE" w:rsidR="00CA51F8" w:rsidRPr="00CA51F8" w:rsidRDefault="00CA51F8" w:rsidP="00CA51F8">
      <w:pPr>
        <w:spacing w:before="100" w:beforeAutospacing="1" w:after="100" w:afterAutospacing="1"/>
        <w:rPr>
          <w:rFonts w:ascii="Times New Roman" w:eastAsia="Times New Roman" w:hAnsi="Times New Roman" w:cs="Times New Roman"/>
          <w:lang w:eastAsia="el-GR"/>
        </w:rPr>
      </w:pPr>
      <w:proofErr w:type="spellStart"/>
      <w:r w:rsidRPr="00CA51F8">
        <w:rPr>
          <w:rFonts w:ascii="Cambria" w:eastAsia="Times New Roman" w:hAnsi="Cambria" w:cs="Times New Roman"/>
          <w:b/>
          <w:bCs/>
          <w:color w:val="212121"/>
          <w:sz w:val="22"/>
          <w:szCs w:val="22"/>
          <w:lang w:eastAsia="el-GR"/>
        </w:rPr>
        <w:t>Abstract</w:t>
      </w:r>
      <w:proofErr w:type="spellEnd"/>
      <w:r w:rsidRPr="00CA51F8">
        <w:rPr>
          <w:rFonts w:ascii="Cambria" w:eastAsia="Times New Roman" w:hAnsi="Cambria" w:cs="Times New Roman"/>
          <w:b/>
          <w:bCs/>
          <w:color w:val="212121"/>
          <w:sz w:val="22"/>
          <w:szCs w:val="22"/>
          <w:lang w:eastAsia="el-GR"/>
        </w:rPr>
        <w:t xml:space="preserve">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8300"/>
      </w:tblGrid>
      <w:tr w:rsidR="00CA51F8" w:rsidRPr="0098148F" w14:paraId="16970883" w14:textId="77777777" w:rsidTr="00CA51F8">
        <w:tc>
          <w:tcPr>
            <w:tcW w:w="0" w:type="auto"/>
            <w:tcBorders>
              <w:top w:val="single" w:sz="2" w:space="0" w:color="auto"/>
              <w:left w:val="single" w:sz="2" w:space="0" w:color="000000"/>
              <w:bottom w:val="single" w:sz="2" w:space="0" w:color="000000"/>
              <w:right w:val="single" w:sz="2" w:space="0" w:color="000000"/>
            </w:tcBorders>
            <w:shd w:val="clear" w:color="auto" w:fill="FFFFFF"/>
            <w:vAlign w:val="center"/>
            <w:hideMark/>
          </w:tcPr>
          <w:p w14:paraId="7664DD9F" w14:textId="4015660B" w:rsidR="00CA51F8" w:rsidRPr="00CA51F8" w:rsidRDefault="00CA51F8" w:rsidP="00CA51F8">
            <w:pPr>
              <w:spacing w:before="100" w:beforeAutospacing="1" w:after="100" w:afterAutospacing="1"/>
              <w:jc w:val="both"/>
              <w:divId w:val="1596326567"/>
              <w:rPr>
                <w:rFonts w:ascii="Times New Roman" w:eastAsia="Times New Roman" w:hAnsi="Times New Roman" w:cs="Times New Roman"/>
                <w:lang w:val="en-US" w:eastAsia="el-GR"/>
              </w:rPr>
            </w:pPr>
            <w:r w:rsidRPr="00CA51F8">
              <w:rPr>
                <w:rFonts w:ascii="Cambria" w:eastAsia="Times New Roman" w:hAnsi="Cambria" w:cs="Times New Roman"/>
                <w:color w:val="212121"/>
                <w:sz w:val="22"/>
                <w:szCs w:val="22"/>
                <w:lang w:val="en-US" w:eastAsia="el-GR"/>
              </w:rPr>
              <w:t xml:space="preserve">In recent years there has been talk of "Palliative care", an interdisciplinary approach of care, which focuses on supporting and relieving patients and their family environment in progressive and life-threatening illnesses. Its aim is to provide optimal comfort and quality of life, maintain hope and family cohesion despite the possibility of death and generally support patients and their families in the stages of pain, </w:t>
            </w:r>
            <w:proofErr w:type="gramStart"/>
            <w:r w:rsidRPr="00CA51F8">
              <w:rPr>
                <w:rFonts w:ascii="Cambria" w:eastAsia="Times New Roman" w:hAnsi="Cambria" w:cs="Times New Roman"/>
                <w:color w:val="212121"/>
                <w:sz w:val="22"/>
                <w:szCs w:val="22"/>
                <w:lang w:val="en-US" w:eastAsia="el-GR"/>
              </w:rPr>
              <w:t>illness</w:t>
            </w:r>
            <w:proofErr w:type="gramEnd"/>
            <w:r w:rsidRPr="00CA51F8">
              <w:rPr>
                <w:rFonts w:ascii="Cambria" w:eastAsia="Times New Roman" w:hAnsi="Cambria" w:cs="Times New Roman"/>
                <w:color w:val="212121"/>
                <w:sz w:val="22"/>
                <w:szCs w:val="22"/>
                <w:lang w:val="en-US" w:eastAsia="el-GR"/>
              </w:rPr>
              <w:t xml:space="preserve"> and mourning. The theological approach of palliative care, with the opening of new horizons of view of pain and illness and their management with the help of faith, are challenges for the age of human omnipotence. The factors "spirituality" and "religiosity" have begun in recent years to be </w:t>
            </w:r>
            <w:proofErr w:type="gramStart"/>
            <w:r w:rsidRPr="00CA51F8">
              <w:rPr>
                <w:rFonts w:ascii="Cambria" w:eastAsia="Times New Roman" w:hAnsi="Cambria" w:cs="Times New Roman"/>
                <w:color w:val="212121"/>
                <w:sz w:val="22"/>
                <w:szCs w:val="22"/>
                <w:lang w:val="en-US" w:eastAsia="el-GR"/>
              </w:rPr>
              <w:t>taken into account</w:t>
            </w:r>
            <w:proofErr w:type="gramEnd"/>
            <w:r w:rsidRPr="00CA51F8">
              <w:rPr>
                <w:rFonts w:ascii="Cambria" w:eastAsia="Times New Roman" w:hAnsi="Cambria" w:cs="Times New Roman"/>
                <w:color w:val="212121"/>
                <w:sz w:val="22"/>
                <w:szCs w:val="22"/>
                <w:lang w:val="en-US" w:eastAsia="el-GR"/>
              </w:rPr>
              <w:t xml:space="preserve"> in the multitude of biological, psychological and spiritual factors that affect the body's psychosomatic response to illness and treatment. In the present study, we are trying to explore the influence of religious faith in the management of physical, psychological, and mental problems, that arise in the parents of children with cancer. The research was conducted on a sample of 133 families facing childhood cancer and the collected data were analyzed using </w:t>
            </w:r>
            <w:proofErr w:type="gramStart"/>
            <w:r w:rsidRPr="00CA51F8">
              <w:rPr>
                <w:rFonts w:ascii="Cambria" w:eastAsia="Times New Roman" w:hAnsi="Cambria" w:cs="Times New Roman"/>
                <w:color w:val="212121"/>
                <w:sz w:val="22"/>
                <w:szCs w:val="22"/>
                <w:lang w:val="en-US" w:eastAsia="el-GR"/>
              </w:rPr>
              <w:t>open source</w:t>
            </w:r>
            <w:proofErr w:type="gramEnd"/>
            <w:r w:rsidRPr="00CA51F8">
              <w:rPr>
                <w:rFonts w:ascii="Cambria" w:eastAsia="Times New Roman" w:hAnsi="Cambria" w:cs="Times New Roman"/>
                <w:color w:val="212121"/>
                <w:sz w:val="22"/>
                <w:szCs w:val="22"/>
                <w:lang w:val="en-US" w:eastAsia="el-GR"/>
              </w:rPr>
              <w:t xml:space="preserve"> software. Purpose of the study is to explore whether belief in God in the general frame of palliative care, can play a decisive role during the childhood illness, managing emotions such as anxiety and fear, and maintaining the parent's psychological balance.</w:t>
            </w:r>
          </w:p>
        </w:tc>
      </w:tr>
    </w:tbl>
    <w:p w14:paraId="1ACCAD25" w14:textId="0D66BFB1" w:rsidR="00EA727A" w:rsidRPr="0098148F" w:rsidRDefault="00CA51F8" w:rsidP="0098148F">
      <w:pPr>
        <w:spacing w:before="100" w:beforeAutospacing="1" w:after="100" w:afterAutospacing="1"/>
        <w:rPr>
          <w:rFonts w:ascii="Times New Roman" w:eastAsia="Times New Roman" w:hAnsi="Times New Roman" w:cs="Times New Roman"/>
          <w:lang w:val="en-US" w:eastAsia="el-GR"/>
        </w:rPr>
      </w:pPr>
      <w:r w:rsidRPr="00CA51F8">
        <w:rPr>
          <w:rFonts w:ascii="Cambria" w:eastAsia="Times New Roman" w:hAnsi="Cambria" w:cs="Times New Roman"/>
          <w:b/>
          <w:bCs/>
          <w:color w:val="212121"/>
          <w:sz w:val="22"/>
          <w:szCs w:val="22"/>
          <w:lang w:val="en-US" w:eastAsia="el-GR"/>
        </w:rPr>
        <w:t>Keywords</w:t>
      </w:r>
      <w:r w:rsidRPr="00CA51F8">
        <w:rPr>
          <w:rFonts w:ascii="Cambria" w:eastAsia="Times New Roman" w:hAnsi="Cambria" w:cs="Times New Roman"/>
          <w:color w:val="212121"/>
          <w:sz w:val="22"/>
          <w:szCs w:val="22"/>
          <w:lang w:val="en-US" w:eastAsia="el-GR"/>
        </w:rPr>
        <w:t xml:space="preserve">: Palliative Care, Spirituality, Religiosity, Pastoral Care and Counselling for Sickness, Suffering and Pain, Childhood Cancer </w:t>
      </w:r>
    </w:p>
    <w:p w14:paraId="082AC16C" w14:textId="39D491B0" w:rsidR="0098148F" w:rsidRDefault="0098148F" w:rsidP="0098148F">
      <w:pPr>
        <w:spacing w:before="100" w:beforeAutospacing="1" w:after="100" w:afterAutospacing="1"/>
        <w:rPr>
          <w:rFonts w:ascii="Cambria" w:eastAsia="Times New Roman" w:hAnsi="Cambria" w:cs="Times New Roman"/>
          <w:b/>
          <w:bCs/>
          <w:color w:val="212121"/>
          <w:sz w:val="22"/>
          <w:szCs w:val="22"/>
          <w:lang w:val="en-US" w:eastAsia="el-GR"/>
        </w:rPr>
      </w:pPr>
      <w:r w:rsidRPr="0098148F">
        <w:rPr>
          <w:rFonts w:ascii="Cambria" w:eastAsia="Times New Roman" w:hAnsi="Cambria" w:cs="Times New Roman"/>
          <w:b/>
          <w:bCs/>
          <w:color w:val="212121"/>
          <w:sz w:val="22"/>
          <w:szCs w:val="22"/>
          <w:lang w:val="en-US" w:eastAsia="el-GR"/>
        </w:rPr>
        <w:t xml:space="preserve">Biography: </w:t>
      </w:r>
      <w:r>
        <w:rPr>
          <w:rFonts w:ascii="Cambria" w:eastAsia="Times New Roman" w:hAnsi="Cambria" w:cs="Times New Roman"/>
          <w:b/>
          <w:bCs/>
          <w:color w:val="212121"/>
          <w:sz w:val="22"/>
          <w:szCs w:val="22"/>
          <w:lang w:val="en-US" w:eastAsia="el-GR"/>
        </w:rPr>
        <w:t xml:space="preserve"> </w:t>
      </w:r>
    </w:p>
    <w:p w14:paraId="3606B66E" w14:textId="28CFA73B" w:rsidR="0098148F" w:rsidRPr="0098148F" w:rsidRDefault="0098148F" w:rsidP="0098148F">
      <w:pPr>
        <w:spacing w:before="100" w:beforeAutospacing="1" w:after="100" w:afterAutospacing="1"/>
        <w:jc w:val="both"/>
        <w:rPr>
          <w:rFonts w:ascii="Cambria" w:eastAsia="Times New Roman" w:hAnsi="Cambria" w:cs="Times New Roman"/>
          <w:color w:val="212121"/>
          <w:sz w:val="22"/>
          <w:szCs w:val="22"/>
          <w:lang w:val="en-US" w:eastAsia="el-GR"/>
        </w:rPr>
      </w:pPr>
      <w:proofErr w:type="spellStart"/>
      <w:r w:rsidRPr="0098148F">
        <w:rPr>
          <w:rFonts w:ascii="Cambria" w:eastAsia="Times New Roman" w:hAnsi="Cambria" w:cs="Times New Roman"/>
          <w:color w:val="212121"/>
          <w:sz w:val="22"/>
          <w:szCs w:val="22"/>
          <w:lang w:val="en-US" w:eastAsia="el-GR"/>
        </w:rPr>
        <w:t>Kleanthis</w:t>
      </w:r>
      <w:proofErr w:type="spellEnd"/>
      <w:r w:rsidRPr="0098148F">
        <w:rPr>
          <w:rFonts w:ascii="Cambria" w:eastAsia="Times New Roman" w:hAnsi="Cambria" w:cs="Times New Roman"/>
          <w:color w:val="212121"/>
          <w:sz w:val="22"/>
          <w:szCs w:val="22"/>
          <w:lang w:val="en-US" w:eastAsia="el-GR"/>
        </w:rPr>
        <w:t xml:space="preserve"> </w:t>
      </w:r>
      <w:proofErr w:type="spellStart"/>
      <w:r w:rsidRPr="0098148F">
        <w:rPr>
          <w:rFonts w:ascii="Cambria" w:eastAsia="Times New Roman" w:hAnsi="Cambria" w:cs="Times New Roman"/>
          <w:color w:val="212121"/>
          <w:sz w:val="22"/>
          <w:szCs w:val="22"/>
          <w:lang w:val="en-US" w:eastAsia="el-GR"/>
        </w:rPr>
        <w:t>Nizamis</w:t>
      </w:r>
      <w:proofErr w:type="spellEnd"/>
      <w:r w:rsidRPr="0098148F">
        <w:rPr>
          <w:rFonts w:ascii="Cambria" w:eastAsia="Times New Roman" w:hAnsi="Cambria" w:cs="Times New Roman"/>
          <w:color w:val="212121"/>
          <w:sz w:val="22"/>
          <w:szCs w:val="22"/>
          <w:lang w:val="en-US" w:eastAsia="el-GR"/>
        </w:rPr>
        <w:t xml:space="preserve"> is a Post-Doctorate in Bioethics and Christian Ethics and works as an </w:t>
      </w:r>
      <w:r>
        <w:rPr>
          <w:rFonts w:ascii="Cambria" w:eastAsia="Times New Roman" w:hAnsi="Cambria" w:cs="Times New Roman"/>
          <w:color w:val="212121"/>
          <w:sz w:val="22"/>
          <w:szCs w:val="22"/>
          <w:lang w:val="en-US" w:eastAsia="el-GR"/>
        </w:rPr>
        <w:t>Adjunct Lecturer</w:t>
      </w:r>
      <w:r w:rsidRPr="0098148F">
        <w:rPr>
          <w:rFonts w:ascii="Cambria" w:eastAsia="Times New Roman" w:hAnsi="Cambria" w:cs="Times New Roman"/>
          <w:color w:val="212121"/>
          <w:sz w:val="22"/>
          <w:szCs w:val="22"/>
          <w:lang w:val="en-US" w:eastAsia="el-GR"/>
        </w:rPr>
        <w:t xml:space="preserve"> - Academic Scholar of </w:t>
      </w:r>
      <w:proofErr w:type="spellStart"/>
      <w:r w:rsidRPr="0098148F">
        <w:rPr>
          <w:rFonts w:ascii="Cambria" w:eastAsia="Times New Roman" w:hAnsi="Cambria" w:cs="Times New Roman"/>
          <w:color w:val="212121"/>
          <w:sz w:val="22"/>
          <w:szCs w:val="22"/>
          <w:lang w:val="en-US" w:eastAsia="el-GR"/>
        </w:rPr>
        <w:t>A.U.Th</w:t>
      </w:r>
      <w:proofErr w:type="spellEnd"/>
      <w:r w:rsidRPr="0098148F">
        <w:rPr>
          <w:rFonts w:ascii="Cambria" w:eastAsia="Times New Roman" w:hAnsi="Cambria" w:cs="Times New Roman"/>
          <w:color w:val="212121"/>
          <w:sz w:val="22"/>
          <w:szCs w:val="22"/>
          <w:lang w:val="en-US" w:eastAsia="el-GR"/>
        </w:rPr>
        <w:t xml:space="preserve">. in the Department of Ethics &amp; Sociology of the Faculty of Theology, teaching Bioethics, Ethics and Christian Ethics, Pastoral and Counseling courses. In addition, he </w:t>
      </w:r>
      <w:proofErr w:type="gramStart"/>
      <w:r w:rsidRPr="0098148F">
        <w:rPr>
          <w:rFonts w:ascii="Cambria" w:eastAsia="Times New Roman" w:hAnsi="Cambria" w:cs="Times New Roman"/>
          <w:color w:val="212121"/>
          <w:sz w:val="22"/>
          <w:szCs w:val="22"/>
          <w:lang w:val="en-US" w:eastAsia="el-GR"/>
        </w:rPr>
        <w:t>is in charge of</w:t>
      </w:r>
      <w:proofErr w:type="gramEnd"/>
      <w:r w:rsidRPr="0098148F">
        <w:rPr>
          <w:rFonts w:ascii="Cambria" w:eastAsia="Times New Roman" w:hAnsi="Cambria" w:cs="Times New Roman"/>
          <w:color w:val="212121"/>
          <w:sz w:val="22"/>
          <w:szCs w:val="22"/>
          <w:lang w:val="en-US" w:eastAsia="el-GR"/>
        </w:rPr>
        <w:t xml:space="preserve"> Public Relations of the "</w:t>
      </w:r>
      <w:proofErr w:type="spellStart"/>
      <w:r w:rsidRPr="0098148F">
        <w:rPr>
          <w:rFonts w:ascii="Cambria" w:eastAsia="Times New Roman" w:hAnsi="Cambria" w:cs="Times New Roman"/>
          <w:color w:val="212121"/>
          <w:sz w:val="22"/>
          <w:szCs w:val="22"/>
          <w:lang w:val="en-US" w:eastAsia="el-GR"/>
        </w:rPr>
        <w:t>Ormylia</w:t>
      </w:r>
      <w:proofErr w:type="spellEnd"/>
      <w:r w:rsidRPr="0098148F">
        <w:rPr>
          <w:rFonts w:ascii="Cambria" w:eastAsia="Times New Roman" w:hAnsi="Cambria" w:cs="Times New Roman"/>
          <w:color w:val="212121"/>
          <w:sz w:val="22"/>
          <w:szCs w:val="22"/>
          <w:lang w:val="en-US" w:eastAsia="el-GR"/>
        </w:rPr>
        <w:t xml:space="preserve">" Foundation. He was born in 1992 in Kavala, where he grew up and completed his general education. He studied Biology and then Theology at the Aristotle University of Thessaloniki. Afterwards, he did post-graduate studies at the National School of Public </w:t>
      </w:r>
      <w:r w:rsidRPr="0098148F">
        <w:rPr>
          <w:rFonts w:ascii="Cambria" w:eastAsia="Times New Roman" w:hAnsi="Cambria" w:cs="Times New Roman"/>
          <w:color w:val="212121"/>
          <w:sz w:val="22"/>
          <w:szCs w:val="22"/>
          <w:lang w:val="en-US" w:eastAsia="el-GR"/>
        </w:rPr>
        <w:lastRenderedPageBreak/>
        <w:t xml:space="preserve">Health in Athens (now the University of West Attica), obtaining a Post-Graduate </w:t>
      </w:r>
      <w:proofErr w:type="gramStart"/>
      <w:r>
        <w:rPr>
          <w:rFonts w:ascii="Cambria" w:eastAsia="Times New Roman" w:hAnsi="Cambria" w:cs="Times New Roman"/>
          <w:color w:val="212121"/>
          <w:sz w:val="22"/>
          <w:szCs w:val="22"/>
          <w:lang w:val="en-US" w:eastAsia="el-GR"/>
        </w:rPr>
        <w:t>Masters</w:t>
      </w:r>
      <w:proofErr w:type="gramEnd"/>
      <w:r>
        <w:rPr>
          <w:rFonts w:ascii="Cambria" w:eastAsia="Times New Roman" w:hAnsi="Cambria" w:cs="Times New Roman"/>
          <w:color w:val="212121"/>
          <w:sz w:val="22"/>
          <w:szCs w:val="22"/>
          <w:lang w:val="en-US" w:eastAsia="el-GR"/>
        </w:rPr>
        <w:t xml:space="preserve"> </w:t>
      </w:r>
      <w:r w:rsidRPr="0098148F">
        <w:rPr>
          <w:rFonts w:ascii="Cambria" w:eastAsia="Times New Roman" w:hAnsi="Cambria" w:cs="Times New Roman"/>
          <w:color w:val="212121"/>
          <w:sz w:val="22"/>
          <w:szCs w:val="22"/>
          <w:lang w:val="en-US" w:eastAsia="el-GR"/>
        </w:rPr>
        <w:t xml:space="preserve">Diploma in Public Health. On June 9, 2022, he defended his doctoral thesis. The topic of his doctoral research was "Palliative care in childhood. A Theological Approach and Empirical Research', focusing on supporting parents and relatives of children with </w:t>
      </w:r>
      <w:r>
        <w:rPr>
          <w:rFonts w:ascii="Cambria" w:eastAsia="Times New Roman" w:hAnsi="Cambria" w:cs="Times New Roman"/>
          <w:color w:val="212121"/>
          <w:sz w:val="22"/>
          <w:szCs w:val="22"/>
          <w:lang w:val="en-US" w:eastAsia="el-GR"/>
        </w:rPr>
        <w:t>cancer</w:t>
      </w:r>
      <w:r w:rsidRPr="0098148F">
        <w:rPr>
          <w:rFonts w:ascii="Cambria" w:eastAsia="Times New Roman" w:hAnsi="Cambria" w:cs="Times New Roman"/>
          <w:color w:val="212121"/>
          <w:sz w:val="22"/>
          <w:szCs w:val="22"/>
          <w:lang w:val="en-US" w:eastAsia="el-GR"/>
        </w:rPr>
        <w:t xml:space="preserve">. His doctoral thesis was selected and funded with a scholarship by the European Institute of Counseling &amp; Psychotherapy - </w:t>
      </w:r>
      <w:proofErr w:type="spellStart"/>
      <w:r w:rsidRPr="0098148F">
        <w:rPr>
          <w:rFonts w:ascii="Cambria" w:eastAsia="Times New Roman" w:hAnsi="Cambria" w:cs="Times New Roman"/>
          <w:color w:val="212121"/>
          <w:sz w:val="22"/>
          <w:szCs w:val="22"/>
          <w:lang w:val="en-US" w:eastAsia="el-GR"/>
        </w:rPr>
        <w:t>E.I.C.P</w:t>
      </w:r>
      <w:proofErr w:type="spellEnd"/>
      <w:r w:rsidRPr="0098148F">
        <w:rPr>
          <w:rFonts w:ascii="Cambria" w:eastAsia="Times New Roman" w:hAnsi="Cambria" w:cs="Times New Roman"/>
          <w:color w:val="212121"/>
          <w:sz w:val="22"/>
          <w:szCs w:val="22"/>
          <w:lang w:val="en-US" w:eastAsia="el-GR"/>
        </w:rPr>
        <w:t xml:space="preserve">. From 2021, he is a certified instructor-former at the Foundation for Pastoral Education of the Holy Archdiocese of Athens (I.P.E.), in the Human Resources Lifelong Learning Programs of the Church. From 2022 he is a certified trainer at the Training and Lifelong Learning Center of the Aristotle University of Thessaloniki in collaboration with the Public Employment Service (PSE). </w:t>
      </w:r>
      <w:proofErr w:type="gramStart"/>
      <w:r w:rsidRPr="0098148F">
        <w:rPr>
          <w:rFonts w:ascii="Cambria" w:eastAsia="Times New Roman" w:hAnsi="Cambria" w:cs="Times New Roman"/>
          <w:color w:val="212121"/>
          <w:sz w:val="22"/>
          <w:szCs w:val="22"/>
          <w:lang w:val="en-US" w:eastAsia="el-GR"/>
        </w:rPr>
        <w:t>Also</w:t>
      </w:r>
      <w:proofErr w:type="gramEnd"/>
      <w:r w:rsidRPr="0098148F">
        <w:rPr>
          <w:rFonts w:ascii="Cambria" w:eastAsia="Times New Roman" w:hAnsi="Cambria" w:cs="Times New Roman"/>
          <w:color w:val="212121"/>
          <w:sz w:val="22"/>
          <w:szCs w:val="22"/>
          <w:lang w:val="en-US" w:eastAsia="el-GR"/>
        </w:rPr>
        <w:t xml:space="preserve"> from 2022 he is a teacher at the Theological School of the Orthodox University of the Congo "Saint Athanasios the Athonite".</w:t>
      </w:r>
    </w:p>
    <w:p w14:paraId="57A8EB3A" w14:textId="71A2AFF1" w:rsidR="0098148F" w:rsidRDefault="0098148F" w:rsidP="0098148F">
      <w:pPr>
        <w:spacing w:before="100" w:beforeAutospacing="1" w:after="100" w:afterAutospacing="1"/>
        <w:jc w:val="both"/>
        <w:rPr>
          <w:rFonts w:ascii="Cambria" w:eastAsia="Times New Roman" w:hAnsi="Cambria" w:cs="Times New Roman"/>
          <w:color w:val="212121"/>
          <w:sz w:val="22"/>
          <w:szCs w:val="22"/>
          <w:lang w:val="en-US" w:eastAsia="el-GR"/>
        </w:rPr>
      </w:pPr>
      <w:r w:rsidRPr="0098148F">
        <w:rPr>
          <w:rFonts w:ascii="Cambria" w:eastAsia="Times New Roman" w:hAnsi="Cambria" w:cs="Times New Roman"/>
          <w:color w:val="212121"/>
          <w:sz w:val="22"/>
          <w:szCs w:val="22"/>
          <w:lang w:val="en-US" w:eastAsia="el-GR"/>
        </w:rPr>
        <w:t>As part of his studies, he retrained in public health at the Center for Immunobiology and Infectious Diseases (</w:t>
      </w:r>
      <w:proofErr w:type="spellStart"/>
      <w:r w:rsidRPr="0098148F">
        <w:rPr>
          <w:rFonts w:ascii="Cambria" w:eastAsia="Times New Roman" w:hAnsi="Cambria" w:cs="Times New Roman"/>
          <w:color w:val="212121"/>
          <w:sz w:val="22"/>
          <w:szCs w:val="22"/>
          <w:lang w:val="en-US" w:eastAsia="el-GR"/>
        </w:rPr>
        <w:t>CIMI</w:t>
      </w:r>
      <w:proofErr w:type="spellEnd"/>
      <w:r w:rsidRPr="0098148F">
        <w:rPr>
          <w:rFonts w:ascii="Cambria" w:eastAsia="Times New Roman" w:hAnsi="Cambria" w:cs="Times New Roman"/>
          <w:color w:val="212121"/>
          <w:sz w:val="22"/>
          <w:szCs w:val="22"/>
          <w:lang w:val="en-US" w:eastAsia="el-GR"/>
        </w:rPr>
        <w:t xml:space="preserve"> Paris) of the Université Pierre-et-Marie-Curie School of Medicine in collaboration with the National Institute for Health and Medical Research (</w:t>
      </w:r>
      <w:proofErr w:type="spellStart"/>
      <w:r w:rsidRPr="0098148F">
        <w:rPr>
          <w:rFonts w:ascii="Cambria" w:eastAsia="Times New Roman" w:hAnsi="Cambria" w:cs="Times New Roman"/>
          <w:color w:val="212121"/>
          <w:sz w:val="22"/>
          <w:szCs w:val="22"/>
          <w:lang w:val="en-US" w:eastAsia="el-GR"/>
        </w:rPr>
        <w:t>INSERM</w:t>
      </w:r>
      <w:proofErr w:type="spellEnd"/>
      <w:r w:rsidRPr="0098148F">
        <w:rPr>
          <w:rFonts w:ascii="Cambria" w:eastAsia="Times New Roman" w:hAnsi="Cambria" w:cs="Times New Roman"/>
          <w:color w:val="212121"/>
          <w:sz w:val="22"/>
          <w:szCs w:val="22"/>
          <w:lang w:val="en-US" w:eastAsia="el-GR"/>
        </w:rPr>
        <w:t>) in Paris (2015</w:t>
      </w:r>
      <w:proofErr w:type="gramStart"/>
      <w:r w:rsidRPr="0098148F">
        <w:rPr>
          <w:rFonts w:ascii="Cambria" w:eastAsia="Times New Roman" w:hAnsi="Cambria" w:cs="Times New Roman"/>
          <w:color w:val="212121"/>
          <w:sz w:val="22"/>
          <w:szCs w:val="22"/>
          <w:lang w:val="en-US" w:eastAsia="el-GR"/>
        </w:rPr>
        <w:t>) )</w:t>
      </w:r>
      <w:proofErr w:type="gramEnd"/>
      <w:r w:rsidRPr="0098148F">
        <w:rPr>
          <w:rFonts w:ascii="Cambria" w:eastAsia="Times New Roman" w:hAnsi="Cambria" w:cs="Times New Roman"/>
          <w:color w:val="212121"/>
          <w:sz w:val="22"/>
          <w:szCs w:val="22"/>
          <w:lang w:val="en-US" w:eastAsia="el-GR"/>
        </w:rPr>
        <w:t>. In addition, he attended ethics and bioethics courses as a visit</w:t>
      </w:r>
      <w:r>
        <w:rPr>
          <w:rFonts w:ascii="Cambria" w:eastAsia="Times New Roman" w:hAnsi="Cambria" w:cs="Times New Roman"/>
          <w:color w:val="212121"/>
          <w:sz w:val="22"/>
          <w:szCs w:val="22"/>
          <w:lang w:val="en-US" w:eastAsia="el-GR"/>
        </w:rPr>
        <w:t>or</w:t>
      </w:r>
      <w:r w:rsidRPr="0098148F">
        <w:rPr>
          <w:rFonts w:ascii="Cambria" w:eastAsia="Times New Roman" w:hAnsi="Cambria" w:cs="Times New Roman"/>
          <w:color w:val="212121"/>
          <w:sz w:val="22"/>
          <w:szCs w:val="22"/>
          <w:lang w:val="en-US" w:eastAsia="el-GR"/>
        </w:rPr>
        <w:t xml:space="preserve"> student at the graduate programs of Holy Cross Greek Orthodox School of Theology in Boston (2017) and Saint Vladimir's Orthodox Theological Seminary in New York (2017). He worked as a scientific associate in lung cancer research at the Pulmonology Clinic of </w:t>
      </w:r>
      <w:proofErr w:type="spellStart"/>
      <w:r w:rsidRPr="0098148F">
        <w:rPr>
          <w:rFonts w:ascii="Cambria" w:eastAsia="Times New Roman" w:hAnsi="Cambria" w:cs="Times New Roman"/>
          <w:color w:val="212121"/>
          <w:sz w:val="22"/>
          <w:szCs w:val="22"/>
          <w:lang w:val="en-US" w:eastAsia="el-GR"/>
        </w:rPr>
        <w:t>Theagenion</w:t>
      </w:r>
      <w:proofErr w:type="spellEnd"/>
      <w:r w:rsidRPr="0098148F">
        <w:rPr>
          <w:rFonts w:ascii="Cambria" w:eastAsia="Times New Roman" w:hAnsi="Cambria" w:cs="Times New Roman"/>
          <w:color w:val="212121"/>
          <w:sz w:val="22"/>
          <w:szCs w:val="22"/>
          <w:lang w:val="en-US" w:eastAsia="el-GR"/>
        </w:rPr>
        <w:t xml:space="preserve"> Cancer Hospital of Thessaloniki. He speaks English and French. His scientific subject is related to issues of Bioethics, Ethics, Christian Ethics, Counseling, Palliative Care and Pastoral management of illness &amp; pain. In his writing work there are articles related to the above-mentioned academic subjects and participations in respective conferences.</w:t>
      </w:r>
    </w:p>
    <w:p w14:paraId="3F31AF53" w14:textId="59602FF0" w:rsidR="0098148F" w:rsidRDefault="0098148F" w:rsidP="0098148F">
      <w:pPr>
        <w:spacing w:before="100" w:beforeAutospacing="1" w:after="100" w:afterAutospacing="1"/>
        <w:rPr>
          <w:rFonts w:ascii="Cambria" w:eastAsia="Times New Roman" w:hAnsi="Cambria" w:cs="Times New Roman"/>
          <w:b/>
          <w:bCs/>
          <w:color w:val="212121"/>
          <w:sz w:val="22"/>
          <w:szCs w:val="22"/>
          <w:lang w:val="en-US" w:eastAsia="el-GR"/>
        </w:rPr>
      </w:pPr>
      <w:r>
        <w:rPr>
          <w:rFonts w:ascii="Cambria" w:eastAsia="Times New Roman" w:hAnsi="Cambria" w:cs="Times New Roman"/>
          <w:b/>
          <w:bCs/>
          <w:color w:val="212121"/>
          <w:sz w:val="22"/>
          <w:szCs w:val="22"/>
          <w:lang w:val="en-US" w:eastAsia="el-GR"/>
        </w:rPr>
        <w:t>References</w:t>
      </w:r>
      <w:r w:rsidRPr="0098148F">
        <w:rPr>
          <w:rFonts w:ascii="Cambria" w:eastAsia="Times New Roman" w:hAnsi="Cambria" w:cs="Times New Roman"/>
          <w:b/>
          <w:bCs/>
          <w:color w:val="212121"/>
          <w:sz w:val="22"/>
          <w:szCs w:val="22"/>
          <w:lang w:val="en-US" w:eastAsia="el-GR"/>
        </w:rPr>
        <w:t xml:space="preserve">: </w:t>
      </w:r>
      <w:r>
        <w:rPr>
          <w:rFonts w:ascii="Cambria" w:eastAsia="Times New Roman" w:hAnsi="Cambria" w:cs="Times New Roman"/>
          <w:b/>
          <w:bCs/>
          <w:color w:val="212121"/>
          <w:sz w:val="22"/>
          <w:szCs w:val="22"/>
          <w:lang w:val="en-US" w:eastAsia="el-GR"/>
        </w:rPr>
        <w:t xml:space="preserve"> </w:t>
      </w:r>
    </w:p>
    <w:sdt>
      <w:sdtPr>
        <w:rPr>
          <w:rFonts w:ascii="Cambria" w:hAnsi="Cambria"/>
          <w:sz w:val="20"/>
          <w:szCs w:val="20"/>
        </w:rPr>
        <w:id w:val="111145805"/>
        <w:bibliography/>
      </w:sdtPr>
      <w:sdtEndPr>
        <w:rPr>
          <w:lang w:val="el-GR"/>
        </w:rPr>
      </w:sdtEndPr>
      <w:sdtContent>
        <w:p w14:paraId="0C60B724" w14:textId="77777777" w:rsidR="0098148F" w:rsidRPr="00563954" w:rsidRDefault="0098148F" w:rsidP="0098148F">
          <w:pPr>
            <w:pStyle w:val="a3"/>
            <w:ind w:left="720" w:hanging="720"/>
            <w:rPr>
              <w:rFonts w:ascii="Cambria" w:hAnsi="Cambria"/>
              <w:noProof/>
              <w:sz w:val="20"/>
              <w:szCs w:val="20"/>
            </w:rPr>
          </w:pPr>
          <w:r w:rsidRPr="00563954">
            <w:rPr>
              <w:rFonts w:ascii="Cambria" w:eastAsia="Cambria" w:hAnsi="Cambria" w:cs="Times New Roman"/>
              <w:sz w:val="20"/>
              <w:szCs w:val="20"/>
            </w:rPr>
            <w:fldChar w:fldCharType="begin"/>
          </w:r>
          <w:r w:rsidRPr="00563954">
            <w:rPr>
              <w:rFonts w:ascii="Cambria" w:hAnsi="Cambria"/>
              <w:sz w:val="20"/>
              <w:szCs w:val="20"/>
            </w:rPr>
            <w:instrText>BIBLIOGRAPHY</w:instrText>
          </w:r>
          <w:r w:rsidRPr="00563954">
            <w:rPr>
              <w:rFonts w:ascii="Cambria" w:eastAsia="Cambria" w:hAnsi="Cambria" w:cs="Times New Roman"/>
              <w:sz w:val="20"/>
              <w:szCs w:val="20"/>
            </w:rPr>
            <w:fldChar w:fldCharType="separate"/>
          </w:r>
          <w:r w:rsidRPr="00563954">
            <w:rPr>
              <w:rFonts w:ascii="Cambria" w:hAnsi="Cambria"/>
              <w:noProof/>
              <w:sz w:val="20"/>
              <w:szCs w:val="20"/>
            </w:rPr>
            <w:t xml:space="preserve">Brand </w:t>
          </w:r>
          <w:r>
            <w:rPr>
              <w:rFonts w:ascii="Cambria" w:hAnsi="Cambria"/>
              <w:noProof/>
              <w:sz w:val="20"/>
              <w:szCs w:val="20"/>
            </w:rPr>
            <w:t>&amp; Yancey</w:t>
          </w:r>
          <w:r w:rsidRPr="00563954">
            <w:rPr>
              <w:rFonts w:ascii="Cambria" w:hAnsi="Cambria"/>
              <w:noProof/>
              <w:sz w:val="20"/>
              <w:szCs w:val="20"/>
            </w:rPr>
            <w:t xml:space="preserve"> (1993). </w:t>
          </w:r>
          <w:r w:rsidRPr="00563954">
            <w:rPr>
              <w:rFonts w:ascii="Cambria" w:hAnsi="Cambria"/>
              <w:i/>
              <w:iCs/>
              <w:noProof/>
              <w:sz w:val="20"/>
              <w:szCs w:val="20"/>
            </w:rPr>
            <w:t>Pain the gift nobody wants.</w:t>
          </w:r>
          <w:r w:rsidRPr="00563954">
            <w:rPr>
              <w:rFonts w:ascii="Cambria" w:hAnsi="Cambria"/>
              <w:noProof/>
              <w:sz w:val="20"/>
              <w:szCs w:val="20"/>
            </w:rPr>
            <w:t xml:space="preserve"> </w:t>
          </w:r>
        </w:p>
        <w:p w14:paraId="755EA84E" w14:textId="77777777" w:rsidR="0098148F" w:rsidRPr="00563954" w:rsidRDefault="0098148F" w:rsidP="0098148F">
          <w:pPr>
            <w:pStyle w:val="a3"/>
            <w:ind w:left="720" w:hanging="720"/>
            <w:rPr>
              <w:rFonts w:ascii="Cambria" w:hAnsi="Cambria"/>
              <w:noProof/>
              <w:sz w:val="20"/>
              <w:szCs w:val="20"/>
            </w:rPr>
          </w:pPr>
          <w:r w:rsidRPr="00563954">
            <w:rPr>
              <w:rFonts w:ascii="Cambria" w:hAnsi="Cambria"/>
              <w:noProof/>
              <w:sz w:val="20"/>
              <w:szCs w:val="20"/>
            </w:rPr>
            <w:t xml:space="preserve">Connor (2020). </w:t>
          </w:r>
          <w:r w:rsidRPr="00563954">
            <w:rPr>
              <w:rFonts w:ascii="Cambria" w:hAnsi="Cambria"/>
              <w:i/>
              <w:iCs/>
              <w:noProof/>
              <w:sz w:val="20"/>
              <w:szCs w:val="20"/>
            </w:rPr>
            <w:t>Global atlas of palliative care at the end of life.</w:t>
          </w:r>
          <w:r w:rsidRPr="00563954">
            <w:rPr>
              <w:rFonts w:ascii="Cambria" w:hAnsi="Cambria"/>
              <w:noProof/>
              <w:sz w:val="20"/>
              <w:szCs w:val="20"/>
            </w:rPr>
            <w:t xml:space="preserve"> London: Worldwide Pall</w:t>
          </w:r>
          <w:r>
            <w:rPr>
              <w:rFonts w:ascii="Cambria" w:hAnsi="Cambria"/>
              <w:noProof/>
              <w:sz w:val="20"/>
              <w:szCs w:val="20"/>
            </w:rPr>
            <w:t>iat</w:t>
          </w:r>
          <w:r w:rsidRPr="00563954">
            <w:rPr>
              <w:rFonts w:ascii="Cambria" w:hAnsi="Cambria"/>
              <w:noProof/>
              <w:sz w:val="20"/>
              <w:szCs w:val="20"/>
            </w:rPr>
            <w:t>ive Care Alliance &amp; WHO.</w:t>
          </w:r>
        </w:p>
        <w:p w14:paraId="4B6BBC6F" w14:textId="77777777" w:rsidR="0098148F" w:rsidRPr="00563954" w:rsidRDefault="0098148F" w:rsidP="0098148F">
          <w:pPr>
            <w:pStyle w:val="a3"/>
            <w:ind w:left="720" w:hanging="720"/>
            <w:rPr>
              <w:rFonts w:ascii="Cambria" w:hAnsi="Cambria"/>
              <w:noProof/>
              <w:sz w:val="20"/>
              <w:szCs w:val="20"/>
            </w:rPr>
          </w:pPr>
          <w:r w:rsidRPr="00563954">
            <w:rPr>
              <w:rFonts w:ascii="Cambria" w:hAnsi="Cambria"/>
              <w:noProof/>
              <w:sz w:val="20"/>
              <w:szCs w:val="20"/>
            </w:rPr>
            <w:t xml:space="preserve">Gijsberts et al. (2019). Spiritual Care in Palliative Care: A Systematic Review of the Recent European Literature. </w:t>
          </w:r>
          <w:r w:rsidRPr="00563954">
            <w:rPr>
              <w:rFonts w:ascii="Cambria" w:hAnsi="Cambria"/>
              <w:i/>
              <w:iCs/>
              <w:noProof/>
              <w:sz w:val="20"/>
              <w:szCs w:val="20"/>
            </w:rPr>
            <w:t>Medical Sciences</w:t>
          </w:r>
          <w:r w:rsidRPr="00563954">
            <w:rPr>
              <w:rFonts w:ascii="Cambria" w:hAnsi="Cambria"/>
              <w:noProof/>
              <w:sz w:val="20"/>
              <w:szCs w:val="20"/>
            </w:rPr>
            <w:t>(7), 25.</w:t>
          </w:r>
        </w:p>
        <w:p w14:paraId="7F28D127" w14:textId="77777777" w:rsidR="0098148F" w:rsidRPr="00563954" w:rsidRDefault="0098148F" w:rsidP="0098148F">
          <w:pPr>
            <w:pStyle w:val="a3"/>
            <w:ind w:left="720" w:hanging="720"/>
            <w:rPr>
              <w:rFonts w:ascii="Cambria" w:hAnsi="Cambria"/>
              <w:noProof/>
              <w:sz w:val="20"/>
              <w:szCs w:val="20"/>
            </w:rPr>
          </w:pPr>
          <w:r w:rsidRPr="00563954">
            <w:rPr>
              <w:rFonts w:ascii="Cambria" w:hAnsi="Cambria"/>
              <w:noProof/>
              <w:sz w:val="20"/>
              <w:szCs w:val="20"/>
            </w:rPr>
            <w:t xml:space="preserve">Grant et al. (2010). Spiritual dimensions of dying in pluralist societies. </w:t>
          </w:r>
          <w:r w:rsidRPr="00563954">
            <w:rPr>
              <w:rFonts w:ascii="Cambria" w:hAnsi="Cambria"/>
              <w:i/>
              <w:iCs/>
              <w:noProof/>
              <w:sz w:val="20"/>
              <w:szCs w:val="20"/>
            </w:rPr>
            <w:t>British Medical Journal, 341</w:t>
          </w:r>
          <w:r w:rsidRPr="00563954">
            <w:rPr>
              <w:rFonts w:ascii="Cambria" w:hAnsi="Cambria"/>
              <w:noProof/>
              <w:sz w:val="20"/>
              <w:szCs w:val="20"/>
            </w:rPr>
            <w:t>, 659-662.</w:t>
          </w:r>
        </w:p>
        <w:p w14:paraId="5BECB569" w14:textId="77777777" w:rsidR="0098148F" w:rsidRPr="00563954" w:rsidRDefault="0098148F" w:rsidP="0098148F">
          <w:pPr>
            <w:pStyle w:val="a3"/>
            <w:ind w:left="720" w:hanging="720"/>
            <w:rPr>
              <w:rFonts w:ascii="Cambria" w:hAnsi="Cambria"/>
              <w:noProof/>
              <w:sz w:val="20"/>
              <w:szCs w:val="20"/>
            </w:rPr>
          </w:pPr>
          <w:r w:rsidRPr="00563954">
            <w:rPr>
              <w:rFonts w:ascii="Cambria" w:hAnsi="Cambria"/>
              <w:noProof/>
              <w:sz w:val="20"/>
              <w:szCs w:val="20"/>
            </w:rPr>
            <w:t xml:space="preserve">Hearn </w:t>
          </w:r>
          <w:r w:rsidRPr="00F21288">
            <w:rPr>
              <w:rFonts w:ascii="Cambria" w:hAnsi="Cambria"/>
              <w:noProof/>
              <w:sz w:val="20"/>
              <w:szCs w:val="20"/>
            </w:rPr>
            <w:t xml:space="preserve">&amp; </w:t>
          </w:r>
          <w:r w:rsidRPr="00AD7FF4">
            <w:rPr>
              <w:rFonts w:ascii="Cambria" w:hAnsi="Cambria"/>
              <w:noProof/>
              <w:sz w:val="20"/>
              <w:szCs w:val="20"/>
            </w:rPr>
            <w:t>Higginson</w:t>
          </w:r>
          <w:r w:rsidRPr="00563954">
            <w:rPr>
              <w:rFonts w:ascii="Cambria" w:hAnsi="Cambria"/>
              <w:noProof/>
              <w:sz w:val="20"/>
              <w:szCs w:val="20"/>
            </w:rPr>
            <w:t xml:space="preserve"> (1998). Do specialist palliative care teams improve outcomes for cancer patients? A systematic literature review. </w:t>
          </w:r>
          <w:r w:rsidRPr="00563954">
            <w:rPr>
              <w:rFonts w:ascii="Cambria" w:hAnsi="Cambria"/>
              <w:i/>
              <w:iCs/>
              <w:noProof/>
              <w:sz w:val="20"/>
              <w:szCs w:val="20"/>
            </w:rPr>
            <w:t>Palliative Medicine</w:t>
          </w:r>
          <w:r w:rsidRPr="00563954">
            <w:rPr>
              <w:rFonts w:ascii="Cambria" w:hAnsi="Cambria"/>
              <w:noProof/>
              <w:sz w:val="20"/>
              <w:szCs w:val="20"/>
            </w:rPr>
            <w:t>(12), 317-332.</w:t>
          </w:r>
        </w:p>
        <w:p w14:paraId="22F85AE2" w14:textId="77777777" w:rsidR="0098148F" w:rsidRPr="00563954" w:rsidRDefault="0098148F" w:rsidP="0098148F">
          <w:pPr>
            <w:pStyle w:val="a3"/>
            <w:ind w:left="720" w:hanging="720"/>
            <w:rPr>
              <w:rFonts w:ascii="Cambria" w:hAnsi="Cambria"/>
              <w:noProof/>
              <w:sz w:val="20"/>
              <w:szCs w:val="20"/>
            </w:rPr>
          </w:pPr>
          <w:r w:rsidRPr="00563954">
            <w:rPr>
              <w:rFonts w:ascii="Cambria" w:hAnsi="Cambria"/>
              <w:noProof/>
              <w:sz w:val="20"/>
              <w:szCs w:val="20"/>
            </w:rPr>
            <w:t xml:space="preserve">Higginson et al. (2003). Is there evidence that palliative care teams alter end-of-life experiences of patients and their caregivers? </w:t>
          </w:r>
          <w:r w:rsidRPr="00563954">
            <w:rPr>
              <w:rFonts w:ascii="Cambria" w:hAnsi="Cambria"/>
              <w:i/>
              <w:iCs/>
              <w:noProof/>
              <w:sz w:val="20"/>
              <w:szCs w:val="20"/>
            </w:rPr>
            <w:t>Journal of Pain and Symptom Management</w:t>
          </w:r>
          <w:r w:rsidRPr="00563954">
            <w:rPr>
              <w:rFonts w:ascii="Cambria" w:hAnsi="Cambria"/>
              <w:noProof/>
              <w:sz w:val="20"/>
              <w:szCs w:val="20"/>
            </w:rPr>
            <w:t>(25), 150-168.</w:t>
          </w:r>
        </w:p>
        <w:p w14:paraId="2CC34C7F" w14:textId="77777777" w:rsidR="0098148F" w:rsidRPr="00563954" w:rsidRDefault="0098148F" w:rsidP="0098148F">
          <w:pPr>
            <w:pStyle w:val="a3"/>
            <w:ind w:left="720" w:hanging="720"/>
            <w:rPr>
              <w:rFonts w:ascii="Cambria" w:hAnsi="Cambria"/>
              <w:noProof/>
              <w:sz w:val="20"/>
              <w:szCs w:val="20"/>
            </w:rPr>
          </w:pPr>
          <w:r w:rsidRPr="00563954">
            <w:rPr>
              <w:rFonts w:ascii="Cambria" w:hAnsi="Cambria"/>
              <w:noProof/>
              <w:sz w:val="20"/>
              <w:szCs w:val="20"/>
            </w:rPr>
            <w:t xml:space="preserve">Hill </w:t>
          </w:r>
          <w:r w:rsidRPr="00F21288">
            <w:rPr>
              <w:rFonts w:ascii="Cambria" w:hAnsi="Cambria"/>
              <w:noProof/>
              <w:sz w:val="20"/>
              <w:szCs w:val="20"/>
            </w:rPr>
            <w:t>&amp;</w:t>
          </w:r>
          <w:r w:rsidRPr="00563954">
            <w:rPr>
              <w:rFonts w:ascii="Cambria" w:hAnsi="Cambria"/>
              <w:noProof/>
              <w:sz w:val="20"/>
              <w:szCs w:val="20"/>
            </w:rPr>
            <w:t xml:space="preserve"> </w:t>
          </w:r>
          <w:r w:rsidRPr="00AD7FF4">
            <w:rPr>
              <w:rFonts w:ascii="Cambria" w:hAnsi="Cambria"/>
              <w:noProof/>
              <w:sz w:val="20"/>
              <w:szCs w:val="20"/>
            </w:rPr>
            <w:t>Pargament</w:t>
          </w:r>
          <w:r w:rsidRPr="00563954">
            <w:rPr>
              <w:rFonts w:ascii="Cambria" w:hAnsi="Cambria"/>
              <w:noProof/>
              <w:sz w:val="20"/>
              <w:szCs w:val="20"/>
            </w:rPr>
            <w:t xml:space="preserve"> (2003). Advances in the conceptualization and measurement of religion and spirituality. </w:t>
          </w:r>
          <w:r w:rsidRPr="00563954">
            <w:rPr>
              <w:rFonts w:ascii="Cambria" w:hAnsi="Cambria"/>
              <w:i/>
              <w:iCs/>
              <w:noProof/>
              <w:sz w:val="20"/>
              <w:szCs w:val="20"/>
            </w:rPr>
            <w:t>Implications for physical and American Psychologist</w:t>
          </w:r>
          <w:r w:rsidRPr="00563954">
            <w:rPr>
              <w:rFonts w:ascii="Cambria" w:hAnsi="Cambria"/>
              <w:noProof/>
              <w:sz w:val="20"/>
              <w:szCs w:val="20"/>
            </w:rPr>
            <w:t>(58), 64-74.</w:t>
          </w:r>
        </w:p>
        <w:p w14:paraId="5B5A670C" w14:textId="77777777" w:rsidR="0098148F" w:rsidRPr="00563954" w:rsidRDefault="0098148F" w:rsidP="0098148F">
          <w:pPr>
            <w:pStyle w:val="a3"/>
            <w:ind w:left="720" w:hanging="720"/>
            <w:rPr>
              <w:rFonts w:ascii="Cambria" w:hAnsi="Cambria"/>
              <w:noProof/>
              <w:sz w:val="20"/>
              <w:szCs w:val="20"/>
            </w:rPr>
          </w:pPr>
          <w:r w:rsidRPr="00563954">
            <w:rPr>
              <w:rFonts w:ascii="Cambria" w:hAnsi="Cambria"/>
              <w:noProof/>
              <w:sz w:val="20"/>
              <w:szCs w:val="20"/>
            </w:rPr>
            <w:t>Koutsoupias. (2018). Online Art Bying Decision Support: A Multivariate Approach. Thessaloniki.</w:t>
          </w:r>
        </w:p>
        <w:p w14:paraId="36301911" w14:textId="77777777" w:rsidR="0098148F" w:rsidRPr="00563954" w:rsidRDefault="0098148F" w:rsidP="0098148F">
          <w:pPr>
            <w:pStyle w:val="a3"/>
            <w:ind w:left="720" w:hanging="720"/>
            <w:rPr>
              <w:rFonts w:ascii="Cambria" w:hAnsi="Cambria"/>
              <w:noProof/>
              <w:sz w:val="20"/>
              <w:szCs w:val="20"/>
            </w:rPr>
          </w:pPr>
          <w:r w:rsidRPr="00563954">
            <w:rPr>
              <w:rFonts w:ascii="Cambria" w:hAnsi="Cambria"/>
              <w:noProof/>
              <w:sz w:val="20"/>
              <w:szCs w:val="20"/>
            </w:rPr>
            <w:t xml:space="preserve">Koutsoupias </w:t>
          </w:r>
          <w:r w:rsidRPr="00D42D7D">
            <w:rPr>
              <w:rFonts w:ascii="Calibri" w:hAnsi="Calibri" w:cs="Calibri"/>
              <w:noProof/>
              <w:sz w:val="20"/>
              <w:szCs w:val="20"/>
            </w:rPr>
            <w:t>﻿</w:t>
          </w:r>
          <w:r w:rsidRPr="00D42D7D">
            <w:rPr>
              <w:rFonts w:ascii="Cambria" w:hAnsi="Cambria"/>
              <w:noProof/>
              <w:sz w:val="20"/>
              <w:szCs w:val="20"/>
            </w:rPr>
            <w:t>&amp; Mikelis</w:t>
          </w:r>
          <w:r w:rsidRPr="00F21288">
            <w:rPr>
              <w:rFonts w:ascii="Cambria" w:hAnsi="Cambria"/>
              <w:noProof/>
              <w:sz w:val="20"/>
              <w:szCs w:val="20"/>
            </w:rPr>
            <w:t xml:space="preserve"> </w:t>
          </w:r>
          <w:r w:rsidRPr="00563954">
            <w:rPr>
              <w:rFonts w:ascii="Cambria" w:hAnsi="Cambria"/>
              <w:noProof/>
              <w:sz w:val="20"/>
              <w:szCs w:val="20"/>
            </w:rPr>
            <w:t xml:space="preserve">(2019). </w:t>
          </w:r>
          <w:r w:rsidRPr="00563954">
            <w:rPr>
              <w:rFonts w:ascii="Cambria" w:hAnsi="Cambria"/>
              <w:i/>
              <w:iCs/>
              <w:noProof/>
              <w:sz w:val="20"/>
              <w:szCs w:val="20"/>
            </w:rPr>
            <w:t>Exlporing International Relations Journal Articles: A Multivariate Approach.</w:t>
          </w:r>
          <w:r w:rsidRPr="00563954">
            <w:rPr>
              <w:rFonts w:ascii="Cambria" w:hAnsi="Cambria"/>
              <w:noProof/>
              <w:sz w:val="20"/>
              <w:szCs w:val="20"/>
            </w:rPr>
            <w:t xml:space="preserve"> SAGE Publications Ltd.</w:t>
          </w:r>
        </w:p>
        <w:p w14:paraId="6E3E759E" w14:textId="77777777" w:rsidR="0098148F" w:rsidRPr="00563954" w:rsidRDefault="0098148F" w:rsidP="0098148F">
          <w:pPr>
            <w:pStyle w:val="a3"/>
            <w:ind w:left="720" w:hanging="720"/>
            <w:rPr>
              <w:rFonts w:ascii="Cambria" w:hAnsi="Cambria"/>
              <w:noProof/>
              <w:sz w:val="20"/>
              <w:szCs w:val="20"/>
            </w:rPr>
          </w:pPr>
          <w:r w:rsidRPr="00563954">
            <w:rPr>
              <w:rFonts w:ascii="Cambria" w:hAnsi="Cambria"/>
              <w:noProof/>
              <w:sz w:val="20"/>
              <w:szCs w:val="20"/>
            </w:rPr>
            <w:lastRenderedPageBreak/>
            <w:t xml:space="preserve">McCoubrie </w:t>
          </w:r>
          <w:r w:rsidRPr="00F21288">
            <w:rPr>
              <w:rFonts w:ascii="Cambria" w:hAnsi="Cambria"/>
              <w:noProof/>
              <w:sz w:val="20"/>
              <w:szCs w:val="20"/>
            </w:rPr>
            <w:t xml:space="preserve">&amp; </w:t>
          </w:r>
          <w:r w:rsidRPr="00AD7FF4">
            <w:rPr>
              <w:rFonts w:ascii="Cambria" w:hAnsi="Cambria"/>
              <w:noProof/>
              <w:sz w:val="20"/>
              <w:szCs w:val="20"/>
            </w:rPr>
            <w:t>Davies</w:t>
          </w:r>
          <w:r w:rsidRPr="00563954">
            <w:rPr>
              <w:rFonts w:ascii="Cambria" w:hAnsi="Cambria"/>
              <w:noProof/>
              <w:sz w:val="20"/>
              <w:szCs w:val="20"/>
            </w:rPr>
            <w:t xml:space="preserve"> (2006). Is there a correlation between spirituality and anxiety and depression in patients with advanced cancer? </w:t>
          </w:r>
          <w:r w:rsidRPr="00563954">
            <w:rPr>
              <w:rFonts w:ascii="Cambria" w:hAnsi="Cambria"/>
              <w:i/>
              <w:iCs/>
              <w:noProof/>
              <w:sz w:val="20"/>
              <w:szCs w:val="20"/>
            </w:rPr>
            <w:t>Support Care Cancer</w:t>
          </w:r>
          <w:r w:rsidRPr="00563954">
            <w:rPr>
              <w:rFonts w:ascii="Cambria" w:hAnsi="Cambria"/>
              <w:noProof/>
              <w:sz w:val="20"/>
              <w:szCs w:val="20"/>
            </w:rPr>
            <w:t>(14), 379-385.</w:t>
          </w:r>
        </w:p>
        <w:p w14:paraId="6D33236F" w14:textId="77777777" w:rsidR="0098148F" w:rsidRPr="00563954" w:rsidRDefault="0098148F" w:rsidP="0098148F">
          <w:pPr>
            <w:pStyle w:val="a3"/>
            <w:ind w:left="720" w:hanging="720"/>
            <w:rPr>
              <w:rFonts w:ascii="Cambria" w:hAnsi="Cambria"/>
              <w:noProof/>
              <w:sz w:val="20"/>
              <w:szCs w:val="20"/>
            </w:rPr>
          </w:pPr>
          <w:r w:rsidRPr="00563954">
            <w:rPr>
              <w:rFonts w:ascii="Cambria" w:hAnsi="Cambria"/>
              <w:noProof/>
              <w:sz w:val="20"/>
              <w:szCs w:val="20"/>
            </w:rPr>
            <w:t xml:space="preserve">National Commission for the Development and Implementation of the Strategy for Palliative Care in Greece. (2019). </w:t>
          </w:r>
          <w:r w:rsidRPr="00563954">
            <w:rPr>
              <w:rFonts w:ascii="Cambria" w:hAnsi="Cambria"/>
              <w:i/>
              <w:iCs/>
              <w:noProof/>
              <w:sz w:val="20"/>
              <w:szCs w:val="20"/>
            </w:rPr>
            <w:t>Palliative Care Feasibility Study for Greece.</w:t>
          </w:r>
          <w:r w:rsidRPr="00563954">
            <w:rPr>
              <w:rFonts w:ascii="Cambria" w:hAnsi="Cambria"/>
              <w:noProof/>
              <w:sz w:val="20"/>
              <w:szCs w:val="20"/>
            </w:rPr>
            <w:t xml:space="preserve"> New York - Athens: Ministry of Health Greece &amp; Stavros Niarchos Foundation.</w:t>
          </w:r>
        </w:p>
        <w:p w14:paraId="5DE34F09" w14:textId="77777777" w:rsidR="0098148F" w:rsidRPr="00563954" w:rsidRDefault="0098148F" w:rsidP="0098148F">
          <w:pPr>
            <w:pStyle w:val="a3"/>
            <w:ind w:left="720" w:hanging="720"/>
            <w:rPr>
              <w:rFonts w:ascii="Cambria" w:hAnsi="Cambria"/>
              <w:noProof/>
              <w:sz w:val="20"/>
              <w:szCs w:val="20"/>
            </w:rPr>
          </w:pPr>
          <w:r w:rsidRPr="00563954">
            <w:rPr>
              <w:rFonts w:ascii="Cambria" w:hAnsi="Cambria"/>
              <w:noProof/>
              <w:sz w:val="20"/>
              <w:szCs w:val="20"/>
            </w:rPr>
            <w:t xml:space="preserve">Nixon et al. (2013). An investigation into the spiritual needs of neuro-oncology patients from a nurse perspective. </w:t>
          </w:r>
          <w:r w:rsidRPr="00563954">
            <w:rPr>
              <w:rFonts w:ascii="Cambria" w:hAnsi="Cambria"/>
              <w:i/>
              <w:iCs/>
              <w:noProof/>
              <w:sz w:val="20"/>
              <w:szCs w:val="20"/>
            </w:rPr>
            <w:t>BMC Nursing</w:t>
          </w:r>
          <w:r w:rsidRPr="00563954">
            <w:rPr>
              <w:rFonts w:ascii="Cambria" w:hAnsi="Cambria"/>
              <w:noProof/>
              <w:sz w:val="20"/>
              <w:szCs w:val="20"/>
            </w:rPr>
            <w:t>(12).</w:t>
          </w:r>
        </w:p>
        <w:p w14:paraId="745BF3E4" w14:textId="77777777" w:rsidR="0098148F" w:rsidRPr="00563954" w:rsidRDefault="0098148F" w:rsidP="0098148F">
          <w:pPr>
            <w:pStyle w:val="a3"/>
            <w:ind w:left="720" w:hanging="720"/>
            <w:rPr>
              <w:rFonts w:ascii="Cambria" w:hAnsi="Cambria"/>
              <w:noProof/>
              <w:sz w:val="20"/>
              <w:szCs w:val="20"/>
            </w:rPr>
          </w:pPr>
          <w:r w:rsidRPr="00563954">
            <w:rPr>
              <w:rFonts w:ascii="Cambria" w:hAnsi="Cambria"/>
              <w:noProof/>
              <w:sz w:val="20"/>
              <w:szCs w:val="20"/>
            </w:rPr>
            <w:t xml:space="preserve">Nizamis (2022). </w:t>
          </w:r>
          <w:r w:rsidRPr="00563954">
            <w:rPr>
              <w:rFonts w:ascii="Cambria" w:hAnsi="Cambria"/>
              <w:i/>
              <w:iCs/>
              <w:noProof/>
              <w:sz w:val="20"/>
              <w:szCs w:val="20"/>
            </w:rPr>
            <w:t>Palliative care in childhood: Theological approach and empirical research.</w:t>
          </w:r>
          <w:r w:rsidRPr="00563954">
            <w:rPr>
              <w:rFonts w:ascii="Cambria" w:hAnsi="Cambria"/>
              <w:noProof/>
              <w:sz w:val="20"/>
              <w:szCs w:val="20"/>
            </w:rPr>
            <w:t xml:space="preserve"> Thessaloniki.</w:t>
          </w:r>
        </w:p>
        <w:p w14:paraId="06A87A0D" w14:textId="77777777" w:rsidR="0098148F" w:rsidRPr="00563954" w:rsidRDefault="0098148F" w:rsidP="0098148F">
          <w:pPr>
            <w:pStyle w:val="a3"/>
            <w:ind w:left="720" w:hanging="720"/>
            <w:rPr>
              <w:rFonts w:ascii="Cambria" w:hAnsi="Cambria"/>
              <w:noProof/>
              <w:sz w:val="20"/>
              <w:szCs w:val="20"/>
            </w:rPr>
          </w:pPr>
          <w:r w:rsidRPr="00563954">
            <w:rPr>
              <w:rFonts w:ascii="Cambria" w:hAnsi="Cambria"/>
              <w:noProof/>
              <w:sz w:val="20"/>
              <w:szCs w:val="20"/>
            </w:rPr>
            <w:t>Nizamis et al. (2022)</w:t>
          </w:r>
          <w:r w:rsidRPr="00B158DB">
            <w:rPr>
              <w:rFonts w:ascii="Cambria" w:hAnsi="Cambria"/>
              <w:noProof/>
              <w:sz w:val="20"/>
              <w:szCs w:val="20"/>
            </w:rPr>
            <w:t xml:space="preserve"> (</w:t>
          </w:r>
          <w:r>
            <w:rPr>
              <w:rFonts w:ascii="Cambria" w:hAnsi="Cambria"/>
              <w:noProof/>
              <w:sz w:val="20"/>
              <w:szCs w:val="20"/>
            </w:rPr>
            <w:t xml:space="preserve">in press). </w:t>
          </w:r>
          <w:r w:rsidRPr="00563954">
            <w:rPr>
              <w:rFonts w:ascii="Cambria" w:hAnsi="Cambria"/>
              <w:noProof/>
              <w:sz w:val="20"/>
              <w:szCs w:val="20"/>
            </w:rPr>
            <w:t xml:space="preserve">The impact of spirituality in the management of psychosocial phenomena, in parents facing childhood cancer. </w:t>
          </w:r>
          <w:r w:rsidRPr="00563954">
            <w:rPr>
              <w:rFonts w:ascii="Cambria" w:hAnsi="Cambria"/>
              <w:i/>
              <w:iCs/>
              <w:noProof/>
              <w:sz w:val="20"/>
              <w:szCs w:val="20"/>
            </w:rPr>
            <w:t>Data Analysis Bulletin</w:t>
          </w:r>
          <w:r w:rsidRPr="00563954">
            <w:rPr>
              <w:rFonts w:ascii="Cambria" w:hAnsi="Cambria"/>
              <w:noProof/>
              <w:sz w:val="20"/>
              <w:szCs w:val="20"/>
            </w:rPr>
            <w:t>.</w:t>
          </w:r>
        </w:p>
        <w:p w14:paraId="085F00E5" w14:textId="77777777" w:rsidR="0098148F" w:rsidRPr="00563954" w:rsidRDefault="0098148F" w:rsidP="0098148F">
          <w:pPr>
            <w:pStyle w:val="a3"/>
            <w:ind w:left="720" w:hanging="720"/>
            <w:rPr>
              <w:rFonts w:ascii="Cambria" w:hAnsi="Cambria"/>
              <w:noProof/>
              <w:sz w:val="20"/>
              <w:szCs w:val="20"/>
            </w:rPr>
          </w:pPr>
          <w:r w:rsidRPr="00563954">
            <w:rPr>
              <w:rFonts w:ascii="Cambria" w:hAnsi="Cambria"/>
              <w:noProof/>
              <w:sz w:val="20"/>
              <w:szCs w:val="20"/>
            </w:rPr>
            <w:t xml:space="preserve">Phelps et al. (2009). Religious coping and use of intensive life prolonging care near death in patients with advanced cancer. </w:t>
          </w:r>
          <w:r w:rsidRPr="00563954">
            <w:rPr>
              <w:rFonts w:ascii="Cambria" w:hAnsi="Cambria"/>
              <w:i/>
              <w:iCs/>
              <w:noProof/>
              <w:sz w:val="20"/>
              <w:szCs w:val="20"/>
            </w:rPr>
            <w:t>JAMA</w:t>
          </w:r>
          <w:r w:rsidRPr="00563954">
            <w:rPr>
              <w:rFonts w:ascii="Cambria" w:hAnsi="Cambria"/>
              <w:noProof/>
              <w:sz w:val="20"/>
              <w:szCs w:val="20"/>
            </w:rPr>
            <w:t>(301), 1140-1147.</w:t>
          </w:r>
        </w:p>
        <w:p w14:paraId="3FB1FF33" w14:textId="77777777" w:rsidR="0098148F" w:rsidRPr="00563954" w:rsidRDefault="0098148F" w:rsidP="0098148F">
          <w:pPr>
            <w:pStyle w:val="a3"/>
            <w:ind w:left="720" w:hanging="720"/>
            <w:rPr>
              <w:rFonts w:ascii="Cambria" w:hAnsi="Cambria"/>
              <w:noProof/>
              <w:sz w:val="20"/>
              <w:szCs w:val="20"/>
            </w:rPr>
          </w:pPr>
          <w:r w:rsidRPr="00563954">
            <w:rPr>
              <w:rFonts w:ascii="Cambria" w:hAnsi="Cambria"/>
              <w:noProof/>
              <w:sz w:val="20"/>
              <w:szCs w:val="20"/>
            </w:rPr>
            <w:t xml:space="preserve">Post et al. (2000). Physicians and patient spirituality: professional boundaries, competency, and ethics. </w:t>
          </w:r>
          <w:r w:rsidRPr="00563954">
            <w:rPr>
              <w:rFonts w:ascii="Cambria" w:hAnsi="Cambria"/>
              <w:i/>
              <w:iCs/>
              <w:noProof/>
              <w:sz w:val="20"/>
              <w:szCs w:val="20"/>
            </w:rPr>
            <w:t>Annals of Internal Medicine</w:t>
          </w:r>
          <w:r w:rsidRPr="00563954">
            <w:rPr>
              <w:rFonts w:ascii="Cambria" w:hAnsi="Cambria"/>
              <w:noProof/>
              <w:sz w:val="20"/>
              <w:szCs w:val="20"/>
            </w:rPr>
            <w:t>(132), 578-583.</w:t>
          </w:r>
        </w:p>
        <w:p w14:paraId="2A980F3C" w14:textId="77777777" w:rsidR="0098148F" w:rsidRPr="00563954" w:rsidRDefault="0098148F" w:rsidP="0098148F">
          <w:pPr>
            <w:pStyle w:val="a3"/>
            <w:ind w:left="720" w:hanging="720"/>
            <w:rPr>
              <w:rFonts w:ascii="Cambria" w:hAnsi="Cambria"/>
              <w:noProof/>
              <w:sz w:val="20"/>
              <w:szCs w:val="20"/>
            </w:rPr>
          </w:pPr>
          <w:r w:rsidRPr="00563954">
            <w:rPr>
              <w:rFonts w:ascii="Cambria" w:hAnsi="Cambria"/>
              <w:noProof/>
              <w:sz w:val="20"/>
              <w:szCs w:val="20"/>
            </w:rPr>
            <w:t xml:space="preserve">Puchalski et al. (2009). Improving the quality of spiritual care as a dimension of palliative care: the report of the consensus conference. </w:t>
          </w:r>
          <w:r w:rsidRPr="00563954">
            <w:rPr>
              <w:rFonts w:ascii="Cambria" w:hAnsi="Cambria"/>
              <w:i/>
              <w:iCs/>
              <w:noProof/>
              <w:sz w:val="20"/>
              <w:szCs w:val="20"/>
            </w:rPr>
            <w:t>Journal of Palliative Medicine</w:t>
          </w:r>
          <w:r w:rsidRPr="00563954">
            <w:rPr>
              <w:rFonts w:ascii="Cambria" w:hAnsi="Cambria"/>
              <w:noProof/>
              <w:sz w:val="20"/>
              <w:szCs w:val="20"/>
            </w:rPr>
            <w:t>(12), 885-904.</w:t>
          </w:r>
        </w:p>
        <w:p w14:paraId="268D441E" w14:textId="77777777" w:rsidR="0098148F" w:rsidRPr="00563954" w:rsidRDefault="0098148F" w:rsidP="0098148F">
          <w:pPr>
            <w:pStyle w:val="a3"/>
            <w:ind w:left="720" w:hanging="720"/>
            <w:rPr>
              <w:rFonts w:ascii="Cambria" w:hAnsi="Cambria"/>
              <w:noProof/>
              <w:sz w:val="20"/>
              <w:szCs w:val="20"/>
            </w:rPr>
          </w:pPr>
          <w:r w:rsidRPr="00563954">
            <w:rPr>
              <w:rFonts w:ascii="Cambria" w:hAnsi="Cambria"/>
              <w:noProof/>
              <w:sz w:val="20"/>
              <w:szCs w:val="20"/>
            </w:rPr>
            <w:t xml:space="preserve">Radbruch et al. (2009). White Paper on standards and norms for hospice and palliative care in Europe: part 1. </w:t>
          </w:r>
          <w:r w:rsidRPr="00563954">
            <w:rPr>
              <w:rFonts w:ascii="Cambria" w:hAnsi="Cambria"/>
              <w:i/>
              <w:iCs/>
              <w:noProof/>
              <w:sz w:val="20"/>
              <w:szCs w:val="20"/>
            </w:rPr>
            <w:t>European Journal of Palliative Care</w:t>
          </w:r>
          <w:r w:rsidRPr="00563954">
            <w:rPr>
              <w:rFonts w:ascii="Cambria" w:hAnsi="Cambria"/>
              <w:noProof/>
              <w:sz w:val="20"/>
              <w:szCs w:val="20"/>
            </w:rPr>
            <w:t>(16), 278.</w:t>
          </w:r>
        </w:p>
        <w:p w14:paraId="147B0C24" w14:textId="77777777" w:rsidR="0098148F" w:rsidRPr="00563954" w:rsidRDefault="0098148F" w:rsidP="0098148F">
          <w:pPr>
            <w:pStyle w:val="a3"/>
            <w:ind w:left="720" w:hanging="720"/>
            <w:rPr>
              <w:rFonts w:ascii="Cambria" w:hAnsi="Cambria"/>
              <w:noProof/>
              <w:sz w:val="20"/>
              <w:szCs w:val="20"/>
            </w:rPr>
          </w:pPr>
          <w:r w:rsidRPr="00563954">
            <w:rPr>
              <w:rFonts w:ascii="Cambria" w:hAnsi="Cambria"/>
              <w:noProof/>
              <w:sz w:val="20"/>
              <w:szCs w:val="20"/>
            </w:rPr>
            <w:t xml:space="preserve">Rego et al. (2020). The influence of spirituality on decision-making in palliative care outpatients: a cross-sectional study. </w:t>
          </w:r>
          <w:r w:rsidRPr="00563954">
            <w:rPr>
              <w:rFonts w:ascii="Cambria" w:hAnsi="Cambria"/>
              <w:i/>
              <w:iCs/>
              <w:noProof/>
              <w:sz w:val="20"/>
              <w:szCs w:val="20"/>
            </w:rPr>
            <w:t>BMC Palliative Care</w:t>
          </w:r>
          <w:r w:rsidRPr="00563954">
            <w:rPr>
              <w:rFonts w:ascii="Cambria" w:hAnsi="Cambria"/>
              <w:noProof/>
              <w:sz w:val="20"/>
              <w:szCs w:val="20"/>
            </w:rPr>
            <w:t>(19), 22.</w:t>
          </w:r>
        </w:p>
        <w:p w14:paraId="4F8D815E" w14:textId="77777777" w:rsidR="0098148F" w:rsidRPr="00563954" w:rsidRDefault="0098148F" w:rsidP="0098148F">
          <w:pPr>
            <w:pStyle w:val="a3"/>
            <w:ind w:left="720" w:hanging="720"/>
            <w:rPr>
              <w:rFonts w:ascii="Cambria" w:hAnsi="Cambria"/>
              <w:noProof/>
              <w:sz w:val="20"/>
              <w:szCs w:val="20"/>
            </w:rPr>
          </w:pPr>
          <w:r w:rsidRPr="00563954">
            <w:rPr>
              <w:rFonts w:ascii="Cambria" w:hAnsi="Cambria"/>
              <w:noProof/>
              <w:sz w:val="20"/>
              <w:szCs w:val="20"/>
            </w:rPr>
            <w:t xml:space="preserve">Tarakeshwar et al. (2006). A relationship-based framework of spirituality for individuals with HIV. </w:t>
          </w:r>
          <w:r w:rsidRPr="00563954">
            <w:rPr>
              <w:rFonts w:ascii="Cambria" w:hAnsi="Cambria"/>
              <w:i/>
              <w:iCs/>
              <w:noProof/>
              <w:sz w:val="20"/>
              <w:szCs w:val="20"/>
            </w:rPr>
            <w:t>AIDS and Behavior</w:t>
          </w:r>
          <w:r w:rsidRPr="00563954">
            <w:rPr>
              <w:rFonts w:ascii="Cambria" w:hAnsi="Cambria"/>
              <w:noProof/>
              <w:sz w:val="20"/>
              <w:szCs w:val="20"/>
            </w:rPr>
            <w:t>(10), 59-70.</w:t>
          </w:r>
        </w:p>
        <w:p w14:paraId="02A8C726" w14:textId="77777777" w:rsidR="0098148F" w:rsidRPr="00563954" w:rsidRDefault="0098148F" w:rsidP="0098148F">
          <w:pPr>
            <w:pStyle w:val="a3"/>
            <w:ind w:left="720" w:hanging="720"/>
            <w:rPr>
              <w:rFonts w:ascii="Cambria" w:hAnsi="Cambria"/>
              <w:noProof/>
              <w:sz w:val="20"/>
              <w:szCs w:val="20"/>
            </w:rPr>
          </w:pPr>
          <w:r w:rsidRPr="00563954">
            <w:rPr>
              <w:rFonts w:ascii="Cambria" w:hAnsi="Cambria"/>
              <w:noProof/>
              <w:sz w:val="20"/>
              <w:szCs w:val="20"/>
            </w:rPr>
            <w:t xml:space="preserve">WHO. (2020). </w:t>
          </w:r>
          <w:r w:rsidRPr="00563954">
            <w:rPr>
              <w:rFonts w:ascii="Cambria" w:hAnsi="Cambria"/>
              <w:i/>
              <w:iCs/>
              <w:noProof/>
              <w:sz w:val="20"/>
              <w:szCs w:val="20"/>
            </w:rPr>
            <w:t>Palliative care</w:t>
          </w:r>
          <w:r w:rsidRPr="00563954">
            <w:rPr>
              <w:rFonts w:ascii="Cambria" w:hAnsi="Cambria"/>
              <w:noProof/>
              <w:sz w:val="20"/>
              <w:szCs w:val="20"/>
            </w:rPr>
            <w:t xml:space="preserve">. </w:t>
          </w:r>
          <w:r>
            <w:rPr>
              <w:rFonts w:ascii="Cambria" w:hAnsi="Cambria"/>
              <w:noProof/>
              <w:sz w:val="20"/>
              <w:szCs w:val="20"/>
            </w:rPr>
            <w:t>Data available:</w:t>
          </w:r>
          <w:r w:rsidRPr="00563954">
            <w:rPr>
              <w:rFonts w:ascii="Cambria" w:hAnsi="Cambria"/>
              <w:noProof/>
              <w:sz w:val="20"/>
              <w:szCs w:val="20"/>
            </w:rPr>
            <w:t xml:space="preserve"> https://www.who.int/health-topics/palliative-care. .</w:t>
          </w:r>
        </w:p>
        <w:p w14:paraId="1FECA1AC" w14:textId="77777777" w:rsidR="0098148F" w:rsidRDefault="0098148F" w:rsidP="0098148F">
          <w:pPr>
            <w:jc w:val="both"/>
            <w:rPr>
              <w:rFonts w:ascii="Cambria" w:hAnsi="Cambria"/>
              <w:sz w:val="20"/>
              <w:szCs w:val="20"/>
            </w:rPr>
          </w:pPr>
          <w:r w:rsidRPr="00563954">
            <w:rPr>
              <w:rFonts w:ascii="Cambria" w:hAnsi="Cambria"/>
              <w:b/>
              <w:bCs/>
              <w:noProof/>
              <w:sz w:val="20"/>
              <w:szCs w:val="20"/>
            </w:rPr>
            <w:fldChar w:fldCharType="end"/>
          </w:r>
        </w:p>
      </w:sdtContent>
    </w:sdt>
    <w:p w14:paraId="5403050C" w14:textId="77777777" w:rsidR="0098148F" w:rsidRPr="00563954" w:rsidRDefault="0098148F" w:rsidP="0098148F">
      <w:pPr>
        <w:jc w:val="both"/>
        <w:rPr>
          <w:rFonts w:ascii="Cambria" w:hAnsi="Cambria"/>
          <w:sz w:val="20"/>
          <w:szCs w:val="20"/>
        </w:rPr>
      </w:pPr>
    </w:p>
    <w:p w14:paraId="7AF952DC" w14:textId="77777777" w:rsidR="0098148F" w:rsidRDefault="0098148F" w:rsidP="0098148F">
      <w:pPr>
        <w:spacing w:before="100" w:beforeAutospacing="1" w:after="100" w:afterAutospacing="1"/>
        <w:rPr>
          <w:rFonts w:ascii="Cambria" w:eastAsia="Times New Roman" w:hAnsi="Cambria" w:cs="Times New Roman"/>
          <w:b/>
          <w:bCs/>
          <w:color w:val="212121"/>
          <w:sz w:val="22"/>
          <w:szCs w:val="22"/>
          <w:lang w:val="en-US" w:eastAsia="el-GR"/>
        </w:rPr>
      </w:pPr>
    </w:p>
    <w:p w14:paraId="182596BA" w14:textId="77777777" w:rsidR="0098148F" w:rsidRDefault="0098148F" w:rsidP="0098148F">
      <w:pPr>
        <w:spacing w:before="100" w:beforeAutospacing="1" w:after="100" w:afterAutospacing="1"/>
        <w:rPr>
          <w:rFonts w:ascii="Cambria" w:eastAsia="Times New Roman" w:hAnsi="Cambria" w:cs="Times New Roman"/>
          <w:b/>
          <w:bCs/>
          <w:color w:val="212121"/>
          <w:sz w:val="22"/>
          <w:szCs w:val="22"/>
          <w:lang w:val="en-US" w:eastAsia="el-GR"/>
        </w:rPr>
      </w:pPr>
    </w:p>
    <w:p w14:paraId="238ABA11" w14:textId="77777777" w:rsidR="0098148F" w:rsidRPr="0098148F" w:rsidRDefault="0098148F" w:rsidP="0098148F">
      <w:pPr>
        <w:rPr>
          <w:rFonts w:ascii="Cambria" w:eastAsia="Times New Roman" w:hAnsi="Cambria" w:cs="Times New Roman"/>
          <w:sz w:val="22"/>
          <w:szCs w:val="22"/>
          <w:lang w:val="en-US" w:eastAsia="el-GR"/>
        </w:rPr>
      </w:pPr>
    </w:p>
    <w:sectPr w:rsidR="0098148F" w:rsidRPr="0098148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1F8"/>
    <w:rsid w:val="006701AE"/>
    <w:rsid w:val="0098148F"/>
    <w:rsid w:val="00CA51F8"/>
    <w:rsid w:val="00EA727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4:docId w14:val="5F8B42E1"/>
  <w15:chartTrackingRefBased/>
  <w15:docId w15:val="{62B828DA-916C-0746-AF80-4E1963069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l-G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CA51F8"/>
    <w:pPr>
      <w:spacing w:before="100" w:beforeAutospacing="1" w:after="100" w:afterAutospacing="1"/>
    </w:pPr>
    <w:rPr>
      <w:rFonts w:ascii="Times New Roman" w:eastAsia="Times New Roman" w:hAnsi="Times New Roman" w:cs="Times New Roman"/>
      <w:lang w:eastAsia="el-GR"/>
    </w:rPr>
  </w:style>
  <w:style w:type="paragraph" w:styleId="a3">
    <w:name w:val="Bibliography"/>
    <w:basedOn w:val="a"/>
    <w:next w:val="a"/>
    <w:uiPriority w:val="37"/>
    <w:semiHidden/>
    <w:unhideWhenUsed/>
    <w:rsid w:val="0098148F"/>
    <w:pPr>
      <w:spacing w:after="200" w:line="276" w:lineRule="auto"/>
    </w:pPr>
    <w:rPr>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441378">
      <w:bodyDiv w:val="1"/>
      <w:marLeft w:val="0"/>
      <w:marRight w:val="0"/>
      <w:marTop w:val="0"/>
      <w:marBottom w:val="0"/>
      <w:divBdr>
        <w:top w:val="none" w:sz="0" w:space="0" w:color="auto"/>
        <w:left w:val="none" w:sz="0" w:space="0" w:color="auto"/>
        <w:bottom w:val="none" w:sz="0" w:space="0" w:color="auto"/>
        <w:right w:val="none" w:sz="0" w:space="0" w:color="auto"/>
      </w:divBdr>
      <w:divsChild>
        <w:div w:id="1139296945">
          <w:marLeft w:val="0"/>
          <w:marRight w:val="0"/>
          <w:marTop w:val="0"/>
          <w:marBottom w:val="0"/>
          <w:divBdr>
            <w:top w:val="none" w:sz="0" w:space="0" w:color="auto"/>
            <w:left w:val="none" w:sz="0" w:space="0" w:color="auto"/>
            <w:bottom w:val="none" w:sz="0" w:space="0" w:color="auto"/>
            <w:right w:val="none" w:sz="0" w:space="0" w:color="auto"/>
          </w:divBdr>
          <w:divsChild>
            <w:div w:id="906040107">
              <w:marLeft w:val="0"/>
              <w:marRight w:val="0"/>
              <w:marTop w:val="0"/>
              <w:marBottom w:val="0"/>
              <w:divBdr>
                <w:top w:val="none" w:sz="0" w:space="0" w:color="auto"/>
                <w:left w:val="none" w:sz="0" w:space="0" w:color="auto"/>
                <w:bottom w:val="none" w:sz="0" w:space="0" w:color="auto"/>
                <w:right w:val="none" w:sz="0" w:space="0" w:color="auto"/>
              </w:divBdr>
              <w:divsChild>
                <w:div w:id="1553537367">
                  <w:marLeft w:val="0"/>
                  <w:marRight w:val="0"/>
                  <w:marTop w:val="0"/>
                  <w:marBottom w:val="0"/>
                  <w:divBdr>
                    <w:top w:val="none" w:sz="0" w:space="0" w:color="auto"/>
                    <w:left w:val="none" w:sz="0" w:space="0" w:color="auto"/>
                    <w:bottom w:val="none" w:sz="0" w:space="0" w:color="auto"/>
                    <w:right w:val="none" w:sz="0" w:space="0" w:color="auto"/>
                  </w:divBdr>
                </w:div>
              </w:divsChild>
            </w:div>
            <w:div w:id="1430544129">
              <w:marLeft w:val="0"/>
              <w:marRight w:val="0"/>
              <w:marTop w:val="0"/>
              <w:marBottom w:val="0"/>
              <w:divBdr>
                <w:top w:val="none" w:sz="0" w:space="0" w:color="auto"/>
                <w:left w:val="none" w:sz="0" w:space="0" w:color="auto"/>
                <w:bottom w:val="none" w:sz="0" w:space="0" w:color="auto"/>
                <w:right w:val="none" w:sz="0" w:space="0" w:color="auto"/>
              </w:divBdr>
              <w:divsChild>
                <w:div w:id="1596326567">
                  <w:marLeft w:val="0"/>
                  <w:marRight w:val="0"/>
                  <w:marTop w:val="0"/>
                  <w:marBottom w:val="0"/>
                  <w:divBdr>
                    <w:top w:val="none" w:sz="0" w:space="0" w:color="auto"/>
                    <w:left w:val="none" w:sz="0" w:space="0" w:color="auto"/>
                    <w:bottom w:val="none" w:sz="0" w:space="0" w:color="auto"/>
                    <w:right w:val="none" w:sz="0" w:space="0" w:color="auto"/>
                  </w:divBdr>
                </w:div>
              </w:divsChild>
            </w:div>
            <w:div w:id="1282608317">
              <w:marLeft w:val="0"/>
              <w:marRight w:val="0"/>
              <w:marTop w:val="0"/>
              <w:marBottom w:val="0"/>
              <w:divBdr>
                <w:top w:val="none" w:sz="0" w:space="0" w:color="auto"/>
                <w:left w:val="none" w:sz="0" w:space="0" w:color="auto"/>
                <w:bottom w:val="none" w:sz="0" w:space="0" w:color="auto"/>
                <w:right w:val="none" w:sz="0" w:space="0" w:color="auto"/>
              </w:divBdr>
              <w:divsChild>
                <w:div w:id="1515419455">
                  <w:marLeft w:val="0"/>
                  <w:marRight w:val="0"/>
                  <w:marTop w:val="0"/>
                  <w:marBottom w:val="0"/>
                  <w:divBdr>
                    <w:top w:val="none" w:sz="0" w:space="0" w:color="auto"/>
                    <w:left w:val="none" w:sz="0" w:space="0" w:color="auto"/>
                    <w:bottom w:val="none" w:sz="0" w:space="0" w:color="auto"/>
                    <w:right w:val="none" w:sz="0" w:space="0" w:color="auto"/>
                  </w:divBdr>
                </w:div>
              </w:divsChild>
            </w:div>
            <w:div w:id="1498812472">
              <w:marLeft w:val="0"/>
              <w:marRight w:val="0"/>
              <w:marTop w:val="0"/>
              <w:marBottom w:val="0"/>
              <w:divBdr>
                <w:top w:val="none" w:sz="0" w:space="0" w:color="auto"/>
                <w:left w:val="none" w:sz="0" w:space="0" w:color="auto"/>
                <w:bottom w:val="none" w:sz="0" w:space="0" w:color="auto"/>
                <w:right w:val="none" w:sz="0" w:space="0" w:color="auto"/>
              </w:divBdr>
              <w:divsChild>
                <w:div w:id="132955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366858">
      <w:bodyDiv w:val="1"/>
      <w:marLeft w:val="0"/>
      <w:marRight w:val="0"/>
      <w:marTop w:val="0"/>
      <w:marBottom w:val="0"/>
      <w:divBdr>
        <w:top w:val="none" w:sz="0" w:space="0" w:color="auto"/>
        <w:left w:val="none" w:sz="0" w:space="0" w:color="auto"/>
        <w:bottom w:val="none" w:sz="0" w:space="0" w:color="auto"/>
        <w:right w:val="none" w:sz="0" w:space="0" w:color="auto"/>
      </w:divBdr>
      <w:divsChild>
        <w:div w:id="299506334">
          <w:marLeft w:val="0"/>
          <w:marRight w:val="0"/>
          <w:marTop w:val="0"/>
          <w:marBottom w:val="0"/>
          <w:divBdr>
            <w:top w:val="none" w:sz="0" w:space="0" w:color="auto"/>
            <w:left w:val="none" w:sz="0" w:space="0" w:color="auto"/>
            <w:bottom w:val="none" w:sz="0" w:space="0" w:color="auto"/>
            <w:right w:val="none" w:sz="0" w:space="0" w:color="auto"/>
          </w:divBdr>
          <w:divsChild>
            <w:div w:id="1951010739">
              <w:marLeft w:val="0"/>
              <w:marRight w:val="0"/>
              <w:marTop w:val="0"/>
              <w:marBottom w:val="0"/>
              <w:divBdr>
                <w:top w:val="none" w:sz="0" w:space="0" w:color="auto"/>
                <w:left w:val="none" w:sz="0" w:space="0" w:color="auto"/>
                <w:bottom w:val="none" w:sz="0" w:space="0" w:color="auto"/>
                <w:right w:val="none" w:sz="0" w:space="0" w:color="auto"/>
              </w:divBdr>
              <w:divsChild>
                <w:div w:id="1718312135">
                  <w:marLeft w:val="0"/>
                  <w:marRight w:val="0"/>
                  <w:marTop w:val="0"/>
                  <w:marBottom w:val="0"/>
                  <w:divBdr>
                    <w:top w:val="none" w:sz="0" w:space="0" w:color="auto"/>
                    <w:left w:val="none" w:sz="0" w:space="0" w:color="auto"/>
                    <w:bottom w:val="none" w:sz="0" w:space="0" w:color="auto"/>
                    <w:right w:val="none" w:sz="0" w:space="0" w:color="auto"/>
                  </w:divBdr>
                </w:div>
              </w:divsChild>
            </w:div>
            <w:div w:id="480779323">
              <w:marLeft w:val="0"/>
              <w:marRight w:val="0"/>
              <w:marTop w:val="0"/>
              <w:marBottom w:val="0"/>
              <w:divBdr>
                <w:top w:val="none" w:sz="0" w:space="0" w:color="auto"/>
                <w:left w:val="none" w:sz="0" w:space="0" w:color="auto"/>
                <w:bottom w:val="none" w:sz="0" w:space="0" w:color="auto"/>
                <w:right w:val="none" w:sz="0" w:space="0" w:color="auto"/>
              </w:divBdr>
              <w:divsChild>
                <w:div w:id="145058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919670">
      <w:bodyDiv w:val="1"/>
      <w:marLeft w:val="0"/>
      <w:marRight w:val="0"/>
      <w:marTop w:val="0"/>
      <w:marBottom w:val="0"/>
      <w:divBdr>
        <w:top w:val="none" w:sz="0" w:space="0" w:color="auto"/>
        <w:left w:val="none" w:sz="0" w:space="0" w:color="auto"/>
        <w:bottom w:val="none" w:sz="0" w:space="0" w:color="auto"/>
        <w:right w:val="none" w:sz="0" w:space="0" w:color="auto"/>
      </w:divBdr>
      <w:divsChild>
        <w:div w:id="2093969320">
          <w:marLeft w:val="0"/>
          <w:marRight w:val="0"/>
          <w:marTop w:val="0"/>
          <w:marBottom w:val="0"/>
          <w:divBdr>
            <w:top w:val="none" w:sz="0" w:space="0" w:color="auto"/>
            <w:left w:val="none" w:sz="0" w:space="0" w:color="auto"/>
            <w:bottom w:val="none" w:sz="0" w:space="0" w:color="auto"/>
            <w:right w:val="none" w:sz="0" w:space="0" w:color="auto"/>
          </w:divBdr>
          <w:divsChild>
            <w:div w:id="158816609">
              <w:marLeft w:val="0"/>
              <w:marRight w:val="0"/>
              <w:marTop w:val="0"/>
              <w:marBottom w:val="0"/>
              <w:divBdr>
                <w:top w:val="none" w:sz="0" w:space="0" w:color="auto"/>
                <w:left w:val="none" w:sz="0" w:space="0" w:color="auto"/>
                <w:bottom w:val="none" w:sz="0" w:space="0" w:color="auto"/>
                <w:right w:val="none" w:sz="0" w:space="0" w:color="auto"/>
              </w:divBdr>
              <w:divsChild>
                <w:div w:id="380254856">
                  <w:marLeft w:val="0"/>
                  <w:marRight w:val="0"/>
                  <w:marTop w:val="0"/>
                  <w:marBottom w:val="0"/>
                  <w:divBdr>
                    <w:top w:val="none" w:sz="0" w:space="0" w:color="auto"/>
                    <w:left w:val="none" w:sz="0" w:space="0" w:color="auto"/>
                    <w:bottom w:val="none" w:sz="0" w:space="0" w:color="auto"/>
                    <w:right w:val="none" w:sz="0" w:space="0" w:color="auto"/>
                  </w:divBdr>
                </w:div>
              </w:divsChild>
            </w:div>
            <w:div w:id="316957960">
              <w:marLeft w:val="0"/>
              <w:marRight w:val="0"/>
              <w:marTop w:val="0"/>
              <w:marBottom w:val="0"/>
              <w:divBdr>
                <w:top w:val="none" w:sz="0" w:space="0" w:color="auto"/>
                <w:left w:val="none" w:sz="0" w:space="0" w:color="auto"/>
                <w:bottom w:val="none" w:sz="0" w:space="0" w:color="auto"/>
                <w:right w:val="none" w:sz="0" w:space="0" w:color="auto"/>
              </w:divBdr>
              <w:divsChild>
                <w:div w:id="6954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WHO201</b:Tag>
    <b:SourceType>InternetSite</b:SourceType>
    <b:Guid>{9DEBE387-47EA-584D-A7C9-3F15A43FDB42}</b:Guid>
    <b:Author>
      <b:Author>
        <b:NameList>
          <b:Person>
            <b:Last>WHO</b:Last>
          </b:Person>
        </b:NameList>
      </b:Author>
    </b:Author>
    <b:Title>Palliative care</b:Title>
    <b:Year>2020</b:Year>
    <b:InternetSiteTitle>https://www.who.int/health-topics/palliative-care.   </b:InternetSiteTitle>
    <b:RefOrder>1</b:RefOrder>
  </b:Source>
  <b:Source>
    <b:Tag>Con20</b:Tag>
    <b:SourceType>Book</b:SourceType>
    <b:Guid>{CFD87E78-BDDE-8249-906E-AA3A7A0AE186}</b:Guid>
    <b:Title>Global atlas of palliative care at the end of life</b:Title>
    <b:Year>2020</b:Year>
    <b:Pages>11</b:Pages>
    <b:Author>
      <b:Author>
        <b:NameList>
          <b:Person>
            <b:Last>Connor</b:Last>
            <b:First>Stephen</b:First>
            <b:Middle>R.</b:Middle>
          </b:Person>
        </b:NameList>
      </b:Author>
    </b:Author>
    <b:City>London</b:City>
    <b:Publisher>Worldwide Pallitiative Care Alliance &amp; WHO</b:Publisher>
    <b:RefOrder>2</b:RefOrder>
  </b:Source>
  <b:Source>
    <b:Tag>Rad09</b:Tag>
    <b:SourceType>JournalArticle</b:SourceType>
    <b:Guid>{C80162F8-B714-4643-AF7C-C82FE852821B}</b:Guid>
    <b:Author>
      <b:Author>
        <b:NameList>
          <b:Person>
            <b:Last>Radbruch et al.</b:Last>
          </b:Person>
        </b:NameList>
      </b:Author>
    </b:Author>
    <b:Title>White Paper on standards and norms for hospice and palliative care in Europe: part 1</b:Title>
    <b:Year>2009</b:Year>
    <b:JournalName>European Journal of Palliative Care</b:JournalName>
    <b:Pages>278</b:Pages>
    <b:Issue>16</b:Issue>
    <b:RefOrder>3</b:RefOrder>
  </b:Source>
  <b:Source>
    <b:Tag>Hea98</b:Tag>
    <b:SourceType>JournalArticle</b:SourceType>
    <b:Guid>{55CA28EE-2B2C-3D4A-A18A-AF8A403CDAAE}</b:Guid>
    <b:Author>
      <b:Author>
        <b:NameList>
          <b:Person>
            <b:Last>Hearn et al.</b:Last>
          </b:Person>
        </b:NameList>
      </b:Author>
    </b:Author>
    <b:Title>Do specialist palliative care teams improve outcomes for cancer patients? A systematic literature review</b:Title>
    <b:JournalName>Palliative Medicine</b:JournalName>
    <b:Year>1998</b:Year>
    <b:Pages>317-332</b:Pages>
    <b:Issue>12</b:Issue>
    <b:RefOrder>4</b:RefOrder>
  </b:Source>
  <b:Source>
    <b:Tag>Hig03</b:Tag>
    <b:SourceType>JournalArticle</b:SourceType>
    <b:Guid>{0EBD729A-CAB1-0645-BBF9-211B594CBC64}</b:Guid>
    <b:Author>
      <b:Author>
        <b:NameList>
          <b:Person>
            <b:Last>Higginson et al.</b:Last>
          </b:Person>
        </b:NameList>
      </b:Author>
    </b:Author>
    <b:Title>Is there evidence that palliative care teams alter end-of-life experiences of patients and their caregivers?</b:Title>
    <b:JournalName>Journal of Pain and Symptom Management</b:JournalName>
    <b:Year>2003</b:Year>
    <b:Pages>150-168</b:Pages>
    <b:Issue>25</b:Issue>
    <b:RefOrder>5</b:RefOrder>
  </b:Source>
  <b:Source>
    <b:Tag>Nat19</b:Tag>
    <b:SourceType>Report</b:SourceType>
    <b:Guid>{FAD19971-59D5-DC49-9170-D34AE932BA03}</b:Guid>
    <b:Title>Palliative Care Feasibility Study for Greece</b:Title>
    <b:Year>2019</b:Year>
    <b:Pages>12</b:Pages>
    <b:Publisher>Ministry of Health Greece &amp; Stavros Niarchos Foundation</b:Publisher>
    <b:City>New York - Athens</b:City>
    <b:Author>
      <b:Author>
        <b:NameList>
          <b:Person>
            <b:Last>National Commission for the Development and Implementation of the Strategy for Palliative Care in Greece</b:Last>
          </b:Person>
        </b:NameList>
      </b:Author>
    </b:Author>
    <b:RefOrder>6</b:RefOrder>
  </b:Source>
  <b:Source>
    <b:Tag>Puc091</b:Tag>
    <b:SourceType>JournalArticle</b:SourceType>
    <b:Guid>{1C6FBC97-9730-3F45-91A7-6E63934E6E69}</b:Guid>
    <b:Author>
      <b:Author>
        <b:NameList>
          <b:Person>
            <b:Last>Puchalski et al.</b:Last>
          </b:Person>
        </b:NameList>
      </b:Author>
    </b:Author>
    <b:Title>Improving the quality of spiritual care as a dimension of palliative care: the report of the consensus conference</b:Title>
    <b:JournalName>Journal of Palliative Medicine</b:JournalName>
    <b:Year>2009</b:Year>
    <b:Pages>885-904</b:Pages>
    <b:Issue>12</b:Issue>
    <b:RefOrder>7</b:RefOrder>
  </b:Source>
  <b:Source>
    <b:Tag>Hil031</b:Tag>
    <b:SourceType>JournalArticle</b:SourceType>
    <b:Guid>{9C40644D-2647-E041-9A27-4D4CBEA9C58A}</b:Guid>
    <b:Author>
      <b:Author>
        <b:NameList>
          <b:Person>
            <b:Last>Hill et al.</b:Last>
          </b:Person>
        </b:NameList>
      </b:Author>
    </b:Author>
    <b:Title>Advances in the conceptualization and measurement of religion and spirituality</b:Title>
    <b:JournalName>Implications for physical and American Psychologist</b:JournalName>
    <b:Year>2003</b:Year>
    <b:Pages>64-74</b:Pages>
    <b:Issue>58</b:Issue>
    <b:RefOrder>8</b:RefOrder>
  </b:Source>
  <b:Source>
    <b:Tag>Nix131</b:Tag>
    <b:SourceType>JournalArticle</b:SourceType>
    <b:Guid>{79F83114-2DBB-D14E-A66F-609DB807F5D6}</b:Guid>
    <b:Author>
      <b:Author>
        <b:NameList>
          <b:Person>
            <b:Last>Nixon et al.</b:Last>
          </b:Person>
        </b:NameList>
      </b:Author>
    </b:Author>
    <b:Title>An investigation into the spiritual needs of neuro-oncology patients from a nurse perspective</b:Title>
    <b:JournalName>BMC Nursing</b:JournalName>
    <b:Year>2013</b:Year>
    <b:Issue>12</b:Issue>
    <b:RefOrder>9</b:RefOrder>
  </b:Source>
  <b:Source>
    <b:Tag>Phe091</b:Tag>
    <b:SourceType>JournalArticle</b:SourceType>
    <b:Guid>{636EB01D-460E-DB4B-9851-D92F613BBB2E}</b:Guid>
    <b:Author>
      <b:Author>
        <b:NameList>
          <b:Person>
            <b:Last>Phelps et al.</b:Last>
          </b:Person>
        </b:NameList>
      </b:Author>
    </b:Author>
    <b:Title>Religious coping and use of intensive life prolonging care near death in patients with advanced cancer</b:Title>
    <b:JournalName>JAMA</b:JournalName>
    <b:Year>2009</b:Year>
    <b:Pages>1140-1147</b:Pages>
    <b:Issue>301</b:Issue>
    <b:RefOrder>10</b:RefOrder>
  </b:Source>
  <b:Source>
    <b:Tag>Reg20</b:Tag>
    <b:SourceType>JournalArticle</b:SourceType>
    <b:Guid>{C6F40732-BD5C-6B46-94A1-277893170E81}</b:Guid>
    <b:Title>The influence of spirituality on decision-making in palliative care outpatients: a cross-sectional study.</b:Title>
    <b:Year>2020</b:Year>
    <b:Author>
      <b:Author>
        <b:NameList>
          <b:Person>
            <b:Last>Rego et al.</b:Last>
          </b:Person>
        </b:NameList>
      </b:Author>
    </b:Author>
    <b:JournalName>BMC Palliative Care</b:JournalName>
    <b:Pages>22</b:Pages>
    <b:Issue>19</b:Issue>
    <b:RefOrder>11</b:RefOrder>
  </b:Source>
  <b:Source>
    <b:Tag>Gij19</b:Tag>
    <b:SourceType>JournalArticle</b:SourceType>
    <b:Guid>{D07B68B1-3409-1B4D-A217-9EC4DD4BA93D}</b:Guid>
    <b:Author>
      <b:Author>
        <b:NameList>
          <b:Person>
            <b:Last>Gijsberts et al.</b:Last>
          </b:Person>
        </b:NameList>
      </b:Author>
    </b:Author>
    <b:Title>Spiritual Care in Palliative Care: A Systematic Review of the Recent European Literature</b:Title>
    <b:JournalName>Medical Sciences</b:JournalName>
    <b:Year>2019</b:Year>
    <b:Pages>25</b:Pages>
    <b:Issue>7</b:Issue>
    <b:RefOrder>12</b:RefOrder>
  </b:Source>
  <b:Source>
    <b:Tag>Pos00</b:Tag>
    <b:SourceType>JournalArticle</b:SourceType>
    <b:Guid>{7A348257-AB14-CE4D-B24B-3DAF7C6E4CC6}</b:Guid>
    <b:Author>
      <b:Author>
        <b:NameList>
          <b:Person>
            <b:Last>Post et al.</b:Last>
          </b:Person>
        </b:NameList>
      </b:Author>
    </b:Author>
    <b:Title>Physicians and patient spirituality: professional boundaries, competency, and ethics.</b:Title>
    <b:JournalName>Annals of Internal Medicine</b:JournalName>
    <b:Year>2000</b:Year>
    <b:Pages>578-583</b:Pages>
    <b:Issue>132</b:Issue>
    <b:RefOrder>14</b:RefOrder>
  </b:Source>
  <b:Source>
    <b:Tag>Niz22</b:Tag>
    <b:SourceType>Book</b:SourceType>
    <b:Guid>{3AF2175B-2340-B14F-B126-12F3CD8CE70A}</b:Guid>
    <b:Title>Palliative care in childhood: Theological approach and empirical research</b:Title>
    <b:City>Thessaloniki</b:City>
    <b:Year>2022</b:Year>
    <b:Author>
      <b:Author>
        <b:NameList>
          <b:Person>
            <b:Last>Nizamis</b:Last>
          </b:Person>
        </b:NameList>
      </b:Author>
    </b:Author>
    <b:RefOrder>16</b:RefOrder>
  </b:Source>
  <b:Source>
    <b:Tag>Niz221</b:Tag>
    <b:SourceType>JournalArticle</b:SourceType>
    <b:Guid>{BD8581AD-3359-C443-B1E4-315315DCB776}</b:Guid>
    <b:Author>
      <b:Author>
        <b:NameList>
          <b:Person>
            <b:Last>Nizamis et al.</b:Last>
          </b:Person>
        </b:NameList>
      </b:Author>
    </b:Author>
    <b:Title>The impact of spirituality in the management of psychosocial phenomena, in parents facing childhood cancer</b:Title>
    <b:JournalName>Data Analysis Bulletin</b:JournalName>
    <b:Year>2022</b:Year>
    <b:RefOrder>17</b:RefOrder>
  </b:Source>
  <b:Source>
    <b:Tag>Kou19</b:Tag>
    <b:SourceType>Book</b:SourceType>
    <b:Guid>{D22BD608-4972-D544-AC59-72D0DC56AE0D}</b:Guid>
    <b:Author>
      <b:Author>
        <b:NameList>
          <b:Person>
            <b:Last>Koutsoupias et al.</b:Last>
          </b:Person>
        </b:NameList>
      </b:Author>
    </b:Author>
    <b:Title>Exlporing International Relations Journal Articles: A Multivariate Approach</b:Title>
    <b:Year>2019</b:Year>
    <b:Publisher>SAGE Publications Ltd</b:Publisher>
    <b:RefOrder>18</b:RefOrder>
  </b:Source>
  <b:Source>
    <b:Tag>Kou191</b:Tag>
    <b:SourceType>ElectronicSource</b:SourceType>
    <b:Guid>{FB5AB44D-8AC7-5A43-9F5C-5F18DCC99D4F}</b:Guid>
    <b:Title>Online Art Bying Decision Support: A Multivariate Approach.</b:Title>
    <b:City>Thessaloniki</b:City>
    <b:Year>2018</b:Year>
    <b:Author>
      <b:Author>
        <b:NameList>
          <b:Person>
            <b:Last>Koutsoupias</b:Last>
          </b:Person>
        </b:NameList>
      </b:Author>
    </b:Author>
    <b:RefOrder>19</b:RefOrder>
  </b:Source>
  <b:Source>
    <b:Tag>McC061</b:Tag>
    <b:SourceType>JournalArticle</b:SourceType>
    <b:Guid>{4A5819E8-BA9E-2E47-A8D6-A24127D5756E}</b:Guid>
    <b:Title>Is there a correlation between spirituality and anxiety and depression in patients with advanced cancer?</b:Title>
    <b:Year>2006</b:Year>
    <b:Author>
      <b:Author>
        <b:NameList>
          <b:Person>
            <b:Last>McCoubrie et al.</b:Last>
          </b:Person>
        </b:NameList>
      </b:Author>
    </b:Author>
    <b:JournalName>Support Care Cancer</b:JournalName>
    <b:Pages>379-385</b:Pages>
    <b:Issue>14</b:Issue>
    <b:RefOrder>20</b:RefOrder>
  </b:Source>
  <b:Source>
    <b:Tag>Tar061</b:Tag>
    <b:SourceType>JournalArticle</b:SourceType>
    <b:Guid>{CE8A513D-C784-6349-BC16-2AEAEB287F33}</b:Guid>
    <b:Author>
      <b:Author>
        <b:NameList>
          <b:Person>
            <b:Last>Tarakeshwar et al.</b:Last>
          </b:Person>
        </b:NameList>
      </b:Author>
    </b:Author>
    <b:Title>A relationship-based framework of spirituality for individuals with HIV</b:Title>
    <b:JournalName>AIDS and Behavior</b:JournalName>
    <b:Year>2006</b:Year>
    <b:Pages>59-70</b:Pages>
    <b:Issue>10</b:Issue>
    <b:RefOrder>21</b:RefOrder>
  </b:Source>
  <b:Source>
    <b:Tag>Gra101</b:Tag>
    <b:SourceType>JournalArticle</b:SourceType>
    <b:Guid>{4A3DA1EA-F164-D74C-AB3A-030AF95933B3}</b:Guid>
    <b:Author>
      <b:Author>
        <b:NameList>
          <b:Person>
            <b:Last>Grant et al.</b:Last>
          </b:Person>
        </b:NameList>
      </b:Author>
    </b:Author>
    <b:Title>Spiritual dimensions of dying in pluralist societies</b:Title>
    <b:JournalName>British Medical Journal</b:JournalName>
    <b:Year>2010</b:Year>
    <b:Pages>659-662</b:Pages>
    <b:Volume>341</b:Volume>
    <b:RefOrder>13</b:RefOrder>
  </b:Source>
  <b:Source xmlns:b="http://schemas.openxmlformats.org/officeDocument/2006/bibliography">
    <b:Tag>Bra93</b:Tag>
    <b:SourceType>Book</b:SourceType>
    <b:Guid>{A5219A57-CF8A-1447-A7FB-DCBCC464040A}</b:Guid>
    <b:Author>
      <b:Author>
        <b:NameList>
          <b:Person>
            <b:Last>Brand et al.</b:Last>
          </b:Person>
        </b:NameList>
      </b:Author>
    </b:Author>
    <b:Title>Pain the gift nobody wants</b:Title>
    <b:Year>1993</b:Year>
    <b:Pages>377</b:Pages>
    <b:RefOrder>15</b:RefOrder>
  </b:Source>
</b:Sources>
</file>

<file path=customXml/itemProps1.xml><?xml version="1.0" encoding="utf-8"?>
<ds:datastoreItem xmlns:ds="http://schemas.openxmlformats.org/officeDocument/2006/customXml" ds:itemID="{E14A69D7-3AAC-2B4C-8F03-A771509AA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1198</Words>
  <Characters>6470</Characters>
  <Application>Microsoft Office Word</Application>
  <DocSecurity>0</DocSecurity>
  <Lines>53</Lines>
  <Paragraphs>15</Paragraphs>
  <ScaleCrop>false</ScaleCrop>
  <Company/>
  <LinksUpToDate>false</LinksUpToDate>
  <CharactersWithSpaces>7653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Kleanthis Nizamis</dc:creator>
  <cp:keywords/>
  <dc:description/>
  <cp:lastModifiedBy>Kleanthis Nizamis</cp:lastModifiedBy>
  <cp:revision>2</cp:revision>
  <dcterms:created xsi:type="dcterms:W3CDTF">2023-06-08T09:24:00Z</dcterms:created>
  <dcterms:modified xsi:type="dcterms:W3CDTF">2023-06-08T09:41:00Z</dcterms:modified>
</cp:coreProperties>
</file>