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BFAC4" w14:textId="26DBC283" w:rsidR="00AE3E37" w:rsidRDefault="00B15D3E" w:rsidP="00494130">
      <w:pPr>
        <w:pStyle w:val="Heading1"/>
        <w:spacing w:before="170"/>
        <w:ind w:left="0"/>
      </w:pPr>
      <w:r>
        <w:rPr>
          <w:color w:val="337AB7"/>
        </w:rPr>
        <w:t>Entrepreneurship in the Global Pharmaceutical Industry: A startup’s perspective</w:t>
      </w:r>
    </w:p>
    <w:p w14:paraId="24501EAD" w14:textId="782FAD69" w:rsidR="005973B9" w:rsidRDefault="00B15D3E" w:rsidP="005973B9">
      <w:pPr>
        <w:pStyle w:val="BodyText"/>
        <w:spacing w:before="73" w:line="198" w:lineRule="exact"/>
        <w:ind w:left="100" w:right="5987"/>
        <w:rPr>
          <w:rFonts w:ascii="Arial"/>
        </w:rPr>
      </w:pPr>
      <w:r>
        <w:rPr>
          <w:rFonts w:ascii="Arial"/>
        </w:rPr>
        <w:t>William Soliman PhD</w:t>
      </w:r>
      <w:r w:rsidR="005973B9">
        <w:rPr>
          <w:rFonts w:ascii="Arial"/>
        </w:rPr>
        <w:t>,</w:t>
      </w:r>
      <w:r>
        <w:rPr>
          <w:rFonts w:ascii="Arial"/>
        </w:rPr>
        <w:t xml:space="preserve"> Accreditation Council for Medical Affairs (ACMA),</w:t>
      </w:r>
      <w:r w:rsidR="005973B9">
        <w:rPr>
          <w:rFonts w:ascii="Arial"/>
        </w:rPr>
        <w:t xml:space="preserve"> USA</w:t>
      </w:r>
    </w:p>
    <w:p w14:paraId="30B594DC" w14:textId="77777777" w:rsidR="00AE3E37" w:rsidRDefault="00AE3E37">
      <w:pPr>
        <w:pStyle w:val="BodyText"/>
        <w:rPr>
          <w:rFonts w:ascii="Arial"/>
          <w:sz w:val="20"/>
        </w:rPr>
      </w:pPr>
    </w:p>
    <w:p w14:paraId="411C96BC" w14:textId="77777777" w:rsidR="00AE3E37" w:rsidRDefault="00AE3E37">
      <w:pPr>
        <w:pStyle w:val="BodyText"/>
        <w:spacing w:before="3"/>
        <w:rPr>
          <w:rFonts w:ascii="Arial"/>
          <w:sz w:val="21"/>
        </w:rPr>
      </w:pPr>
    </w:p>
    <w:p w14:paraId="00CF89D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4E77A8F" w14:textId="77777777" w:rsidR="00AE3E37" w:rsidRDefault="00A9710C">
      <w:pPr>
        <w:pStyle w:val="Heading3"/>
        <w:spacing w:before="147"/>
        <w:jc w:val="both"/>
      </w:pPr>
      <w:r>
        <w:rPr>
          <w:color w:val="BF5A14"/>
        </w:rPr>
        <w:t>Abstract</w:t>
      </w:r>
      <w:r w:rsidR="00404E5B">
        <w:rPr>
          <w:color w:val="BF5A14"/>
        </w:rPr>
        <w:t xml:space="preserve"> (300 word limit)</w:t>
      </w:r>
    </w:p>
    <w:p w14:paraId="2F55930C" w14:textId="18D1C4ED" w:rsidR="00AE3E37" w:rsidRDefault="00A9710C">
      <w:pPr>
        <w:pStyle w:val="BodyText"/>
        <w:spacing w:before="90" w:line="280" w:lineRule="auto"/>
        <w:ind w:left="100"/>
        <w:jc w:val="both"/>
      </w:pPr>
      <w:r>
        <w:t xml:space="preserve">Statement of the Problem: </w:t>
      </w:r>
      <w:r w:rsidR="001E362A">
        <w:t xml:space="preserve">Today’s entrepreneur faces the challenge of having to develop a multipronged approach to reach customers who are already bombarded with a cascade of messages as well as distracted by the daily challenges of life.  I will discuss how to overcome these competitive factors to gain market traction and to do so and still preserve maximal equity in your company. I will focus specifically on the pharmaceutical industry and on how market dynamics and regulatory challenges have opened up opportunities for improvement in the industry.  In particular, the ACMA is focused on helping the pharmaceutical industry improve its current standards of practice as it relates to medical affairs professionals, which include medical science liaisons (MSLs).  These professionals are increasingly becoming the primary purveyors of information and education to healthcare providers (HCPs) around the world.  In effect, replacing pharmaceutical industry sales representatives. </w:t>
      </w:r>
      <w:r>
        <w:t xml:space="preserve"> Conclusion &amp; Significance: </w:t>
      </w:r>
      <w:r w:rsidR="001E362A">
        <w:t xml:space="preserve">The importance of remaining persistent and pushing against the ‘grain’ is the only way to bring about positive, substantive change in an industry.  </w:t>
      </w:r>
    </w:p>
    <w:p w14:paraId="00F70333" w14:textId="77777777" w:rsidR="00AE3E37" w:rsidRDefault="00A9710C">
      <w:pPr>
        <w:pStyle w:val="Heading3"/>
        <w:spacing w:before="74"/>
      </w:pPr>
      <w:r>
        <w:rPr>
          <w:b w:val="0"/>
        </w:rPr>
        <w:br w:type="column"/>
      </w:r>
      <w:r>
        <w:rPr>
          <w:color w:val="BF5A14"/>
        </w:rPr>
        <w:t>Image</w:t>
      </w:r>
    </w:p>
    <w:p w14:paraId="1F427077" w14:textId="497A2414" w:rsidR="00AE3E37" w:rsidRDefault="00B15D3E">
      <w:pPr>
        <w:pStyle w:val="BodyText"/>
        <w:spacing w:before="2"/>
        <w:rPr>
          <w:rFonts w:ascii="Arial"/>
          <w:b/>
          <w:sz w:val="16"/>
        </w:rPr>
      </w:pPr>
      <w:r>
        <w:rPr>
          <w:rFonts w:ascii="Arial"/>
          <w:b/>
          <w:noProof/>
          <w:sz w:val="16"/>
        </w:rPr>
        <w:drawing>
          <wp:inline distT="0" distB="0" distL="0" distR="0" wp14:anchorId="6DC6F472" wp14:editId="58C4A8FF">
            <wp:extent cx="3165475" cy="27920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 icon se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792095"/>
                    </a:xfrm>
                    <a:prstGeom prst="rect">
                      <a:avLst/>
                    </a:prstGeom>
                  </pic:spPr>
                </pic:pic>
              </a:graphicData>
            </a:graphic>
          </wp:inline>
        </w:drawing>
      </w:r>
    </w:p>
    <w:p w14:paraId="52E1588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39A5ED2" w14:textId="77777777" w:rsidR="00B15D3E" w:rsidRDefault="00B15D3E" w:rsidP="00B15D3E">
      <w:pPr>
        <w:pStyle w:val="ListParagraph"/>
        <w:numPr>
          <w:ilvl w:val="0"/>
          <w:numId w:val="3"/>
        </w:numPr>
        <w:tabs>
          <w:tab w:val="left" w:pos="384"/>
        </w:tabs>
        <w:spacing w:line="216" w:lineRule="exact"/>
        <w:ind w:right="137" w:hanging="283"/>
        <w:rPr>
          <w:sz w:val="18"/>
        </w:rPr>
      </w:pPr>
      <w:r w:rsidRPr="00B15D3E">
        <w:rPr>
          <w:sz w:val="18"/>
        </w:rPr>
        <w:t>Andrews, K. R. (1971). The concept of corporate strategy. Homewood, IL: Dow Jones-Irwin.</w:t>
      </w:r>
    </w:p>
    <w:p w14:paraId="5C0AFBCC" w14:textId="77777777" w:rsidR="00B15D3E" w:rsidRDefault="00B15D3E" w:rsidP="00B15D3E">
      <w:pPr>
        <w:pStyle w:val="ListParagraph"/>
        <w:numPr>
          <w:ilvl w:val="0"/>
          <w:numId w:val="3"/>
        </w:numPr>
        <w:tabs>
          <w:tab w:val="left" w:pos="384"/>
        </w:tabs>
        <w:spacing w:line="216" w:lineRule="exact"/>
        <w:ind w:right="137" w:hanging="283"/>
        <w:rPr>
          <w:sz w:val="18"/>
        </w:rPr>
      </w:pPr>
      <w:proofErr w:type="spellStart"/>
      <w:r w:rsidRPr="00B15D3E">
        <w:rPr>
          <w:sz w:val="18"/>
        </w:rPr>
        <w:t>Brittain</w:t>
      </w:r>
      <w:proofErr w:type="spellEnd"/>
      <w:r w:rsidRPr="00B15D3E">
        <w:rPr>
          <w:sz w:val="18"/>
        </w:rPr>
        <w:t xml:space="preserve">, J. </w:t>
      </w:r>
      <w:proofErr w:type="gramStart"/>
      <w:r w:rsidRPr="00B15D3E">
        <w:rPr>
          <w:sz w:val="18"/>
        </w:rPr>
        <w:t>W. ,</w:t>
      </w:r>
      <w:proofErr w:type="gramEnd"/>
      <w:r w:rsidRPr="00B15D3E">
        <w:rPr>
          <w:sz w:val="18"/>
        </w:rPr>
        <w:t xml:space="preserve"> &amp; Freeman, J. (1980). Organizational proliferation and density dependent selection. In Kimberly, J. </w:t>
      </w:r>
      <w:proofErr w:type="gramStart"/>
      <w:r w:rsidRPr="00B15D3E">
        <w:rPr>
          <w:sz w:val="18"/>
        </w:rPr>
        <w:t>R. ,</w:t>
      </w:r>
      <w:proofErr w:type="gramEnd"/>
      <w:r w:rsidRPr="00B15D3E">
        <w:rPr>
          <w:sz w:val="18"/>
        </w:rPr>
        <w:t xml:space="preserve"> and Miles, R. H. (Eds.), The organizational life cycle, pp. 291–338. San Francisco: Jossey-Bass.</w:t>
      </w:r>
    </w:p>
    <w:p w14:paraId="7F90ED8E" w14:textId="77777777" w:rsidR="00B15D3E" w:rsidRDefault="00B15D3E" w:rsidP="00B15D3E">
      <w:pPr>
        <w:pStyle w:val="ListParagraph"/>
        <w:numPr>
          <w:ilvl w:val="0"/>
          <w:numId w:val="3"/>
        </w:numPr>
        <w:tabs>
          <w:tab w:val="left" w:pos="384"/>
        </w:tabs>
        <w:spacing w:line="216" w:lineRule="exact"/>
        <w:ind w:right="137" w:hanging="283"/>
        <w:rPr>
          <w:sz w:val="18"/>
        </w:rPr>
      </w:pPr>
      <w:r w:rsidRPr="00B15D3E">
        <w:rPr>
          <w:sz w:val="18"/>
        </w:rPr>
        <w:t xml:space="preserve">Hofer, C. W. (1986). Foreword. In MacMillan, I. </w:t>
      </w:r>
      <w:proofErr w:type="gramStart"/>
      <w:r w:rsidRPr="00B15D3E">
        <w:rPr>
          <w:sz w:val="18"/>
        </w:rPr>
        <w:t>C. ,</w:t>
      </w:r>
      <w:proofErr w:type="gramEnd"/>
      <w:r w:rsidRPr="00B15D3E">
        <w:rPr>
          <w:sz w:val="18"/>
        </w:rPr>
        <w:t xml:space="preserve"> &amp; Jones, P. E. , Strategy formulation: Power and politics (2nd ed.), pp. ix–xiii. St. Paul, MN: West Publishing Company.</w:t>
      </w:r>
    </w:p>
    <w:p w14:paraId="048B7593" w14:textId="21E6ABD2" w:rsidR="005973B9" w:rsidRPr="001E362A" w:rsidRDefault="00B15D3E" w:rsidP="00B15D3E">
      <w:pPr>
        <w:pStyle w:val="ListParagraph"/>
        <w:numPr>
          <w:ilvl w:val="0"/>
          <w:numId w:val="3"/>
        </w:numPr>
        <w:tabs>
          <w:tab w:val="left" w:pos="384"/>
        </w:tabs>
        <w:spacing w:line="216" w:lineRule="exact"/>
        <w:ind w:right="137" w:hanging="283"/>
        <w:rPr>
          <w:sz w:val="14"/>
          <w:szCs w:val="18"/>
        </w:rPr>
      </w:pPr>
      <w:r w:rsidRPr="001E362A">
        <w:rPr>
          <w:sz w:val="18"/>
          <w:szCs w:val="18"/>
        </w:rPr>
        <w:t>Hofer, C. W. (1987). Some guidelines for more effective strategic management research. Invited presentation, NOVA University, August.</w:t>
      </w:r>
    </w:p>
    <w:p w14:paraId="752A417F" w14:textId="2738964B" w:rsidR="005973B9" w:rsidRDefault="005973B9" w:rsidP="005973B9">
      <w:pPr>
        <w:pStyle w:val="BodyText"/>
        <w:spacing w:before="85" w:line="216" w:lineRule="exact"/>
        <w:ind w:left="383" w:right="138" w:hanging="284"/>
        <w:jc w:val="both"/>
        <w:rPr>
          <w:rFonts w:ascii="Calibri" w:hAnsi="Calibri"/>
        </w:rPr>
      </w:pPr>
      <w:r>
        <w:rPr>
          <w:rFonts w:ascii="Calibri" w:hAnsi="Calibri"/>
        </w:rPr>
        <w:t>5.</w:t>
      </w:r>
      <w:r w:rsidR="001E362A" w:rsidRPr="001E362A">
        <w:rPr>
          <w:rFonts w:ascii="Calibri" w:hAnsi="Calibri"/>
        </w:rPr>
        <w:t>Mitton, D. G. (1989). The complete entrepreneur. Entrepreneurship Theory and Practice, 13(3), 9–19.</w:t>
      </w:r>
    </w:p>
    <w:p w14:paraId="711F8EB5" w14:textId="77777777" w:rsidR="00AE3E37" w:rsidRPr="008756E6" w:rsidRDefault="00AE3E37" w:rsidP="008756E6">
      <w:pPr>
        <w:tabs>
          <w:tab w:val="left" w:pos="384"/>
        </w:tabs>
        <w:ind w:right="117"/>
      </w:pPr>
    </w:p>
    <w:p w14:paraId="62B2B36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C998E25" w14:textId="77777777" w:rsidR="00AE3E37" w:rsidRDefault="00AE3E37">
      <w:pPr>
        <w:pStyle w:val="BodyText"/>
        <w:rPr>
          <w:rFonts w:ascii="Calibri"/>
          <w:sz w:val="20"/>
        </w:rPr>
      </w:pPr>
    </w:p>
    <w:p w14:paraId="29EF1AD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3DD4C5" wp14:editId="1D185AB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72687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4E4F462" w14:textId="0389260E" w:rsidR="00AE3E37" w:rsidRDefault="008756E6" w:rsidP="00404E5B">
      <w:pPr>
        <w:spacing w:before="92"/>
        <w:ind w:right="4234"/>
        <w:rPr>
          <w:rFonts w:ascii="Arial"/>
        </w:rPr>
      </w:pPr>
      <w:r>
        <w:rPr>
          <w:noProof/>
        </w:rPr>
        <w:t xml:space="preserve">              </w:t>
      </w:r>
      <w:r w:rsidR="00B15D3E">
        <w:rPr>
          <w:rFonts w:ascii="Arial"/>
          <w:noProof/>
          <w:color w:val="BF5A14"/>
        </w:rPr>
        <w:drawing>
          <wp:inline distT="0" distB="0" distL="0" distR="0" wp14:anchorId="3F859D8F" wp14:editId="45964EA0">
            <wp:extent cx="654965" cy="7895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ll soliman desk .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7306" cy="804447"/>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E80245F" w14:textId="14041BDD" w:rsidR="00AE3E37" w:rsidRDefault="00B15D3E">
      <w:pPr>
        <w:spacing w:before="41" w:line="154" w:lineRule="exact"/>
        <w:ind w:left="213" w:right="231"/>
        <w:jc w:val="both"/>
        <w:rPr>
          <w:rFonts w:ascii="Arial"/>
          <w:sz w:val="14"/>
        </w:rPr>
      </w:pPr>
      <w:r>
        <w:rPr>
          <w:rFonts w:ascii="Arial"/>
          <w:sz w:val="14"/>
        </w:rPr>
        <w:t>William Soliman is the Founder/CEO of the ACMA. A former senior executive within the pharmaceutical industry with more than 20 years of experience, he is considered a pharmaceutical industry futurist and is frequently featured as an expert on television on pharma industry related issues</w:t>
      </w:r>
      <w:r w:rsidR="00A9710C">
        <w:rPr>
          <w:rFonts w:ascii="Arial"/>
          <w:sz w:val="14"/>
        </w:rPr>
        <w:t>.</w:t>
      </w:r>
      <w:r>
        <w:rPr>
          <w:rFonts w:ascii="Arial"/>
          <w:sz w:val="14"/>
        </w:rPr>
        <w:t xml:space="preserve">  He has been featured on Fox Business News, Al </w:t>
      </w:r>
      <w:proofErr w:type="spellStart"/>
      <w:r>
        <w:rPr>
          <w:rFonts w:ascii="Arial"/>
          <w:sz w:val="14"/>
        </w:rPr>
        <w:t>AJazeera</w:t>
      </w:r>
      <w:proofErr w:type="spellEnd"/>
      <w:r>
        <w:rPr>
          <w:rFonts w:ascii="Arial"/>
          <w:sz w:val="14"/>
        </w:rPr>
        <w:t xml:space="preserve">, ABC News Radio, Forbes and more. The ACMA </w:t>
      </w:r>
      <w:proofErr w:type="gramStart"/>
      <w:r>
        <w:rPr>
          <w:rFonts w:ascii="Arial"/>
          <w:sz w:val="14"/>
        </w:rPr>
        <w:t>is  a</w:t>
      </w:r>
      <w:proofErr w:type="gramEnd"/>
      <w:r>
        <w:rPr>
          <w:rFonts w:ascii="Arial"/>
          <w:sz w:val="14"/>
        </w:rPr>
        <w:t xml:space="preserve"> global organization which established the first uniform standards for medical &amp; scientific professionals in 2015.  The ACMA offers a full suite of technology solutions to the pharma industry, including ACMA Engage, a CRM platform, ACMA Predict, a predictive analytics/AI platform, and advisory services for medication safety name testing.  The ACMA also provides the only certification for Prior Authorization called the Prior Authorization Certification Specialist (PACS) program. Dr. Soliman earned his bachelor</w:t>
      </w:r>
      <w:r>
        <w:rPr>
          <w:rFonts w:ascii="Arial"/>
          <w:sz w:val="14"/>
        </w:rPr>
        <w:t>’</w:t>
      </w:r>
      <w:r>
        <w:rPr>
          <w:rFonts w:ascii="Arial"/>
          <w:sz w:val="14"/>
        </w:rPr>
        <w:t xml:space="preserve">s degree from New York University and his PhD from Columbia University. </w:t>
      </w:r>
    </w:p>
    <w:p w14:paraId="4500495F" w14:textId="293FB7D4" w:rsidR="00AE3E37" w:rsidRDefault="00A9710C">
      <w:pPr>
        <w:spacing w:before="62"/>
        <w:ind w:left="4217" w:right="4235"/>
        <w:jc w:val="center"/>
        <w:rPr>
          <w:rFonts w:ascii="Arial"/>
          <w:sz w:val="14"/>
        </w:rPr>
      </w:pPr>
      <w:r>
        <w:rPr>
          <w:rFonts w:ascii="Arial"/>
          <w:sz w:val="14"/>
        </w:rPr>
        <w:t xml:space="preserve">Email: </w:t>
      </w:r>
      <w:hyperlink r:id="rId11" w:history="1">
        <w:r w:rsidR="00B15D3E" w:rsidRPr="00555801">
          <w:rPr>
            <w:rStyle w:val="Hyperlink"/>
            <w:rFonts w:ascii="Arial"/>
            <w:sz w:val="14"/>
          </w:rPr>
          <w:t>wasoliman1@gmail.com</w:t>
        </w:r>
      </w:hyperlink>
    </w:p>
    <w:p w14:paraId="370B9AE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574151C" wp14:editId="115AB7C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CEB3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3425E24" w14:textId="77777777" w:rsidR="00AE3E37" w:rsidRDefault="00AE3E37">
      <w:pPr>
        <w:pStyle w:val="BodyText"/>
        <w:rPr>
          <w:rFonts w:ascii="Arial"/>
          <w:sz w:val="20"/>
        </w:rPr>
      </w:pPr>
    </w:p>
    <w:p w14:paraId="34227D32" w14:textId="77777777" w:rsidR="00AE3E37" w:rsidRDefault="00AE3E37">
      <w:pPr>
        <w:pStyle w:val="BodyText"/>
        <w:rPr>
          <w:rFonts w:ascii="Arial"/>
          <w:sz w:val="20"/>
        </w:rPr>
      </w:pPr>
    </w:p>
    <w:p w14:paraId="2A29B325" w14:textId="77777777" w:rsidR="00AE3E37" w:rsidRDefault="00AE3E37">
      <w:pPr>
        <w:pStyle w:val="BodyText"/>
        <w:spacing w:before="7"/>
        <w:rPr>
          <w:rFonts w:ascii="Arial"/>
          <w:sz w:val="29"/>
        </w:rPr>
      </w:pPr>
    </w:p>
    <w:p w14:paraId="1CCA4CF6" w14:textId="77777777" w:rsidR="00AE3E37" w:rsidRPr="00B21A57" w:rsidRDefault="00A9710C">
      <w:pPr>
        <w:spacing w:before="39"/>
        <w:ind w:left="100"/>
        <w:rPr>
          <w:rFonts w:ascii="Minion Pro"/>
          <w:b/>
          <w:sz w:val="20"/>
        </w:rPr>
      </w:pPr>
      <w:r w:rsidRPr="00B21A57">
        <w:rPr>
          <w:rFonts w:ascii="Minion Pro"/>
          <w:b/>
          <w:sz w:val="20"/>
        </w:rPr>
        <w:t>Notes/Comments:</w:t>
      </w:r>
    </w:p>
    <w:p w14:paraId="17F74DE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73D31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3F6953" w14:textId="77777777" w:rsidR="00711EEB" w:rsidRDefault="00711EEB">
      <w:r>
        <w:separator/>
      </w:r>
    </w:p>
  </w:endnote>
  <w:endnote w:type="continuationSeparator" w:id="0">
    <w:p w14:paraId="7167BBE5" w14:textId="77777777" w:rsidR="00711EEB" w:rsidRDefault="00711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6A6B0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C0E6E04" wp14:editId="709F4D6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F00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EDDC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E6E0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A9F00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EDDC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A69E407" wp14:editId="3B5DB89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C87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1AB5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9E40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FEC879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1AB5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57F1661" wp14:editId="478A507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5D5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0AC97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F166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CA5D5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0AC97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9D9E60" w14:textId="77777777" w:rsidR="00711EEB" w:rsidRDefault="00711EEB">
      <w:r>
        <w:separator/>
      </w:r>
    </w:p>
  </w:footnote>
  <w:footnote w:type="continuationSeparator" w:id="0">
    <w:p w14:paraId="57953E8B" w14:textId="77777777" w:rsidR="00711EEB" w:rsidRDefault="00711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B3C1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B0B79D8" wp14:editId="024E3F5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CEA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0B79D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03CEA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EE1C235" wp14:editId="05E4228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733F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61D81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1C23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F0733F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61D81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362A"/>
    <w:rsid w:val="002455EC"/>
    <w:rsid w:val="00292ED9"/>
    <w:rsid w:val="00404E5B"/>
    <w:rsid w:val="00414F7B"/>
    <w:rsid w:val="004355DC"/>
    <w:rsid w:val="004749B4"/>
    <w:rsid w:val="00494130"/>
    <w:rsid w:val="004F3523"/>
    <w:rsid w:val="005973B9"/>
    <w:rsid w:val="005B3A56"/>
    <w:rsid w:val="006060CE"/>
    <w:rsid w:val="0063497F"/>
    <w:rsid w:val="00711EEB"/>
    <w:rsid w:val="00873DF0"/>
    <w:rsid w:val="008756E6"/>
    <w:rsid w:val="008A08B6"/>
    <w:rsid w:val="009B2D44"/>
    <w:rsid w:val="00A07E82"/>
    <w:rsid w:val="00A9710C"/>
    <w:rsid w:val="00AE3E37"/>
    <w:rsid w:val="00B15D3E"/>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007F3"/>
  <w15:docId w15:val="{13E1CDE0-02C0-4EB6-9832-7D97BEEF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15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688408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asoliman1@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William Soliman</cp:lastModifiedBy>
  <cp:revision>2</cp:revision>
  <dcterms:created xsi:type="dcterms:W3CDTF">2020-07-18T12:49:00Z</dcterms:created>
  <dcterms:modified xsi:type="dcterms:W3CDTF">2020-07-18T12:49:00Z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