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DC8" w:rsidRDefault="009A7EB5">
      <w:pPr>
        <w:pStyle w:val="Titolo1"/>
        <w:spacing w:before="170"/>
        <w:ind w:left="0"/>
        <w:jc w:val="both"/>
        <w:rPr>
          <w:rFonts w:ascii="Lato Bold" w:eastAsia="Lato Bold" w:hAnsi="Lato Bold" w:cs="Lato Bold"/>
          <w:b w:val="0"/>
          <w:bCs w:val="0"/>
          <w:sz w:val="40"/>
          <w:szCs w:val="40"/>
        </w:rPr>
      </w:pPr>
      <w:r>
        <w:rPr>
          <w:rStyle w:val="Nessuno"/>
          <w:rFonts w:ascii="Lato Bold" w:hAnsi="Lato Bold"/>
          <w:b w:val="0"/>
          <w:bCs w:val="0"/>
          <w:color w:val="337AB7"/>
          <w:sz w:val="40"/>
          <w:szCs w:val="40"/>
          <w:u w:color="337AB7"/>
          <w:lang w:val="it-IT"/>
        </w:rPr>
        <w:t>Thyroid Nodules Minimally-Invasive Ultrasound Guided Radiofrequency Ablation</w:t>
      </w:r>
    </w:p>
    <w:p w:rsidR="002A0DC8" w:rsidRDefault="009A7EB5">
      <w:pPr>
        <w:pStyle w:val="Corpotesto"/>
        <w:spacing w:before="73" w:line="198" w:lineRule="exact"/>
        <w:ind w:left="100" w:right="5987"/>
        <w:rPr>
          <w:rStyle w:val="Nessuno"/>
          <w:rFonts w:ascii="Arial" w:eastAsia="Arial" w:hAnsi="Arial" w:cs="Arial"/>
          <w:sz w:val="22"/>
          <w:szCs w:val="22"/>
        </w:rPr>
      </w:pPr>
      <w:r>
        <w:rPr>
          <w:rFonts w:ascii="Lato Regular" w:hAnsi="Lato Regular"/>
          <w:sz w:val="22"/>
          <w:szCs w:val="22"/>
          <w:lang w:val="it-IT"/>
        </w:rPr>
        <w:t>Roberto Valcavi</w:t>
      </w:r>
      <w:r>
        <w:rPr>
          <w:rFonts w:ascii="Lato Regular" w:hAnsi="Lato Regular"/>
          <w:sz w:val="22"/>
          <w:szCs w:val="22"/>
        </w:rPr>
        <w:t xml:space="preserve">, </w:t>
      </w:r>
      <w:r>
        <w:rPr>
          <w:rFonts w:ascii="Lato Regular" w:hAnsi="Lato Regular"/>
          <w:sz w:val="22"/>
          <w:szCs w:val="22"/>
          <w:lang w:val="it-IT"/>
        </w:rPr>
        <w:t>MD, FACE, ECNU</w:t>
      </w:r>
      <w:r>
        <w:rPr>
          <w:rFonts w:ascii="Lato Regular" w:hAnsi="Lato Regular"/>
          <w:sz w:val="22"/>
          <w:szCs w:val="22"/>
        </w:rPr>
        <w:t xml:space="preserve">, </w:t>
      </w:r>
      <w:r>
        <w:rPr>
          <w:rFonts w:ascii="Lato Regular" w:hAnsi="Lato Regular"/>
          <w:sz w:val="22"/>
          <w:szCs w:val="22"/>
          <w:lang w:val="it-IT"/>
        </w:rPr>
        <w:t>Endocrine &amp; Thyroid Clinic (E.T.C.)</w:t>
      </w:r>
      <w:r>
        <w:rPr>
          <w:rFonts w:ascii="Lato Regular" w:hAnsi="Lato Regular"/>
          <w:sz w:val="22"/>
          <w:szCs w:val="22"/>
        </w:rPr>
        <w:t xml:space="preserve">, </w:t>
      </w:r>
      <w:r>
        <w:rPr>
          <w:rFonts w:ascii="Lato Regular" w:hAnsi="Lato Regular"/>
          <w:sz w:val="22"/>
          <w:szCs w:val="22"/>
          <w:lang w:val="it-IT"/>
        </w:rPr>
        <w:t>Reggio Emilia, Italy</w:t>
      </w:r>
    </w:p>
    <w:p w:rsidR="002A0DC8" w:rsidRDefault="002A0DC8">
      <w:pPr>
        <w:pStyle w:val="Corpotesto"/>
        <w:rPr>
          <w:rStyle w:val="Nessuno"/>
          <w:rFonts w:ascii="Arial" w:eastAsia="Arial" w:hAnsi="Arial" w:cs="Arial"/>
          <w:sz w:val="20"/>
          <w:szCs w:val="20"/>
        </w:rPr>
      </w:pPr>
    </w:p>
    <w:p w:rsidR="002A0DC8" w:rsidRDefault="002A0DC8">
      <w:pPr>
        <w:pStyle w:val="Corpotesto"/>
        <w:spacing w:before="3"/>
        <w:rPr>
          <w:rStyle w:val="Nessuno"/>
          <w:rFonts w:ascii="Arial" w:eastAsia="Arial" w:hAnsi="Arial" w:cs="Arial"/>
          <w:sz w:val="21"/>
          <w:szCs w:val="21"/>
        </w:rPr>
      </w:pPr>
    </w:p>
    <w:p w:rsidR="002A0DC8" w:rsidRDefault="002A0DC8">
      <w:pPr>
        <w:rPr>
          <w:rStyle w:val="Nessuno"/>
          <w:rFonts w:ascii="Arial" w:eastAsia="Arial" w:hAnsi="Arial" w:cs="Arial"/>
        </w:rPr>
        <w:sectPr w:rsidR="002A0DC8">
          <w:headerReference w:type="default" r:id="rId7"/>
          <w:footerReference w:type="default" r:id="rId8"/>
          <w:pgSz w:w="11920" w:h="16840"/>
          <w:pgMar w:top="1740" w:right="600" w:bottom="840" w:left="620" w:header="541" w:footer="642" w:gutter="0"/>
          <w:cols w:space="720"/>
        </w:sectPr>
      </w:pPr>
    </w:p>
    <w:p w:rsidR="002A0DC8" w:rsidRDefault="009A7EB5">
      <w:pPr>
        <w:pStyle w:val="Titolo3"/>
        <w:spacing w:before="147"/>
        <w:jc w:val="both"/>
        <w:rPr>
          <w:rStyle w:val="Nessuno"/>
          <w:color w:val="BF5A14"/>
          <w:u w:color="BF5A14"/>
        </w:rPr>
      </w:pPr>
      <w:r>
        <w:rPr>
          <w:rStyle w:val="Nessuno"/>
          <w:color w:val="BF5A14"/>
          <w:u w:color="BF5A14"/>
        </w:rPr>
        <w:t>Abstract</w:t>
      </w:r>
    </w:p>
    <w:p w:rsidR="002A0DC8" w:rsidRDefault="002A0DC8">
      <w:pPr>
        <w:pStyle w:val="Titolo3"/>
        <w:spacing w:before="147"/>
        <w:jc w:val="both"/>
      </w:pPr>
    </w:p>
    <w:p w:rsidR="002A0DC8" w:rsidRDefault="009A7EB5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60" w:line="259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Ultrasound-guided minimally-invasive RFA surgery takes place in a surgical room</w:t>
      </w:r>
      <w:r>
        <w:rPr>
          <w:rFonts w:ascii="Calibri" w:hAnsi="Calibri"/>
          <w:sz w:val="20"/>
          <w:szCs w:val="20"/>
          <w:lang w:val="it-IT"/>
        </w:rPr>
        <w:t>.</w:t>
      </w:r>
      <w:r>
        <w:rPr>
          <w:rFonts w:ascii="Calibri" w:hAnsi="Calibri"/>
          <w:sz w:val="20"/>
          <w:szCs w:val="20"/>
        </w:rPr>
        <w:t xml:space="preserve"> Benign thyroid nodules, goiter, hyperfunctioning nodules (toxic adenomas), non-metastatic malignant micro-</w:t>
      </w:r>
      <w:r>
        <w:rPr>
          <w:rFonts w:ascii="Calibri" w:hAnsi="Calibri"/>
          <w:sz w:val="20"/>
          <w:szCs w:val="20"/>
        </w:rPr>
        <w:t xml:space="preserve">papillary tumors [1] (&lt;1cm), lymphatic metastases that cannot be </w:t>
      </w:r>
      <w:r>
        <w:rPr>
          <w:rFonts w:ascii="Calibri" w:hAnsi="Calibri"/>
          <w:sz w:val="20"/>
          <w:szCs w:val="20"/>
        </w:rPr>
        <w:t xml:space="preserve">treated surgically or with radioiodine can be treated by means of </w:t>
      </w:r>
      <w:r w:rsidR="00F56A06">
        <w:rPr>
          <w:rFonts w:ascii="Calibri" w:eastAsia="Calibri" w:hAnsi="Calibri" w:cs="Calibri"/>
          <w:noProof/>
          <w:sz w:val="20"/>
          <w:szCs w:val="20"/>
          <w:lang w:val="it-IT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column">
              <wp:posOffset>3494823</wp:posOffset>
            </wp:positionH>
            <wp:positionV relativeFrom="line">
              <wp:posOffset>160720</wp:posOffset>
            </wp:positionV>
            <wp:extent cx="3182620" cy="1400810"/>
            <wp:effectExtent l="0" t="0" r="0" b="8890"/>
            <wp:wrapTopAndBottom distT="152400" distB="15240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RFA-foto-1370x550.jp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2620" cy="14008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Calibri" w:hAnsi="Calibri"/>
          <w:sz w:val="20"/>
          <w:szCs w:val="20"/>
        </w:rPr>
        <w:t>an innovative appr</w:t>
      </w:r>
      <w:r>
        <w:rPr>
          <w:rFonts w:ascii="Calibri" w:hAnsi="Calibri"/>
          <w:sz w:val="20"/>
          <w:szCs w:val="20"/>
        </w:rPr>
        <w:t xml:space="preserve">oach, which complement open surgery. RFA </w:t>
      </w:r>
      <w:r>
        <w:rPr>
          <w:rFonts w:ascii="Calibri" w:hAnsi="Calibri"/>
          <w:sz w:val="20"/>
          <w:szCs w:val="20"/>
        </w:rPr>
        <w:t>uses radiofrequency waves generated by a special needle-</w:t>
      </w:r>
      <w:r>
        <w:rPr>
          <w:rFonts w:ascii="Calibri" w:hAnsi="Calibri"/>
          <w:sz w:val="20"/>
          <w:szCs w:val="20"/>
        </w:rPr>
        <w:t>electrode, which generate elevation of the localized</w:t>
      </w:r>
      <w:r>
        <w:rPr>
          <w:rFonts w:ascii="Calibri" w:hAnsi="Calibri"/>
          <w:sz w:val="20"/>
          <w:szCs w:val="20"/>
        </w:rPr>
        <w:t xml:space="preserve"> temperature </w:t>
      </w:r>
      <w:r>
        <w:rPr>
          <w:rFonts w:ascii="Calibri" w:hAnsi="Calibri"/>
          <w:sz w:val="20"/>
          <w:szCs w:val="20"/>
        </w:rPr>
        <w:t>inside the nodule, destroying it</w:t>
      </w:r>
      <w:r>
        <w:rPr>
          <w:rFonts w:ascii="Calibri" w:hAnsi="Calibri"/>
          <w:sz w:val="20"/>
          <w:szCs w:val="20"/>
          <w:lang w:val="it-IT"/>
        </w:rPr>
        <w:t xml:space="preserve"> </w:t>
      </w:r>
      <w:r>
        <w:rPr>
          <w:rFonts w:ascii="Calibri" w:hAnsi="Calibri"/>
          <w:sz w:val="20"/>
          <w:szCs w:val="20"/>
        </w:rPr>
        <w:t>[</w:t>
      </w:r>
      <w:r>
        <w:rPr>
          <w:rFonts w:ascii="Calibri" w:hAnsi="Calibri"/>
          <w:sz w:val="20"/>
          <w:szCs w:val="20"/>
          <w:lang w:val="it-IT"/>
        </w:rPr>
        <w:t>2</w:t>
      </w:r>
      <w:r>
        <w:rPr>
          <w:rFonts w:ascii="Calibri" w:hAnsi="Calibri"/>
          <w:sz w:val="20"/>
          <w:szCs w:val="20"/>
        </w:rPr>
        <w:t>].</w:t>
      </w:r>
      <w:r>
        <w:rPr>
          <w:rFonts w:ascii="Calibri" w:hAnsi="Calibri"/>
          <w:sz w:val="20"/>
          <w:szCs w:val="20"/>
          <w:lang w:val="it-IT"/>
        </w:rPr>
        <w:t xml:space="preserve"> </w:t>
      </w:r>
      <w:r>
        <w:rPr>
          <w:rFonts w:ascii="Calibri" w:hAnsi="Calibri"/>
          <w:sz w:val="20"/>
          <w:szCs w:val="20"/>
        </w:rPr>
        <w:t xml:space="preserve">The intervention takes place </w:t>
      </w:r>
      <w:r>
        <w:rPr>
          <w:rFonts w:ascii="Calibri" w:hAnsi="Calibri"/>
          <w:sz w:val="20"/>
          <w:szCs w:val="20"/>
        </w:rPr>
        <w:t>by introducing a radiofreq</w:t>
      </w:r>
      <w:r>
        <w:rPr>
          <w:rFonts w:ascii="Calibri" w:hAnsi="Calibri"/>
          <w:sz w:val="20"/>
          <w:szCs w:val="20"/>
        </w:rPr>
        <w:t xml:space="preserve">uency (RF) needle-electrode into the </w:t>
      </w:r>
      <w:bookmarkStart w:id="0" w:name="_GoBack"/>
      <w:bookmarkEnd w:id="0"/>
      <w:r>
        <w:rPr>
          <w:rFonts w:ascii="Calibri" w:hAnsi="Calibri"/>
          <w:sz w:val="20"/>
          <w:szCs w:val="20"/>
        </w:rPr>
        <w:t xml:space="preserve">nodule under ultrasound assistance, which, thanks to an internal cooling system, produces thermal elevation at the tip while </w:t>
      </w:r>
      <w:r>
        <w:rPr>
          <w:rFonts w:ascii="Calibri" w:hAnsi="Calibri"/>
          <w:sz w:val="20"/>
          <w:szCs w:val="20"/>
        </w:rPr>
        <w:t xml:space="preserve">maintaining a non-harmful temperature along the rest of the </w:t>
      </w:r>
      <w:r>
        <w:rPr>
          <w:rFonts w:ascii="Calibri" w:hAnsi="Calibri"/>
          <w:sz w:val="20"/>
          <w:szCs w:val="20"/>
        </w:rPr>
        <w:t>needle in contact with other healt</w:t>
      </w:r>
      <w:r>
        <w:rPr>
          <w:rFonts w:ascii="Calibri" w:hAnsi="Calibri"/>
          <w:sz w:val="20"/>
          <w:szCs w:val="20"/>
        </w:rPr>
        <w:t xml:space="preserve">hy structures of the neck. The </w:t>
      </w:r>
      <w:r>
        <w:rPr>
          <w:rFonts w:ascii="Calibri" w:hAnsi="Calibri"/>
          <w:sz w:val="20"/>
          <w:szCs w:val="20"/>
        </w:rPr>
        <w:t xml:space="preserve">most used technique is monopolar radiofrequency. During the </w:t>
      </w:r>
      <w:r>
        <w:rPr>
          <w:rFonts w:ascii="Calibri" w:hAnsi="Calibri"/>
          <w:sz w:val="20"/>
          <w:szCs w:val="20"/>
        </w:rPr>
        <w:t>surgery, the patient is part of a circuit that includes a radiofrequency generator, a needle-electrode and two dispersion plates positioned on the patient's legs (Fi</w:t>
      </w:r>
      <w:r>
        <w:rPr>
          <w:rFonts w:ascii="Calibri" w:hAnsi="Calibri"/>
          <w:sz w:val="20"/>
          <w:szCs w:val="20"/>
        </w:rPr>
        <w:t>g 1). Local pericapsular thyroid anesthesia and sedation with midazolam and propofol are performed under monitoring of vital parameters and the assistance of an anesthetist / resuscitator. The patient does not feel any discomfort during the procedure. Intu</w:t>
      </w:r>
      <w:r>
        <w:rPr>
          <w:rFonts w:ascii="Calibri" w:hAnsi="Calibri"/>
          <w:sz w:val="20"/>
          <w:szCs w:val="20"/>
        </w:rPr>
        <w:t>bation is not necessary. In the weeks and months following RF ablation, a progressive volumetric reduction of the treated nodule will be obtained, with a consequent reduction in compression symptoms and visible swelling. Remarkable is the improvement in th</w:t>
      </w:r>
      <w:r>
        <w:rPr>
          <w:rFonts w:ascii="Calibri" w:hAnsi="Calibri"/>
          <w:sz w:val="20"/>
          <w:szCs w:val="20"/>
        </w:rPr>
        <w:t>e quality of life [</w:t>
      </w:r>
      <w:r>
        <w:rPr>
          <w:rFonts w:ascii="Calibri" w:hAnsi="Calibri"/>
          <w:sz w:val="20"/>
          <w:szCs w:val="20"/>
          <w:lang w:val="it-IT"/>
        </w:rPr>
        <w:t>3</w:t>
      </w:r>
      <w:r>
        <w:rPr>
          <w:rFonts w:ascii="Calibri" w:hAnsi="Calibri"/>
          <w:sz w:val="20"/>
          <w:szCs w:val="20"/>
        </w:rPr>
        <w:t>-</w:t>
      </w:r>
      <w:r>
        <w:rPr>
          <w:rFonts w:ascii="Calibri" w:hAnsi="Calibri"/>
          <w:sz w:val="20"/>
          <w:szCs w:val="20"/>
          <w:lang w:val="it-IT"/>
        </w:rPr>
        <w:t>4</w:t>
      </w:r>
      <w:r>
        <w:rPr>
          <w:rFonts w:ascii="Calibri" w:hAnsi="Calibri"/>
          <w:sz w:val="20"/>
          <w:szCs w:val="20"/>
        </w:rPr>
        <w:t>]. The reduction is on average 80% compared to the initial volume [</w:t>
      </w:r>
      <w:r>
        <w:rPr>
          <w:rFonts w:ascii="Calibri" w:hAnsi="Calibri"/>
          <w:sz w:val="20"/>
          <w:szCs w:val="20"/>
          <w:lang w:val="it-IT"/>
        </w:rPr>
        <w:t>3</w:t>
      </w:r>
      <w:r>
        <w:rPr>
          <w:rFonts w:ascii="Calibri" w:hAnsi="Calibri"/>
          <w:sz w:val="20"/>
          <w:szCs w:val="20"/>
        </w:rPr>
        <w:t>-</w:t>
      </w:r>
      <w:r>
        <w:rPr>
          <w:rFonts w:ascii="Calibri" w:hAnsi="Calibri"/>
          <w:sz w:val="20"/>
          <w:szCs w:val="20"/>
          <w:lang w:val="it-IT"/>
        </w:rPr>
        <w:t>4</w:t>
      </w:r>
      <w:r>
        <w:rPr>
          <w:rFonts w:ascii="Calibri" w:hAnsi="Calibri"/>
          <w:sz w:val="20"/>
          <w:szCs w:val="20"/>
        </w:rPr>
        <w:t>] but can vary according to the type of ablated tissue, the conformation and the size of the nodule. The treatment can be repeated after some time if necessary. Ini</w:t>
      </w:r>
      <w:r>
        <w:rPr>
          <w:rFonts w:ascii="Calibri" w:hAnsi="Calibri"/>
          <w:sz w:val="20"/>
          <w:szCs w:val="20"/>
        </w:rPr>
        <w:t>tially thyroid nodule ablation was performed through the laser. However the laser can obtain an average of 45-50% volume reduction rate of the nodule [</w:t>
      </w:r>
      <w:r>
        <w:rPr>
          <w:rFonts w:ascii="Calibri" w:hAnsi="Calibri"/>
          <w:sz w:val="20"/>
          <w:szCs w:val="20"/>
          <w:lang w:val="it-IT"/>
        </w:rPr>
        <w:t>5</w:t>
      </w:r>
      <w:r>
        <w:rPr>
          <w:rFonts w:ascii="Calibri" w:hAnsi="Calibri"/>
          <w:sz w:val="20"/>
          <w:szCs w:val="20"/>
        </w:rPr>
        <w:t>]</w:t>
      </w:r>
      <w:r>
        <w:rPr>
          <w:rFonts w:ascii="Calibri" w:hAnsi="Calibri"/>
          <w:sz w:val="20"/>
          <w:szCs w:val="20"/>
          <w:lang w:val="it-IT"/>
        </w:rPr>
        <w:t xml:space="preserve">. </w:t>
      </w:r>
      <w:r>
        <w:rPr>
          <w:rFonts w:ascii="Calibri" w:hAnsi="Calibri"/>
          <w:sz w:val="20"/>
          <w:szCs w:val="20"/>
        </w:rPr>
        <w:t>The administration of analgesics (paracetamol) and corticosteroids (methylprednisolone) effectively p</w:t>
      </w:r>
      <w:r>
        <w:rPr>
          <w:rFonts w:ascii="Calibri" w:hAnsi="Calibri"/>
          <w:sz w:val="20"/>
          <w:szCs w:val="20"/>
        </w:rPr>
        <w:t>revents local pain and discomfort after the procedure. In very rare cases, the operation can cause dysphonia (hoarseness due to paralysis of a vocal cord) due to overheating of the recurrent laryngeal nerve, which is transient in almost all cases.</w:t>
      </w:r>
      <w:r>
        <w:rPr>
          <w:rFonts w:ascii="Calibri" w:hAnsi="Calibri"/>
          <w:sz w:val="20"/>
          <w:szCs w:val="20"/>
          <w:lang w:val="it-IT"/>
        </w:rPr>
        <w:t xml:space="preserve"> </w:t>
      </w:r>
      <w:r>
        <w:rPr>
          <w:rFonts w:ascii="Calibri" w:hAnsi="Calibri"/>
          <w:sz w:val="20"/>
          <w:szCs w:val="20"/>
        </w:rPr>
        <w:t>In the o</w:t>
      </w:r>
      <w:r>
        <w:rPr>
          <w:rFonts w:ascii="Calibri" w:hAnsi="Calibri"/>
          <w:sz w:val="20"/>
          <w:szCs w:val="20"/>
        </w:rPr>
        <w:t>utpatient context in which the intervention is carried out, all the necessary tools are available to deal with any side effects described.</w:t>
      </w:r>
      <w:r>
        <w:rPr>
          <w:rFonts w:ascii="Calibri" w:hAnsi="Calibri"/>
          <w:sz w:val="20"/>
          <w:szCs w:val="20"/>
          <w:lang w:val="it-IT"/>
        </w:rPr>
        <w:t xml:space="preserve"> </w:t>
      </w:r>
      <w:r>
        <w:rPr>
          <w:rFonts w:ascii="Calibri" w:hAnsi="Calibri"/>
          <w:sz w:val="20"/>
          <w:szCs w:val="20"/>
        </w:rPr>
        <w:t xml:space="preserve">Thermoablation treatment of </w:t>
      </w:r>
      <w:r>
        <w:rPr>
          <w:rFonts w:ascii="Calibri" w:hAnsi="Calibri"/>
          <w:sz w:val="20"/>
          <w:szCs w:val="20"/>
        </w:rPr>
        <w:t xml:space="preserve">thyroid nodules using RFA represents a cutting-edge therapeutic </w:t>
      </w:r>
      <w:r>
        <w:rPr>
          <w:rFonts w:ascii="Calibri" w:hAnsi="Calibri"/>
          <w:sz w:val="20"/>
          <w:szCs w:val="20"/>
        </w:rPr>
        <w:t>alternative to a traditio</w:t>
      </w:r>
      <w:r>
        <w:rPr>
          <w:rFonts w:ascii="Calibri" w:hAnsi="Calibri"/>
          <w:sz w:val="20"/>
          <w:szCs w:val="20"/>
        </w:rPr>
        <w:t xml:space="preserve">nal surgical solution or radioactive iodine </w:t>
      </w:r>
      <w:r>
        <w:rPr>
          <w:rFonts w:ascii="Calibri" w:hAnsi="Calibri"/>
          <w:sz w:val="20"/>
          <w:szCs w:val="20"/>
        </w:rPr>
        <w:t xml:space="preserve">therapy. The advantages of ultrasound-guided </w:t>
      </w:r>
      <w:r>
        <w:rPr>
          <w:rFonts w:ascii="Calibri" w:hAnsi="Calibri"/>
          <w:sz w:val="20"/>
          <w:szCs w:val="20"/>
        </w:rPr>
        <w:t xml:space="preserve">radiofrequency </w:t>
      </w:r>
      <w:r>
        <w:rPr>
          <w:rFonts w:ascii="Calibri" w:hAnsi="Calibri"/>
          <w:sz w:val="20"/>
          <w:szCs w:val="20"/>
        </w:rPr>
        <w:t xml:space="preserve">over traditional </w:t>
      </w:r>
      <w:r>
        <w:rPr>
          <w:rFonts w:ascii="Calibri" w:hAnsi="Calibri"/>
          <w:sz w:val="20"/>
          <w:szCs w:val="20"/>
        </w:rPr>
        <w:t>“</w:t>
      </w:r>
      <w:r>
        <w:rPr>
          <w:rFonts w:ascii="Calibri" w:hAnsi="Calibri"/>
          <w:sz w:val="20"/>
          <w:szCs w:val="20"/>
        </w:rPr>
        <w:t>open</w:t>
      </w:r>
      <w:r>
        <w:rPr>
          <w:rFonts w:ascii="Calibri" w:hAnsi="Calibri"/>
          <w:sz w:val="20"/>
          <w:szCs w:val="20"/>
        </w:rPr>
        <w:t xml:space="preserve">” </w:t>
      </w:r>
      <w:r>
        <w:rPr>
          <w:rFonts w:ascii="Calibri" w:hAnsi="Calibri"/>
          <w:sz w:val="20"/>
          <w:szCs w:val="20"/>
        </w:rPr>
        <w:t xml:space="preserve">surgery are: absence of scars, organ </w:t>
      </w:r>
      <w:r>
        <w:rPr>
          <w:rFonts w:ascii="Calibri" w:hAnsi="Calibri"/>
          <w:sz w:val="20"/>
          <w:szCs w:val="20"/>
        </w:rPr>
        <w:t xml:space="preserve">preservation and normal function of the thyroid, no need to take </w:t>
      </w:r>
      <w:r>
        <w:rPr>
          <w:rFonts w:ascii="Calibri" w:hAnsi="Calibri"/>
          <w:sz w:val="20"/>
          <w:szCs w:val="20"/>
        </w:rPr>
        <w:t xml:space="preserve">any therapy, minimal side </w:t>
      </w:r>
      <w:r>
        <w:rPr>
          <w:rFonts w:ascii="Calibri" w:hAnsi="Calibri"/>
          <w:sz w:val="20"/>
          <w:szCs w:val="20"/>
        </w:rPr>
        <w:t xml:space="preserve">effects, absence of general anesthesia, </w:t>
      </w:r>
      <w:r>
        <w:rPr>
          <w:rFonts w:ascii="Calibri" w:hAnsi="Calibri"/>
          <w:sz w:val="20"/>
          <w:szCs w:val="20"/>
        </w:rPr>
        <w:t xml:space="preserve">drainage tubes, hospitalization, much faster recovery, </w:t>
      </w:r>
      <w:r>
        <w:rPr>
          <w:rFonts w:ascii="Calibri" w:hAnsi="Calibri"/>
          <w:sz w:val="20"/>
          <w:szCs w:val="20"/>
        </w:rPr>
        <w:t xml:space="preserve">minimized </w:t>
      </w:r>
      <w:r>
        <w:rPr>
          <w:rFonts w:ascii="Calibri" w:hAnsi="Calibri"/>
          <w:sz w:val="20"/>
          <w:szCs w:val="20"/>
        </w:rPr>
        <w:t>aggression, improvement of the quality of life.</w:t>
      </w:r>
    </w:p>
    <w:p w:rsidR="002A0DC8" w:rsidRDefault="009A7EB5">
      <w:pPr>
        <w:pStyle w:val="Titolo3"/>
        <w:spacing w:before="74"/>
        <w:rPr>
          <w:rStyle w:val="Nessuno"/>
          <w:color w:val="BF5A14"/>
          <w:u w:color="BF5A14"/>
        </w:rPr>
      </w:pPr>
      <w:r>
        <w:rPr>
          <w:rStyle w:val="Nessuno"/>
          <w:color w:val="BF5A14"/>
          <w:u w:color="BF5A14"/>
        </w:rPr>
        <w:t>Image</w:t>
      </w:r>
    </w:p>
    <w:p w:rsidR="002A0DC8" w:rsidRDefault="009A7EB5">
      <w:pPr>
        <w:pStyle w:val="Titolo3"/>
        <w:spacing w:before="74"/>
      </w:pPr>
      <w:r>
        <w:t xml:space="preserve"> </w:t>
      </w:r>
    </w:p>
    <w:p w:rsidR="002A0DC8" w:rsidRDefault="009A7EB5">
      <w:pPr>
        <w:pStyle w:val="Didefault"/>
        <w:spacing w:before="0" w:after="400"/>
        <w:jc w:val="both"/>
        <w:rPr>
          <w:rStyle w:val="Nessuno"/>
          <w:rFonts w:ascii="Lato Bold" w:eastAsia="Lato Bold" w:hAnsi="Lato Bold" w:cs="Lato Bold"/>
          <w:color w:val="BF5A14"/>
          <w:sz w:val="20"/>
          <w:szCs w:val="20"/>
          <w:u w:color="BF5A14"/>
          <w:shd w:val="clear" w:color="auto" w:fill="FFFFFF"/>
        </w:rPr>
      </w:pPr>
      <w:r>
        <w:rPr>
          <w:rStyle w:val="Nessuno"/>
          <w:rFonts w:ascii="Lato Bold" w:hAnsi="Lato Bold"/>
          <w:color w:val="BF5A14"/>
          <w:sz w:val="20"/>
          <w:szCs w:val="20"/>
          <w:u w:color="BF5A14"/>
          <w:shd w:val="clear" w:color="auto" w:fill="FFFFFF"/>
        </w:rPr>
        <w:t xml:space="preserve">Figure 1: </w:t>
      </w:r>
      <w:r>
        <w:rPr>
          <w:rStyle w:val="Nessuno"/>
          <w:rFonts w:ascii="Lato Bold" w:hAnsi="Lato Bold"/>
          <w:color w:val="BF5A14"/>
          <w:sz w:val="20"/>
          <w:szCs w:val="20"/>
          <w:u w:color="BF5A14"/>
          <w:shd w:val="clear" w:color="auto" w:fill="FFFFFF"/>
          <w:lang w:val="da-DK"/>
        </w:rPr>
        <w:t>Starmed</w:t>
      </w:r>
      <w:r>
        <w:rPr>
          <w:rStyle w:val="Nessuno"/>
          <w:rFonts w:ascii="Lato Bold" w:hAnsi="Lato Bold"/>
          <w:color w:val="BF5A14"/>
          <w:sz w:val="20"/>
          <w:szCs w:val="20"/>
          <w:u w:color="BF5A14"/>
          <w:shd w:val="clear" w:color="auto" w:fill="FFFFFF"/>
        </w:rPr>
        <w:t> ® </w:t>
      </w:r>
      <w:r>
        <w:rPr>
          <w:rStyle w:val="Nessuno"/>
          <w:rFonts w:ascii="Lato Bold" w:hAnsi="Lato Bold"/>
          <w:color w:val="BF5A14"/>
          <w:sz w:val="20"/>
          <w:szCs w:val="20"/>
          <w:u w:color="BF5A14"/>
          <w:shd w:val="clear" w:color="auto" w:fill="FFFFFF"/>
        </w:rPr>
        <w:t xml:space="preserve">monopolar radiofrequency circuit </w:t>
      </w:r>
    </w:p>
    <w:p w:rsidR="002A0DC8" w:rsidRDefault="009A7EB5">
      <w:pPr>
        <w:pStyle w:val="Didefault"/>
        <w:spacing w:before="0" w:after="400"/>
        <w:jc w:val="both"/>
        <w:rPr>
          <w:rStyle w:val="Nessuno"/>
          <w:rFonts w:ascii="Lato Regular" w:eastAsia="Lato Regular" w:hAnsi="Lato Regular" w:cs="Lato Regular"/>
          <w:sz w:val="20"/>
          <w:szCs w:val="20"/>
          <w:shd w:val="clear" w:color="auto" w:fill="FFFFFF"/>
        </w:rPr>
      </w:pP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 xml:space="preserve">The generator (top right) produces an 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 xml:space="preserve">electric current that causes 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 xml:space="preserve">overheating at the tip of the needle-electrode (top left) inserted into 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>the thyroid under ultrasound guidance.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</w:rPr>
        <w:t> 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 xml:space="preserve">Internally the needle is 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 xml:space="preserve">cooled by sterile physiological solution at 2 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</w:rPr>
        <w:t xml:space="preserve">° 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 xml:space="preserve">C pushed by a 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 xml:space="preserve">peristaltic pump (top 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>center).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</w:rPr>
        <w:t> </w:t>
      </w:r>
      <w:r>
        <w:rPr>
          <w:rStyle w:val="Nessuno"/>
          <w:rFonts w:ascii="Lato Regular" w:hAnsi="Lato Regular"/>
          <w:i/>
          <w:iCs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>The circuit is closed by the grounding pads adhered to the front face of the thighs.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</w:rPr>
        <w:t> 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 xml:space="preserve">The needle performs 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 xml:space="preserve">the single ablation of a sphere of 1 cm of tissue around the tip and 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>must subsequently be moved until it progressively forms coalescing spher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>es (fused together) of ablation.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</w:rPr>
        <w:t> </w:t>
      </w:r>
      <w:r>
        <w:rPr>
          <w:rFonts w:ascii="Lato Regular" w:hAnsi="Lato Regular"/>
          <w:i/>
          <w:iCs/>
          <w:sz w:val="20"/>
          <w:szCs w:val="20"/>
          <w:shd w:val="clear" w:color="auto" w:fill="FFFFFF"/>
          <w:lang w:val="en-US"/>
        </w:rPr>
        <w:t>Under real-time ultrasound guidance, the entire nodule is completely ablated with gentle manual skill.</w:t>
      </w:r>
    </w:p>
    <w:p w:rsidR="002A0DC8" w:rsidRDefault="009A7EB5">
      <w:pPr>
        <w:pStyle w:val="Didefault"/>
        <w:spacing w:before="0" w:after="400"/>
        <w:jc w:val="both"/>
        <w:rPr>
          <w:rStyle w:val="Nessuno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  <w:r>
        <w:rPr>
          <w:rStyle w:val="Nessuno"/>
          <w:rFonts w:ascii="Arial" w:hAnsi="Arial"/>
          <w:b/>
          <w:bCs/>
          <w:color w:val="BF5A14"/>
          <w:sz w:val="20"/>
          <w:szCs w:val="20"/>
          <w:u w:color="BF5A14"/>
          <w:shd w:val="clear" w:color="auto" w:fill="FFFFFF"/>
          <w:lang w:val="en-US"/>
        </w:rPr>
        <w:t>Recent Publications</w:t>
      </w:r>
    </w:p>
    <w:p w:rsidR="002A0DC8" w:rsidRDefault="009A7EB5">
      <w:pPr>
        <w:pStyle w:val="Paragrafoelenco"/>
        <w:numPr>
          <w:ilvl w:val="0"/>
          <w:numId w:val="2"/>
        </w:numPr>
        <w:spacing w:before="103" w:line="216" w:lineRule="exact"/>
        <w:ind w:right="138"/>
        <w:rPr>
          <w:sz w:val="20"/>
          <w:szCs w:val="20"/>
        </w:rPr>
      </w:pPr>
      <w:r>
        <w:rPr>
          <w:sz w:val="20"/>
          <w:szCs w:val="20"/>
        </w:rPr>
        <w:t xml:space="preserve">Valcavi R, Piana S, Bortolan GS, Lai R, Barbieri V, Negro R. Ultrasound-guided percutaneous laser </w:t>
      </w:r>
      <w:r>
        <w:rPr>
          <w:sz w:val="20"/>
          <w:szCs w:val="20"/>
        </w:rPr>
        <w:t>ablation of papillary thyroid microcarcinoma: a feasibility study on three cases with pathological and immunohistochemical evaluation. Thyroid. 2013 Dec; 23 (12): 1578-82.</w:t>
      </w:r>
    </w:p>
    <w:p w:rsidR="002A0DC8" w:rsidRDefault="009A7EB5">
      <w:pPr>
        <w:pStyle w:val="Paragrafoelenco"/>
        <w:numPr>
          <w:ilvl w:val="0"/>
          <w:numId w:val="2"/>
        </w:numPr>
        <w:spacing w:line="216" w:lineRule="exact"/>
        <w:ind w:right="137"/>
        <w:rPr>
          <w:sz w:val="20"/>
          <w:szCs w:val="20"/>
        </w:rPr>
      </w:pPr>
      <w:r>
        <w:rPr>
          <w:sz w:val="20"/>
          <w:szCs w:val="20"/>
        </w:rPr>
        <w:t>Baek JH, Lee JH, Valcavi R, Pacella CM, Rhim H, Na DG. Thermal ablation for benign t</w:t>
      </w:r>
      <w:r>
        <w:rPr>
          <w:sz w:val="20"/>
          <w:szCs w:val="20"/>
        </w:rPr>
        <w:t>hyroid nodules: radiofrequency and laser. Korean J Radiol. 2011 Sep-Oct; 12 (5): 525-40.</w:t>
      </w:r>
    </w:p>
    <w:p w:rsidR="002A0DC8" w:rsidRDefault="009A7EB5">
      <w:pPr>
        <w:pStyle w:val="Paragrafoelenco"/>
        <w:numPr>
          <w:ilvl w:val="0"/>
          <w:numId w:val="2"/>
        </w:numPr>
        <w:spacing w:line="216" w:lineRule="exact"/>
        <w:ind w:right="138"/>
        <w:rPr>
          <w:sz w:val="20"/>
          <w:szCs w:val="20"/>
        </w:rPr>
      </w:pPr>
      <w:r>
        <w:rPr>
          <w:sz w:val="20"/>
          <w:szCs w:val="20"/>
        </w:rPr>
        <w:t>Roberto Valcavi, Petros Tsamatropoulos. Health-Related Quality of Life after Percutaneous Radiofrequency Ablation of Cold, Solid, Benign Thyroid Nodules: a 2 Year Foll</w:t>
      </w:r>
      <w:r>
        <w:rPr>
          <w:sz w:val="20"/>
          <w:szCs w:val="20"/>
        </w:rPr>
        <w:t>ow-up Study in 40 Patients. Endocr Pract. 2015 Aug; 21 (8): 887-96.</w:t>
      </w:r>
      <w:r>
        <w:rPr>
          <w:sz w:val="20"/>
          <w:szCs w:val="20"/>
          <w:lang w:val="it-IT"/>
        </w:rPr>
        <w:t xml:space="preserve"> </w:t>
      </w:r>
    </w:p>
    <w:p w:rsidR="002A0DC8" w:rsidRDefault="009A7EB5">
      <w:pPr>
        <w:pStyle w:val="Paragrafoelenco"/>
        <w:numPr>
          <w:ilvl w:val="0"/>
          <w:numId w:val="2"/>
        </w:numPr>
        <w:spacing w:line="216" w:lineRule="exact"/>
        <w:ind w:right="138"/>
        <w:rPr>
          <w:sz w:val="20"/>
          <w:szCs w:val="20"/>
        </w:rPr>
      </w:pPr>
      <w:r>
        <w:rPr>
          <w:sz w:val="20"/>
          <w:szCs w:val="20"/>
        </w:rPr>
        <w:t xml:space="preserve">Mark A Lupo. Radiofrequency Ablation for Benign Thyroid </w:t>
      </w:r>
      <w:r>
        <w:rPr>
          <w:sz w:val="20"/>
          <w:szCs w:val="20"/>
        </w:rPr>
        <w:lastRenderedPageBreak/>
        <w:t>Nodules-A Look Towards the Future of Interventional Thyroidology. Endocr Pract. 2015 Aug; 21 (8): 972-4.</w:t>
      </w:r>
    </w:p>
    <w:p w:rsidR="002A0DC8" w:rsidRDefault="009A7EB5">
      <w:pPr>
        <w:pStyle w:val="Corpotesto"/>
        <w:spacing w:before="85" w:line="216" w:lineRule="exact"/>
        <w:ind w:left="383" w:right="138" w:hanging="284"/>
        <w:jc w:val="both"/>
        <w:rPr>
          <w:rStyle w:val="Nessuno"/>
          <w:rFonts w:ascii="Calibri" w:eastAsia="Calibri" w:hAnsi="Calibri" w:cs="Calibri"/>
          <w:sz w:val="20"/>
          <w:szCs w:val="20"/>
        </w:rPr>
      </w:pPr>
      <w:r>
        <w:rPr>
          <w:rStyle w:val="Nessuno"/>
          <w:rFonts w:ascii="Calibri" w:hAnsi="Calibri"/>
          <w:sz w:val="20"/>
          <w:szCs w:val="20"/>
        </w:rPr>
        <w:t>5. Valcavi R, Riganti F, B</w:t>
      </w:r>
      <w:r>
        <w:rPr>
          <w:rStyle w:val="Nessuno"/>
          <w:rFonts w:ascii="Calibri" w:hAnsi="Calibri"/>
          <w:sz w:val="20"/>
          <w:szCs w:val="20"/>
        </w:rPr>
        <w:t>ertani A, Formisano D, Pacella CM.</w:t>
      </w:r>
      <w:r>
        <w:rPr>
          <w:rStyle w:val="Nessuno"/>
          <w:rFonts w:ascii="Calibri" w:hAnsi="Calibri"/>
          <w:sz w:val="20"/>
          <w:szCs w:val="20"/>
        </w:rPr>
        <w:t> </w:t>
      </w:r>
      <w:r>
        <w:rPr>
          <w:rStyle w:val="Nessuno"/>
          <w:rFonts w:ascii="Calibri" w:hAnsi="Calibri"/>
          <w:sz w:val="20"/>
          <w:szCs w:val="20"/>
        </w:rPr>
        <w:t xml:space="preserve">Percutaneous laser ablation of cold benign thyroid </w:t>
      </w:r>
      <w:r>
        <w:rPr>
          <w:rStyle w:val="Nessuno"/>
          <w:rFonts w:ascii="Calibri" w:hAnsi="Calibri"/>
          <w:sz w:val="20"/>
          <w:szCs w:val="20"/>
        </w:rPr>
        <w:t>nodules: a 3-year follow-up study in 122 patients.</w:t>
      </w:r>
      <w:r>
        <w:rPr>
          <w:rStyle w:val="Nessuno"/>
          <w:rFonts w:ascii="Calibri" w:hAnsi="Calibri"/>
          <w:sz w:val="20"/>
          <w:szCs w:val="20"/>
        </w:rPr>
        <w:t> </w:t>
      </w:r>
      <w:r>
        <w:rPr>
          <w:rStyle w:val="Nessuno"/>
          <w:rFonts w:ascii="Calibri" w:hAnsi="Calibri"/>
          <w:sz w:val="20"/>
          <w:szCs w:val="20"/>
        </w:rPr>
        <w:t>Thyroid.</w:t>
      </w:r>
      <w:r>
        <w:rPr>
          <w:rStyle w:val="Nessuno"/>
          <w:rFonts w:ascii="Calibri" w:hAnsi="Calibri"/>
          <w:sz w:val="20"/>
          <w:szCs w:val="20"/>
        </w:rPr>
        <w:t> </w:t>
      </w:r>
      <w:r>
        <w:rPr>
          <w:rStyle w:val="Nessuno"/>
          <w:rFonts w:ascii="Calibri" w:hAnsi="Calibri"/>
          <w:sz w:val="20"/>
          <w:szCs w:val="20"/>
        </w:rPr>
        <w:t>2010 Nov; 20 (11): 1253-61.</w:t>
      </w:r>
    </w:p>
    <w:p w:rsidR="002A0DC8" w:rsidRDefault="002A0DC8">
      <w:pPr>
        <w:tabs>
          <w:tab w:val="left" w:pos="384"/>
        </w:tabs>
        <w:ind w:right="117"/>
      </w:pPr>
    </w:p>
    <w:p w:rsidR="002A0DC8" w:rsidRDefault="009A7EB5">
      <w:pPr>
        <w:spacing w:line="200" w:lineRule="exact"/>
        <w:jc w:val="both"/>
        <w:rPr>
          <w:rStyle w:val="Nessuno"/>
          <w:rFonts w:ascii="Calibri" w:eastAsia="Calibri" w:hAnsi="Calibri" w:cs="Calibri"/>
        </w:rPr>
        <w:sectPr w:rsidR="002A0DC8">
          <w:type w:val="continuous"/>
          <w:pgSz w:w="11920" w:h="16840"/>
          <w:pgMar w:top="1740" w:right="600" w:bottom="840" w:left="620" w:header="541" w:footer="642" w:gutter="0"/>
          <w:cols w:num="2" w:space="720" w:equalWidth="0">
            <w:col w:w="5229" w:space="138"/>
            <w:col w:w="5353" w:space="0"/>
          </w:cols>
        </w:sectPr>
      </w:pPr>
      <w:r>
        <w:rPr>
          <w:rStyle w:val="Nessuno"/>
          <w:rFonts w:ascii="Calibri" w:hAnsi="Calibri"/>
        </w:rPr>
        <w:t xml:space="preserve">   </w:t>
      </w:r>
    </w:p>
    <w:p w:rsidR="002A0DC8" w:rsidRDefault="002A0DC8">
      <w:pPr>
        <w:pStyle w:val="Corpotesto"/>
        <w:rPr>
          <w:rStyle w:val="Nessuno"/>
          <w:rFonts w:ascii="Calibri" w:eastAsia="Calibri" w:hAnsi="Calibri" w:cs="Calibri"/>
          <w:sz w:val="20"/>
          <w:szCs w:val="20"/>
        </w:rPr>
      </w:pPr>
    </w:p>
    <w:p w:rsidR="002A0DC8" w:rsidRDefault="009A7EB5">
      <w:pPr>
        <w:pStyle w:val="Corpotesto"/>
        <w:spacing w:line="40" w:lineRule="exact"/>
        <w:ind w:left="2202"/>
        <w:rPr>
          <w:rStyle w:val="Nessuno"/>
          <w:rFonts w:ascii="Calibri" w:eastAsia="Calibri" w:hAnsi="Calibri" w:cs="Calibri"/>
          <w:sz w:val="4"/>
          <w:szCs w:val="4"/>
        </w:rPr>
      </w:pPr>
      <w:r>
        <w:rPr>
          <w:rStyle w:val="Nessuno"/>
          <w:rFonts w:ascii="Calibri" w:eastAsia="Calibri" w:hAnsi="Calibri" w:cs="Calibri"/>
          <w:noProof/>
          <w:sz w:val="4"/>
          <w:szCs w:val="4"/>
          <w:lang w:val="it-IT"/>
        </w:rPr>
        <mc:AlternateContent>
          <mc:Choice Requires="wps">
            <w:drawing>
              <wp:inline distT="0" distB="0" distL="0" distR="0">
                <wp:extent cx="3950335" cy="0"/>
                <wp:effectExtent l="0" t="0" r="0" b="0"/>
                <wp:docPr id="1073741831" name="officeArt object" descr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311.0pt;height:0.0pt;">
                <v:fill on="f"/>
                <v:stroke filltype="solid" color="#004080" opacity="100.0%" weight="2.0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p w:rsidR="002A0DC8" w:rsidRDefault="002A0DC8">
      <w:pPr>
        <w:pStyle w:val="Corpotesto"/>
        <w:spacing w:line="40" w:lineRule="exact"/>
        <w:ind w:left="2202"/>
        <w:rPr>
          <w:rStyle w:val="Nessuno"/>
          <w:rFonts w:ascii="Calibri" w:eastAsia="Calibri" w:hAnsi="Calibri" w:cs="Calibri"/>
          <w:sz w:val="4"/>
          <w:szCs w:val="4"/>
        </w:rPr>
      </w:pPr>
    </w:p>
    <w:p w:rsidR="002A0DC8" w:rsidRDefault="002A0DC8">
      <w:pPr>
        <w:pStyle w:val="Corpotesto"/>
        <w:spacing w:line="40" w:lineRule="exact"/>
        <w:ind w:left="2202"/>
        <w:rPr>
          <w:rStyle w:val="Nessuno"/>
          <w:rFonts w:ascii="Calibri" w:eastAsia="Calibri" w:hAnsi="Calibri" w:cs="Calibri"/>
          <w:sz w:val="4"/>
          <w:szCs w:val="4"/>
        </w:rPr>
      </w:pPr>
    </w:p>
    <w:p w:rsidR="002A0DC8" w:rsidRDefault="002A0DC8">
      <w:pPr>
        <w:pStyle w:val="Corpotesto"/>
        <w:spacing w:line="40" w:lineRule="exact"/>
        <w:ind w:left="2202"/>
        <w:rPr>
          <w:rStyle w:val="Nessuno"/>
          <w:rFonts w:ascii="Calibri" w:eastAsia="Calibri" w:hAnsi="Calibri" w:cs="Calibri"/>
          <w:sz w:val="4"/>
          <w:szCs w:val="4"/>
        </w:rPr>
      </w:pPr>
    </w:p>
    <w:p w:rsidR="002A0DC8" w:rsidRDefault="002A0DC8">
      <w:pPr>
        <w:pStyle w:val="Corpotesto"/>
        <w:spacing w:line="40" w:lineRule="exact"/>
        <w:ind w:left="2202"/>
        <w:rPr>
          <w:rStyle w:val="Nessuno"/>
          <w:rFonts w:ascii="Calibri" w:eastAsia="Calibri" w:hAnsi="Calibri" w:cs="Calibri"/>
          <w:sz w:val="4"/>
          <w:szCs w:val="4"/>
        </w:rPr>
      </w:pPr>
    </w:p>
    <w:p w:rsidR="002A0DC8" w:rsidRDefault="002A0DC8">
      <w:pPr>
        <w:pStyle w:val="Corpotesto"/>
        <w:spacing w:line="40" w:lineRule="exact"/>
        <w:ind w:left="2202"/>
        <w:rPr>
          <w:rStyle w:val="Nessuno"/>
          <w:rFonts w:ascii="Calibri" w:eastAsia="Calibri" w:hAnsi="Calibri" w:cs="Calibri"/>
          <w:sz w:val="4"/>
          <w:szCs w:val="4"/>
        </w:rPr>
      </w:pPr>
    </w:p>
    <w:p w:rsidR="002A0DC8" w:rsidRDefault="009A7EB5">
      <w:pPr>
        <w:pStyle w:val="Corpotesto"/>
        <w:spacing w:line="40" w:lineRule="exact"/>
        <w:ind w:left="2202"/>
        <w:rPr>
          <w:rStyle w:val="Nessuno"/>
          <w:rFonts w:ascii="Calibri" w:eastAsia="Calibri" w:hAnsi="Calibri" w:cs="Calibri"/>
          <w:sz w:val="4"/>
          <w:szCs w:val="4"/>
        </w:rPr>
      </w:pPr>
      <w:r>
        <w:rPr>
          <w:rStyle w:val="Nessuno"/>
          <w:rFonts w:ascii="Calibri" w:eastAsia="Calibri" w:hAnsi="Calibri" w:cs="Calibri"/>
          <w:noProof/>
          <w:sz w:val="4"/>
          <w:szCs w:val="4"/>
          <w:lang w:val="it-IT"/>
        </w:rP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174699</wp:posOffset>
            </wp:positionH>
            <wp:positionV relativeFrom="line">
              <wp:posOffset>47438</wp:posOffset>
            </wp:positionV>
            <wp:extent cx="662608" cy="66260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foto-youtube-video.jp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608" cy="6626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2A0DC8" w:rsidRDefault="002A0DC8">
      <w:pPr>
        <w:pStyle w:val="Corpotesto"/>
        <w:spacing w:line="40" w:lineRule="exact"/>
        <w:ind w:left="2202"/>
        <w:rPr>
          <w:rStyle w:val="Nessuno"/>
          <w:rFonts w:ascii="Calibri" w:eastAsia="Calibri" w:hAnsi="Calibri" w:cs="Calibri"/>
          <w:sz w:val="4"/>
          <w:szCs w:val="4"/>
        </w:rPr>
      </w:pPr>
    </w:p>
    <w:p w:rsidR="002A0DC8" w:rsidRDefault="002A0DC8">
      <w:pPr>
        <w:pStyle w:val="Corpotesto"/>
        <w:spacing w:line="40" w:lineRule="exact"/>
        <w:ind w:left="2202"/>
        <w:rPr>
          <w:rStyle w:val="Nessuno"/>
          <w:rFonts w:ascii="Calibri" w:eastAsia="Calibri" w:hAnsi="Calibri" w:cs="Calibri"/>
          <w:sz w:val="4"/>
          <w:szCs w:val="4"/>
        </w:rPr>
      </w:pPr>
    </w:p>
    <w:p w:rsidR="002A0DC8" w:rsidRDefault="009A7EB5">
      <w:pPr>
        <w:spacing w:before="92"/>
        <w:ind w:right="4234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  <w:color w:val="BF5A14"/>
          <w:u w:color="BF5A14"/>
        </w:rPr>
        <w:t>Biography</w:t>
      </w:r>
    </w:p>
    <w:p w:rsidR="002A0DC8" w:rsidRDefault="009A7EB5">
      <w:pPr>
        <w:pStyle w:val="Didefault"/>
        <w:spacing w:before="0" w:after="262"/>
        <w:ind w:right="1082"/>
        <w:jc w:val="both"/>
        <w:rPr>
          <w:rFonts w:ascii="Lato Regular" w:eastAsia="Lato Regular" w:hAnsi="Lato Regular" w:cs="Lato Regular"/>
          <w:sz w:val="16"/>
          <w:szCs w:val="16"/>
        </w:rPr>
      </w:pPr>
      <w:r>
        <w:rPr>
          <w:rFonts w:ascii="Lato Regular" w:hAnsi="Lato Regular"/>
          <w:sz w:val="16"/>
          <w:szCs w:val="16"/>
          <w:lang w:val="en-US"/>
        </w:rPr>
        <w:t xml:space="preserve">Dr. Roberto Valcavi, </w:t>
      </w:r>
      <w:r>
        <w:rPr>
          <w:rFonts w:ascii="Lato Regular" w:hAnsi="Lato Regular"/>
          <w:sz w:val="16"/>
          <w:szCs w:val="16"/>
          <w:lang w:val="en-US"/>
        </w:rPr>
        <w:t>Specialist in Endocrinology. From 1996 to 2014 was Director of the Department  of Endocrinology at IRCCS-Arcispedale Santa Maria Nuova in Reggio Emilia, Italy. In 1999 he founded the AME (Association of Italian Endocrinologists). In 2004 in Boston he recei</w:t>
      </w:r>
      <w:r>
        <w:rPr>
          <w:rFonts w:ascii="Lato Regular" w:hAnsi="Lato Regular"/>
          <w:sz w:val="16"/>
          <w:szCs w:val="16"/>
          <w:lang w:val="en-US"/>
        </w:rPr>
        <w:t>ved the "International Clinician Award" in recognition of the advances achieved in favor of clinical endocrinology and for the benefit of all endocrine patients.</w:t>
      </w:r>
      <w:r>
        <w:rPr>
          <w:rFonts w:ascii="Lato Regular" w:hAnsi="Lato Regular"/>
          <w:sz w:val="16"/>
          <w:szCs w:val="16"/>
        </w:rPr>
        <w:t xml:space="preserve"> </w:t>
      </w:r>
      <w:r>
        <w:rPr>
          <w:rFonts w:ascii="Lato Regular" w:hAnsi="Lato Regular"/>
          <w:sz w:val="16"/>
          <w:szCs w:val="16"/>
          <w:lang w:val="en-US"/>
        </w:rPr>
        <w:t>Since November 2020, Dr. Roberto Valcavi has opened the E</w:t>
      </w:r>
      <w:r>
        <w:rPr>
          <w:rFonts w:ascii="Lato Regular" w:hAnsi="Lato Regular"/>
          <w:sz w:val="16"/>
          <w:szCs w:val="16"/>
        </w:rPr>
        <w:t>.</w:t>
      </w:r>
      <w:r>
        <w:rPr>
          <w:rFonts w:ascii="Lato Regular" w:hAnsi="Lato Regular"/>
          <w:sz w:val="16"/>
          <w:szCs w:val="16"/>
        </w:rPr>
        <w:t>T</w:t>
      </w:r>
      <w:r>
        <w:rPr>
          <w:rFonts w:ascii="Lato Regular" w:hAnsi="Lato Regular"/>
          <w:sz w:val="16"/>
          <w:szCs w:val="16"/>
        </w:rPr>
        <w:t>.</w:t>
      </w:r>
      <w:r>
        <w:rPr>
          <w:rFonts w:ascii="Lato Regular" w:hAnsi="Lato Regular"/>
          <w:sz w:val="16"/>
          <w:szCs w:val="16"/>
        </w:rPr>
        <w:t>C</w:t>
      </w:r>
      <w:r>
        <w:rPr>
          <w:rFonts w:ascii="Lato Regular" w:hAnsi="Lato Regular"/>
          <w:sz w:val="16"/>
          <w:szCs w:val="16"/>
        </w:rPr>
        <w:t>.</w:t>
      </w:r>
      <w:r>
        <w:rPr>
          <w:rFonts w:ascii="Lato Regular" w:hAnsi="Lato Regular"/>
          <w:sz w:val="16"/>
          <w:szCs w:val="16"/>
          <w:lang w:val="en-US"/>
        </w:rPr>
        <w:t xml:space="preserve"> CLINIC (Endocrine Thyroid Clini</w:t>
      </w:r>
      <w:r>
        <w:rPr>
          <w:rFonts w:ascii="Lato Regular" w:hAnsi="Lato Regular"/>
          <w:sz w:val="16"/>
          <w:szCs w:val="16"/>
          <w:lang w:val="en-US"/>
        </w:rPr>
        <w:t>c) in Reggio Emilia dedicated in particular to the diagnosis and ultrasound-guided therapies of the endocrine neck (thyroid, parathyroid, lymph nodes).</w:t>
      </w:r>
      <w:r>
        <w:rPr>
          <w:rFonts w:ascii="Lato Regular" w:hAnsi="Lato Regular"/>
          <w:sz w:val="16"/>
          <w:szCs w:val="16"/>
        </w:rPr>
        <w:t> </w:t>
      </w:r>
      <w:r>
        <w:rPr>
          <w:rFonts w:ascii="Lato Regular" w:hAnsi="Lato Regular"/>
          <w:sz w:val="16"/>
          <w:szCs w:val="16"/>
          <w:lang w:val="en-US"/>
        </w:rPr>
        <w:t>Among the latter, the ultrasound-guided ablative therapy of thyroid nodules by radiofrequency (RFA), min</w:t>
      </w:r>
      <w:r>
        <w:rPr>
          <w:rFonts w:ascii="Lato Regular" w:hAnsi="Lato Regular"/>
          <w:sz w:val="16"/>
          <w:szCs w:val="16"/>
          <w:lang w:val="en-US"/>
        </w:rPr>
        <w:t>imally invasive surgery that is able to effectively treat over 95% of benign thyroid nodules and 90-95% of malignant thyroid nodules, saving the</w:t>
      </w:r>
      <w:r>
        <w:rPr>
          <w:rFonts w:ascii="Lato Regular" w:hAnsi="Lato Regular"/>
          <w:sz w:val="16"/>
          <w:szCs w:val="16"/>
        </w:rPr>
        <w:t xml:space="preserve"> thyroid</w:t>
      </w:r>
      <w:r>
        <w:rPr>
          <w:rFonts w:ascii="Lato Regular" w:hAnsi="Lato Regular"/>
          <w:sz w:val="16"/>
          <w:szCs w:val="16"/>
        </w:rPr>
        <w:t xml:space="preserve"> gland.</w:t>
      </w:r>
    </w:p>
    <w:p w:rsidR="002A0DC8" w:rsidRDefault="002A0DC8">
      <w:pPr>
        <w:spacing w:before="62"/>
        <w:ind w:left="4217" w:right="4235"/>
        <w:jc w:val="center"/>
        <w:rPr>
          <w:rStyle w:val="Nessuno"/>
          <w:rFonts w:ascii="Arial" w:eastAsia="Arial" w:hAnsi="Arial" w:cs="Arial"/>
          <w:sz w:val="14"/>
          <w:szCs w:val="14"/>
        </w:rPr>
      </w:pPr>
    </w:p>
    <w:p w:rsidR="002A0DC8" w:rsidRDefault="009A7EB5">
      <w:pPr>
        <w:spacing w:before="62"/>
        <w:ind w:left="4217" w:right="4235"/>
        <w:jc w:val="center"/>
        <w:rPr>
          <w:rStyle w:val="Nessuno"/>
          <w:rFonts w:ascii="Arial" w:eastAsia="Arial" w:hAnsi="Arial" w:cs="Arial"/>
          <w:sz w:val="14"/>
          <w:szCs w:val="14"/>
        </w:rPr>
      </w:pPr>
      <w:r>
        <w:rPr>
          <w:rStyle w:val="Nessuno"/>
          <w:rFonts w:ascii="Arial" w:hAnsi="Arial"/>
          <w:sz w:val="14"/>
          <w:szCs w:val="14"/>
        </w:rPr>
        <w:t>Email:</w:t>
      </w:r>
      <w:r>
        <w:rPr>
          <w:rStyle w:val="Nessuno"/>
          <w:rFonts w:ascii="Arial" w:hAnsi="Arial"/>
          <w:sz w:val="14"/>
          <w:szCs w:val="14"/>
          <w:lang w:val="it-IT"/>
        </w:rPr>
        <w:t xml:space="preserve"> </w:t>
      </w:r>
      <w:hyperlink r:id="rId11" w:history="1">
        <w:r>
          <w:rPr>
            <w:rStyle w:val="Hyperlink1"/>
            <w:lang w:val="it-IT"/>
          </w:rPr>
          <w:t>roberto.valcavi@gmail.com</w:t>
        </w:r>
      </w:hyperlink>
      <w:r>
        <w:rPr>
          <w:rStyle w:val="Nessuno"/>
          <w:rFonts w:ascii="Lato Regular" w:hAnsi="Lato Regular"/>
          <w:sz w:val="18"/>
          <w:szCs w:val="18"/>
          <w:lang w:val="it-IT"/>
        </w:rPr>
        <w:t xml:space="preserve"> </w:t>
      </w:r>
    </w:p>
    <w:p w:rsidR="002A0DC8" w:rsidRDefault="009A7EB5">
      <w:pPr>
        <w:pStyle w:val="Corpotesto"/>
        <w:spacing w:before="2"/>
        <w:rPr>
          <w:rStyle w:val="Nessuno"/>
          <w:rFonts w:ascii="Minion Pro" w:eastAsia="Minion Pro" w:hAnsi="Minion Pro" w:cs="Minion Pro"/>
          <w:b/>
          <w:bCs/>
          <w:sz w:val="20"/>
          <w:szCs w:val="20"/>
        </w:rPr>
      </w:pPr>
      <w:r>
        <w:rPr>
          <w:rStyle w:val="Nessuno"/>
          <w:noProof/>
          <w:lang w:val="it-IT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2061845</wp:posOffset>
                </wp:positionH>
                <wp:positionV relativeFrom="line">
                  <wp:posOffset>165100</wp:posOffset>
                </wp:positionV>
                <wp:extent cx="3442335" cy="0"/>
                <wp:effectExtent l="0" t="0" r="0" b="0"/>
                <wp:wrapTopAndBottom distT="0" distB="0"/>
                <wp:docPr id="1073741833" name="officeArt object" descr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62.4pt;margin-top:13.0pt;width:271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408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:rsidR="002A0DC8" w:rsidRDefault="002A0DC8"/>
    <w:sectPr w:rsidR="002A0DC8">
      <w:type w:val="continuous"/>
      <w:pgSz w:w="11920" w:h="16840"/>
      <w:pgMar w:top="1740" w:right="600" w:bottom="840" w:left="620" w:header="541" w:footer="6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EB5" w:rsidRDefault="009A7EB5">
      <w:r>
        <w:separator/>
      </w:r>
    </w:p>
  </w:endnote>
  <w:endnote w:type="continuationSeparator" w:id="0">
    <w:p w:rsidR="009A7EB5" w:rsidRDefault="009A7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</w:font>
  <w:font w:name="Arial Unicode MS">
    <w:panose1 w:val="020B0604020202020204"/>
    <w:charset w:val="00"/>
    <w:family w:val="roman"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Lato Regular">
    <w:altName w:val="Times New Roman"/>
    <w:charset w:val="00"/>
    <w:family w:val="roman"/>
    <w:pitch w:val="default"/>
  </w:font>
  <w:font w:name="Lato Bold">
    <w:altName w:val="Times New Roman"/>
    <w:charset w:val="00"/>
    <w:family w:val="roman"/>
    <w:pitch w:val="default"/>
  </w:font>
  <w:font w:name="Myriad Pro">
    <w:altName w:val="Times New Roman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DC8" w:rsidRDefault="009A7EB5">
    <w:pPr>
      <w:pStyle w:val="Corpotesto"/>
      <w:spacing w:line="14" w:lineRule="auto"/>
    </w:pPr>
    <w:r>
      <w:fldChar w:fldCharType="begin"/>
    </w:r>
    <w:r>
      <w:instrText xml:space="preserve"> PAGE </w:instrText>
    </w:r>
    <w:r w:rsidR="00F56A06">
      <w:fldChar w:fldCharType="separate"/>
    </w:r>
    <w:r w:rsidR="00F56A0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EB5" w:rsidRDefault="009A7EB5">
      <w:r>
        <w:separator/>
      </w:r>
    </w:p>
  </w:footnote>
  <w:footnote w:type="continuationSeparator" w:id="0">
    <w:p w:rsidR="009A7EB5" w:rsidRDefault="009A7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DC8" w:rsidRDefault="009A7EB5">
    <w:pPr>
      <w:pStyle w:val="Corpotesto"/>
      <w:spacing w:line="14" w:lineRule="auto"/>
    </w:pPr>
    <w:r>
      <w:rPr>
        <w:noProof/>
        <w:lang w:val="it-IT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330834</wp:posOffset>
              </wp:positionV>
              <wp:extent cx="1832611" cy="220980"/>
              <wp:effectExtent l="0" t="0" r="0" b="0"/>
              <wp:wrapNone/>
              <wp:docPr id="1073741825" name="officeArt object" descr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2A0DC8" w:rsidRDefault="009A7EB5">
                          <w:pPr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14"/>
                              <w:szCs w:val="14"/>
                              <w:u w:color="FFFFFF"/>
                            </w:rPr>
                            <w:t xml:space="preserve">T Furuta et al., J Pai n Relief 2016, 5:3(Suppl) </w:t>
                          </w:r>
                          <w:hyperlink r:id="rId1" w:history="1">
                            <w:r>
                              <w:rPr>
                                <w:rStyle w:val="Hyperlink0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8" type="#_x0000_t202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before="2" w:line="249" w:lineRule="auto"/>
                      <w:ind w:left="156" w:right="18" w:hanging="137"/>
                    </w:pPr>
                    <w:r>
                      <w:rPr>
                        <w:rFonts w:ascii="Arial" w:hAnsi="Arial"/>
                        <w:outline w:val="0"/>
                        <w:color w:val="ffffff"/>
                        <w:sz w:val="14"/>
                        <w:szCs w:val="14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 xml:space="preserve">T Furuta et al., J Pai n Relief 2016, 5:3(Suppl) </w:t>
                    </w:r>
                    <w:r>
                      <w:rPr>
                        <w:rStyle w:val="Hyperlink.0"/>
                      </w:rPr>
                      <w:fldChar w:fldCharType="begin" w:fldLock="0"/>
                    </w:r>
                    <w:r>
                      <w:rPr>
                        <w:rStyle w:val="Hyperlink.0"/>
                      </w:rPr>
                      <w:instrText xml:space="preserve"> HYPERLINK "http://dx.doi.org/10.4172/2167-0846.C1.006"</w:instrText>
                    </w:r>
                    <w:r>
                      <w:rPr>
                        <w:rStyle w:val="Hyperlink.0"/>
                      </w:rPr>
                      <w:fldChar w:fldCharType="separate" w:fldLock="0"/>
                    </w:r>
                    <w:r>
                      <w:rPr>
                        <w:rStyle w:val="Hyperlink.0"/>
                        <w:rtl w:val="0"/>
                        <w:lang w:val="en-US"/>
                      </w:rPr>
                      <w:t>http://dx.doi.org/10.4172/2167-0846.C1.006</w:t>
                    </w:r>
                    <w:r>
                      <w:rPr/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noProof/>
        <w:lang w:val="it-IT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613409</wp:posOffset>
              </wp:positionV>
              <wp:extent cx="6552566" cy="509270"/>
              <wp:effectExtent l="0" t="0" r="0" b="0"/>
              <wp:wrapNone/>
              <wp:docPr id="1073741826" name="officeArt object" descr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2566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2A0DC8" w:rsidRDefault="009A7EB5">
                          <w:pPr>
                            <w:pStyle w:val="Corpotesto"/>
                            <w:spacing w:line="187" w:lineRule="exact"/>
                            <w:ind w:left="20"/>
                            <w:rPr>
                              <w:rStyle w:val="Nessuno"/>
                              <w:rFonts w:ascii="Myriad Pro" w:eastAsia="Myriad Pro" w:hAnsi="Myriad Pro" w:cs="Myriad Pro"/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rStyle w:val="Nessuno"/>
                              <w:rFonts w:ascii="Myriad Pro" w:hAnsi="Myriad Pro"/>
                              <w:color w:val="FFFFFF"/>
                              <w:u w:color="FFFFFF"/>
                            </w:rPr>
                            <w:t>International Conference on</w:t>
                          </w:r>
                        </w:p>
                        <w:p w:rsidR="002A0DC8" w:rsidRDefault="009A7EB5">
                          <w:pPr>
                            <w:spacing w:line="614" w:lineRule="exact"/>
                            <w:ind w:left="20"/>
                          </w:pPr>
                          <w:r>
                            <w:rPr>
                              <w:rStyle w:val="Nessuno"/>
                              <w:rFonts w:ascii="Impact" w:hAnsi="Impact"/>
                              <w:color w:val="FFFFFF"/>
                              <w:sz w:val="52"/>
                              <w:szCs w:val="52"/>
                              <w:u w:color="FFFFFF"/>
                            </w:rPr>
                            <w:t xml:space="preserve">Fibromyalgia and Chronic Pain </w:t>
                          </w:r>
                          <w:r>
                            <w:rPr>
                              <w:rStyle w:val="Nessuno"/>
                              <w:rFonts w:ascii="Minion Pro" w:hAnsi="Minion Pro"/>
                              <w:color w:val="FFFFFF"/>
                              <w:sz w:val="24"/>
                              <w:szCs w:val="24"/>
                              <w:u w:color="FFFFFF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visibility:visible;position:absolute;margin-left:35.0pt;margin-top:48.3pt;width:516.0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Style w:val="Nessuno"/>
                        <w:rFonts w:ascii="Myriad Pro" w:cs="Myriad Pro" w:hAnsi="Myriad Pro" w:eastAsia="Myriad Pro"/>
                        <w:outline w:val="0"/>
                        <w:color w:val="ffffff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Style w:val="Nessuno"/>
                        <w:rFonts w:ascii="Myriad Pro" w:hAnsi="Myriad Pro"/>
                        <w:outline w:val="0"/>
                        <w:color w:val="ffffff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International Conference on</w:t>
                    </w:r>
                  </w:p>
                  <w:p>
                    <w:pPr>
                      <w:pStyle w:val="Normal.0"/>
                      <w:spacing w:line="614" w:lineRule="exact"/>
                      <w:ind w:left="20" w:firstLine="0"/>
                    </w:pPr>
                    <w:r>
                      <w:rPr>
                        <w:rStyle w:val="Nessuno"/>
                        <w:rFonts w:ascii="Impact" w:hAnsi="Impact"/>
                        <w:outline w:val="0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 xml:space="preserve">Fibromyalgia and Chronic Pain </w:t>
                    </w:r>
                    <w:r>
                      <w:rPr>
                        <w:rStyle w:val="Nessuno"/>
                        <w:rFonts w:ascii="Minion Pro" w:hAnsi="Minion Pro"/>
                        <w:outline w:val="0"/>
                        <w:color w:val="ffffff"/>
                        <w:sz w:val="24"/>
                        <w:szCs w:val="24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noProof/>
        <w:lang w:val="it-IT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27" name="officeArt object" descr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2A0DC8" w:rsidRDefault="009A7EB5">
                          <w:pPr>
                            <w:spacing w:line="184" w:lineRule="exact"/>
                            <w:ind w:left="20"/>
                            <w:rPr>
                              <w:rStyle w:val="Nessuno"/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essuno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 xml:space="preserve">J </w:t>
                          </w:r>
                          <w:r>
                            <w:rPr>
                              <w:rStyle w:val="Nessuno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Pain Relief</w:t>
                          </w:r>
                        </w:p>
                        <w:p w:rsidR="002A0DC8" w:rsidRDefault="009A7EB5">
                          <w:pPr>
                            <w:spacing w:before="8"/>
                            <w:ind w:left="20"/>
                          </w:pPr>
                          <w:r>
                            <w:rPr>
                              <w:rStyle w:val="Nessuno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line="184" w:lineRule="exact"/>
                      <w:ind w:left="20" w:firstLine="0"/>
                      <w:rPr>
                        <w:rStyle w:val="Nessuno"/>
                        <w:rFonts w:ascii="Arial" w:cs="Arial" w:hAnsi="Arial" w:eastAsia="Arial"/>
                        <w:outline w:val="0"/>
                        <w:color w:val="ffffff"/>
                        <w:sz w:val="16"/>
                        <w:szCs w:val="16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Style w:val="Nessuno"/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pStyle w:val="Normal.0"/>
                      <w:spacing w:before="8"/>
                      <w:ind w:left="20" w:firstLine="0"/>
                    </w:pPr>
                    <w:r>
                      <w:rPr>
                        <w:rStyle w:val="Nessuno"/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noProof/>
        <w:lang w:val="it-IT"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10147934</wp:posOffset>
              </wp:positionV>
              <wp:extent cx="1167130" cy="316865"/>
              <wp:effectExtent l="0" t="0" r="0" b="0"/>
              <wp:wrapNone/>
              <wp:docPr id="1073741828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2A0DC8" w:rsidRDefault="009A7EB5">
                          <w:pPr>
                            <w:spacing w:line="269" w:lineRule="exact"/>
                            <w:jc w:val="center"/>
                            <w:rPr>
                              <w:rStyle w:val="Nessuno"/>
                              <w:rFonts w:ascii="Impact" w:eastAsia="Impact" w:hAnsi="Impact" w:cs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Style w:val="Nessuno"/>
                              <w:rFonts w:ascii="Impact" w:hAnsi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  <w:t>Fibromyalgia 2016</w:t>
                          </w:r>
                        </w:p>
                        <w:p w:rsidR="002A0DC8" w:rsidRDefault="009A7EB5">
                          <w:pPr>
                            <w:spacing w:before="29"/>
                            <w:jc w:val="center"/>
                          </w:pPr>
                          <w:r>
                            <w:rPr>
                              <w:rStyle w:val="Nessuno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visibility:visible;position:absolute;margin-left:252.1pt;margin-top:799.0pt;width:91.9pt;height:24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line="269" w:lineRule="exact"/>
                      <w:jc w:val="center"/>
                      <w:rPr>
                        <w:rStyle w:val="Nessuno"/>
                        <w:rFonts w:ascii="Impact" w:cs="Impact" w:hAnsi="Impact" w:eastAsia="Impact"/>
                        <w:outline w:val="0"/>
                        <w:color w:val="ffffff"/>
                        <w:sz w:val="24"/>
                        <w:szCs w:val="24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Style w:val="Nessuno"/>
                        <w:rFonts w:ascii="Impact" w:hAnsi="Impact"/>
                        <w:outline w:val="0"/>
                        <w:color w:val="ffffff"/>
                        <w:sz w:val="24"/>
                        <w:szCs w:val="24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pStyle w:val="Normal.0"/>
                      <w:spacing w:before="29"/>
                      <w:jc w:val="center"/>
                    </w:pPr>
                    <w:r>
                      <w:rPr>
                        <w:rStyle w:val="Nessuno"/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noProof/>
        <w:lang w:val="it-IT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29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2A0DC8" w:rsidRDefault="009A7EB5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Style w:val="Nessuno"/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Style w:val="Nessuno"/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Volume 5, Issue 3(Suppl)</w:t>
                          </w:r>
                        </w:p>
                        <w:p w:rsidR="002A0DC8" w:rsidRDefault="009A7EB5">
                          <w:pPr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Style w:val="Nessuno"/>
                              <w:rFonts w:ascii="Minion Pro" w:hAnsi="Minion Pro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2" type="#_x0000_t202" style="visibility:visible;position:absolute;margin-left:468.9pt;margin-top:798.8pt;width:91.4pt;height:26.1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line="184" w:lineRule="exact"/>
                      <w:ind w:right="18"/>
                      <w:jc w:val="right"/>
                      <w:rPr>
                        <w:rStyle w:val="Nessuno"/>
                        <w:rFonts w:ascii="Arial" w:cs="Arial" w:hAnsi="Arial" w:eastAsia="Arial"/>
                        <w:outline w:val="0"/>
                        <w:color w:val="ffffff"/>
                        <w:sz w:val="16"/>
                        <w:szCs w:val="16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Style w:val="Nessuno"/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pStyle w:val="Normal.0"/>
                      <w:spacing w:before="116"/>
                      <w:ind w:right="18"/>
                      <w:jc w:val="right"/>
                    </w:pPr>
                    <w:r>
                      <w:rPr>
                        <w:rStyle w:val="Nessuno"/>
                        <w:rFonts w:ascii="Minion Pro" w:hAnsi="Minion Pro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fldChar w:fldCharType="begin"/>
    </w:r>
    <w:r>
      <w:instrText xml:space="preserve"> PAGE </w:instrText>
    </w:r>
    <w:r w:rsidR="00F56A06">
      <w:fldChar w:fldCharType="separate"/>
    </w:r>
    <w:r w:rsidR="00F56A06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D3028"/>
    <w:multiLevelType w:val="hybridMultilevel"/>
    <w:tmpl w:val="36560C56"/>
    <w:styleLink w:val="Stileimportato1"/>
    <w:lvl w:ilvl="0" w:tplc="A6D24130">
      <w:start w:val="1"/>
      <w:numFmt w:val="decimal"/>
      <w:lvlText w:val="%1."/>
      <w:lvlJc w:val="left"/>
      <w:pPr>
        <w:tabs>
          <w:tab w:val="left" w:pos="384"/>
        </w:tabs>
        <w:ind w:left="38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8D426">
      <w:start w:val="1"/>
      <w:numFmt w:val="decimal"/>
      <w:lvlText w:val="%2."/>
      <w:lvlJc w:val="left"/>
      <w:pPr>
        <w:tabs>
          <w:tab w:val="left" w:pos="384"/>
        </w:tabs>
        <w:ind w:left="100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C04496">
      <w:start w:val="1"/>
      <w:numFmt w:val="decimal"/>
      <w:lvlText w:val="%3."/>
      <w:lvlJc w:val="left"/>
      <w:pPr>
        <w:tabs>
          <w:tab w:val="left" w:pos="384"/>
        </w:tabs>
        <w:ind w:left="172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DC3A16">
      <w:start w:val="1"/>
      <w:numFmt w:val="decimal"/>
      <w:lvlText w:val="%4."/>
      <w:lvlJc w:val="left"/>
      <w:pPr>
        <w:tabs>
          <w:tab w:val="left" w:pos="384"/>
        </w:tabs>
        <w:ind w:left="244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449778">
      <w:start w:val="1"/>
      <w:numFmt w:val="decimal"/>
      <w:lvlText w:val="%5."/>
      <w:lvlJc w:val="left"/>
      <w:pPr>
        <w:tabs>
          <w:tab w:val="left" w:pos="384"/>
        </w:tabs>
        <w:ind w:left="316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8ABDE4">
      <w:start w:val="1"/>
      <w:numFmt w:val="decimal"/>
      <w:lvlText w:val="%6."/>
      <w:lvlJc w:val="left"/>
      <w:pPr>
        <w:tabs>
          <w:tab w:val="left" w:pos="384"/>
        </w:tabs>
        <w:ind w:left="388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EAB900">
      <w:start w:val="1"/>
      <w:numFmt w:val="decimal"/>
      <w:lvlText w:val="%7."/>
      <w:lvlJc w:val="left"/>
      <w:pPr>
        <w:tabs>
          <w:tab w:val="left" w:pos="384"/>
        </w:tabs>
        <w:ind w:left="460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7E4DDA">
      <w:start w:val="1"/>
      <w:numFmt w:val="decimal"/>
      <w:lvlText w:val="%8."/>
      <w:lvlJc w:val="left"/>
      <w:pPr>
        <w:tabs>
          <w:tab w:val="left" w:pos="384"/>
        </w:tabs>
        <w:ind w:left="532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4048EC">
      <w:start w:val="1"/>
      <w:numFmt w:val="decimal"/>
      <w:lvlText w:val="%9."/>
      <w:lvlJc w:val="left"/>
      <w:pPr>
        <w:tabs>
          <w:tab w:val="left" w:pos="384"/>
        </w:tabs>
        <w:ind w:left="604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5435AD0"/>
    <w:multiLevelType w:val="hybridMultilevel"/>
    <w:tmpl w:val="36560C56"/>
    <w:numStyleLink w:val="Stileimportato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DC8"/>
    <w:rsid w:val="002A0DC8"/>
    <w:rsid w:val="009A7EB5"/>
    <w:rsid w:val="00F5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4C884B-AD67-42B2-AC42-4473176A0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rFonts w:ascii="Tw Cen MT" w:hAnsi="Tw Cen MT" w:cs="Arial Unicode MS"/>
      <w:color w:val="000000"/>
      <w:sz w:val="22"/>
      <w:szCs w:val="22"/>
      <w:u w:color="000000"/>
      <w:lang w:val="en-US"/>
    </w:rPr>
  </w:style>
  <w:style w:type="paragraph" w:styleId="Titolo1">
    <w:name w:val="heading 1"/>
    <w:pPr>
      <w:widowControl w:val="0"/>
      <w:spacing w:before="47" w:line="400" w:lineRule="exact"/>
      <w:ind w:left="100"/>
      <w:outlineLvl w:val="0"/>
    </w:pPr>
    <w:rPr>
      <w:rFonts w:ascii="Minion Pro" w:hAnsi="Minion Pro" w:cs="Arial Unicode MS"/>
      <w:b/>
      <w:bCs/>
      <w:color w:val="000000"/>
      <w:sz w:val="36"/>
      <w:szCs w:val="36"/>
      <w:u w:color="000000"/>
      <w:lang w:val="en-US"/>
    </w:rPr>
  </w:style>
  <w:style w:type="paragraph" w:styleId="Titolo3">
    <w:name w:val="heading 3"/>
    <w:pPr>
      <w:widowControl w:val="0"/>
      <w:ind w:left="100"/>
      <w:outlineLvl w:val="2"/>
    </w:pPr>
    <w:rPr>
      <w:rFonts w:ascii="Arial" w:hAnsi="Arial" w:cs="Arial Unicode MS"/>
      <w:b/>
      <w:bCs/>
      <w:color w:val="000000"/>
      <w:u w:color="00000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pPr>
      <w:widowControl w:val="0"/>
    </w:pPr>
    <w:rPr>
      <w:rFonts w:ascii="Tw Cen MT" w:hAnsi="Tw Cen MT" w:cs="Arial Unicode MS"/>
      <w:color w:val="000000"/>
      <w:sz w:val="18"/>
      <w:szCs w:val="18"/>
      <w:u w:color="000000"/>
      <w:lang w:val="en-US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FFFFFF"/>
      <w:sz w:val="14"/>
      <w:szCs w:val="14"/>
      <w:u w:color="FFFFFF"/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pPr>
      <w:widowControl w:val="0"/>
      <w:spacing w:before="90" w:line="200" w:lineRule="exact"/>
      <w:ind w:left="383" w:hanging="283"/>
      <w:jc w:val="both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Stileimportato1">
    <w:name w:val="Stile importato 1"/>
    <w:pPr>
      <w:numPr>
        <w:numId w:val="1"/>
      </w:numPr>
    </w:p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1">
    <w:name w:val="Hyperlink.1"/>
    <w:basedOn w:val="Link"/>
    <w:rPr>
      <w:rFonts w:ascii="Lato Regular" w:eastAsia="Lato Regular" w:hAnsi="Lato Regular" w:cs="Lato Regular"/>
      <w:outline w:val="0"/>
      <w:color w:val="0000FF"/>
      <w:sz w:val="18"/>
      <w:szCs w:val="18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oberto.valcavi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2</cp:revision>
  <dcterms:created xsi:type="dcterms:W3CDTF">2021-09-11T20:20:00Z</dcterms:created>
  <dcterms:modified xsi:type="dcterms:W3CDTF">2021-09-11T20:20:00Z</dcterms:modified>
</cp:coreProperties>
</file>