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BA765E" w:rsidP="00494130">
      <w:pPr>
        <w:pStyle w:val="Heading1"/>
        <w:spacing w:before="170"/>
        <w:ind w:left="0"/>
      </w:pPr>
      <w:r w:rsidRPr="00BA765E">
        <w:t>BIOCHEMICAL METHANE POTENTIAL (BMP) SCREENING OF FEEDSTOCK AND ITS APPLICATION IN BIOGAS INDUSTRY IN SOUTH AFRICA</w:t>
      </w:r>
    </w:p>
    <w:p w:rsidR="00BA765E" w:rsidRDefault="00BA765E" w:rsidP="005973B9">
      <w:pPr>
        <w:pStyle w:val="BodyText"/>
        <w:spacing w:before="73" w:line="198" w:lineRule="exact"/>
        <w:ind w:left="100" w:right="5987"/>
        <w:rPr>
          <w:rFonts w:ascii="Arial"/>
        </w:rPr>
      </w:pPr>
      <w:r w:rsidRPr="00BA765E">
        <w:rPr>
          <w:rFonts w:ascii="Arial"/>
          <w:b/>
        </w:rPr>
        <w:t>Idan Chiyanzu</w:t>
      </w:r>
      <w:r w:rsidRPr="00BA765E">
        <w:rPr>
          <w:rFonts w:ascii="Arial"/>
        </w:rPr>
        <w:t>, Agricultural Engineering Campus, Agricultural Research Council, 141 Cresswell Road, Pretoria, South Africa, 0127.</w:t>
      </w:r>
    </w:p>
    <w:p w:rsidR="005973B9" w:rsidRDefault="00BA765E" w:rsidP="005973B9">
      <w:pPr>
        <w:pStyle w:val="BodyText"/>
        <w:spacing w:before="73" w:line="198" w:lineRule="exact"/>
        <w:ind w:left="100" w:right="5987"/>
        <w:rPr>
          <w:rFonts w:ascii="Arial"/>
        </w:rPr>
      </w:pPr>
      <w:r w:rsidRPr="00955D80">
        <w:rPr>
          <w:rFonts w:ascii="Arial"/>
          <w:b/>
        </w:rPr>
        <w:t>Primrose Magama</w:t>
      </w:r>
      <w:r>
        <w:rPr>
          <w:rFonts w:ascii="Arial"/>
        </w:rPr>
        <w:t xml:space="preserve">, </w:t>
      </w:r>
      <w:r w:rsidRPr="00BA765E">
        <w:rPr>
          <w:rFonts w:ascii="Arial"/>
        </w:rPr>
        <w:t>Agricultural Engineering Campus, Agricultural Research Council, 141 Cresswell Road, Pretoria, South Africa, 0127.</w:t>
      </w: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AD27AD">
        <w:rPr>
          <w:color w:val="BF5A14"/>
        </w:rPr>
        <w:t xml:space="preserve"> </w:t>
      </w:r>
    </w:p>
    <w:p w:rsidR="00BA765E" w:rsidRPr="00BA765E" w:rsidRDefault="00BA765E" w:rsidP="00BA765E">
      <w:pPr>
        <w:pStyle w:val="Heading3"/>
        <w:spacing w:before="74"/>
        <w:rPr>
          <w:rFonts w:ascii="Tw Cen MT" w:eastAsia="Tw Cen MT" w:hAnsi="Tw Cen MT" w:cs="Tw Cen MT"/>
          <w:b w:val="0"/>
          <w:bCs w:val="0"/>
          <w:sz w:val="18"/>
          <w:szCs w:val="18"/>
        </w:rPr>
      </w:pPr>
      <w:r w:rsidRPr="00BA765E">
        <w:rPr>
          <w:rFonts w:ascii="Tw Cen MT" w:eastAsia="Tw Cen MT" w:hAnsi="Tw Cen MT" w:cs="Tw Cen MT"/>
          <w:b w:val="0"/>
          <w:bCs w:val="0"/>
          <w:sz w:val="18"/>
          <w:szCs w:val="18"/>
        </w:rPr>
        <w:t xml:space="preserve">The biogas industry is a host to more than 700 anaerobic digestion plants in South Africa providing opportunities to produce renewable energy in the form of combined heat and power (CHP), as well as vehicular fuel. Unfortunately, many of the AD plants have lacked consistency in terms of substrate feed due to unavailability data, and thus majority operations have collapsed. Absence of biogas development can affect the strategies to improve waste management as well as reduce air pollution and greenhouse gases. For many years, researchers from Agricultural Research Council – Agricultural Engineering are investigating the substrate </w:t>
      </w:r>
      <w:r w:rsidRPr="00BA765E">
        <w:rPr>
          <w:rFonts w:ascii="Tw Cen MT" w:eastAsia="Tw Cen MT" w:hAnsi="Tw Cen MT" w:cs="Tw Cen MT"/>
          <w:b w:val="0"/>
          <w:bCs w:val="0"/>
          <w:sz w:val="18"/>
          <w:szCs w:val="18"/>
        </w:rPr>
        <w:t>behavior</w:t>
      </w:r>
      <w:r w:rsidRPr="00BA765E">
        <w:rPr>
          <w:rFonts w:ascii="Tw Cen MT" w:eastAsia="Tw Cen MT" w:hAnsi="Tw Cen MT" w:cs="Tw Cen MT"/>
          <w:b w:val="0"/>
          <w:bCs w:val="0"/>
          <w:sz w:val="18"/>
          <w:szCs w:val="18"/>
        </w:rPr>
        <w:t xml:space="preserve"> and vulnerability of anaerobic digesters to provide new knowledge for improved operations. </w:t>
      </w:r>
    </w:p>
    <w:p w:rsidR="00BA765E" w:rsidRPr="00BA765E" w:rsidRDefault="00BA765E" w:rsidP="00BA765E">
      <w:pPr>
        <w:pStyle w:val="Heading3"/>
        <w:spacing w:before="74"/>
        <w:rPr>
          <w:rFonts w:ascii="Tw Cen MT" w:eastAsia="Tw Cen MT" w:hAnsi="Tw Cen MT" w:cs="Tw Cen MT"/>
          <w:b w:val="0"/>
          <w:bCs w:val="0"/>
          <w:sz w:val="18"/>
          <w:szCs w:val="18"/>
        </w:rPr>
      </w:pPr>
      <w:r w:rsidRPr="00BA765E">
        <w:rPr>
          <w:rFonts w:ascii="Tw Cen MT" w:eastAsia="Tw Cen MT" w:hAnsi="Tw Cen MT" w:cs="Tw Cen MT"/>
          <w:b w:val="0"/>
          <w:bCs w:val="0"/>
          <w:sz w:val="18"/>
          <w:szCs w:val="18"/>
        </w:rPr>
        <w:t>The aim of this project is to provide recommendations for biogas developers of important parameters by using knowledge from proximate, ultimate analyses and bio methane potential tests (BMP) of feedstock. This will be achieved using a suite of methodologies deployed in other renewable energy development, including: (</w:t>
      </w:r>
      <w:proofErr w:type="spellStart"/>
      <w:r w:rsidRPr="00BA765E">
        <w:rPr>
          <w:rFonts w:ascii="Tw Cen MT" w:eastAsia="Tw Cen MT" w:hAnsi="Tw Cen MT" w:cs="Tw Cen MT"/>
          <w:b w:val="0"/>
          <w:bCs w:val="0"/>
          <w:sz w:val="18"/>
          <w:szCs w:val="18"/>
        </w:rPr>
        <w:t>i</w:t>
      </w:r>
      <w:proofErr w:type="spellEnd"/>
      <w:r w:rsidRPr="00BA765E">
        <w:rPr>
          <w:rFonts w:ascii="Tw Cen MT" w:eastAsia="Tw Cen MT" w:hAnsi="Tw Cen MT" w:cs="Tw Cen MT"/>
          <w:b w:val="0"/>
          <w:bCs w:val="0"/>
          <w:sz w:val="18"/>
          <w:szCs w:val="18"/>
        </w:rPr>
        <w:t xml:space="preserve">) proximate analysis involves the determination of moisture, volatile matter, ash and fixed carbon content whereas; (ii) ultimate analysis includes determination of carbon, nitrogen, hydrogen, oxygen and sulfur in biomass; and (iii) measuring the bio-methane or biogas produced by a known quantity of waste in batch under anaerobic digestion. </w:t>
      </w:r>
    </w:p>
    <w:p w:rsidR="00AE3E37" w:rsidRDefault="00BA765E" w:rsidP="00BA765E">
      <w:pPr>
        <w:pStyle w:val="Heading3"/>
        <w:spacing w:before="74"/>
      </w:pPr>
      <w:r w:rsidRPr="00BA765E">
        <w:rPr>
          <w:rFonts w:ascii="Tw Cen MT" w:eastAsia="Tw Cen MT" w:hAnsi="Tw Cen MT" w:cs="Tw Cen MT"/>
          <w:b w:val="0"/>
          <w:bCs w:val="0"/>
          <w:sz w:val="18"/>
          <w:szCs w:val="18"/>
        </w:rPr>
        <w:t>The combination of these analyses will provide a good evaluation of a healthier anaerobic digester. The findings from the project will also be of viable in planning new biogas plants. A relationship model will be created, making it possible for developers to predict how their waste materials will perform at different anaerobic conditions. In conclusion, although such findings will have little direct influence on policy formulation, they will provide insights into rational management and utilization of various abundant substrates in the country.</w:t>
      </w:r>
      <w:r w:rsidR="00A9710C">
        <w:rPr>
          <w:b w:val="0"/>
        </w:rPr>
        <w:br w:type="column"/>
      </w:r>
    </w:p>
    <w:p w:rsidR="00AE3E37" w:rsidRDefault="00BA765E">
      <w:pPr>
        <w:pStyle w:val="BodyText"/>
        <w:spacing w:before="2"/>
        <w:rPr>
          <w:rFonts w:ascii="Arial"/>
          <w:b/>
          <w:sz w:val="16"/>
        </w:rPr>
      </w:pPr>
      <w:r w:rsidRPr="00BA765E">
        <w:drawing>
          <wp:inline distT="0" distB="0" distL="0" distR="0">
            <wp:extent cx="3165475" cy="1844233"/>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844233"/>
                    </a:xfrm>
                    <a:prstGeom prst="rect">
                      <a:avLst/>
                    </a:prstGeom>
                    <a:noFill/>
                    <a:ln>
                      <a:noFill/>
                    </a:ln>
                  </pic:spPr>
                </pic:pic>
              </a:graphicData>
            </a:graphic>
          </wp:inline>
        </w:drawing>
      </w:r>
    </w:p>
    <w:p w:rsidR="00BA765E" w:rsidRPr="004C7D50" w:rsidRDefault="00BA765E" w:rsidP="00BA765E">
      <w:pPr>
        <w:pStyle w:val="BodyText"/>
        <w:spacing w:before="2"/>
        <w:rPr>
          <w:rFonts w:ascii="Arial"/>
          <w:sz w:val="16"/>
        </w:rPr>
      </w:pPr>
      <w:r w:rsidRPr="004C7D50">
        <w:rPr>
          <w:rFonts w:ascii="Arial"/>
          <w:sz w:val="16"/>
        </w:rPr>
        <w:t>Fig. 1. The role of feedstock characterization and BMP testing for assessing and improving the efficiency of household and industrial biogas systems.</w:t>
      </w:r>
    </w:p>
    <w:p w:rsidR="005973B9" w:rsidRDefault="00AD27AD" w:rsidP="005973B9">
      <w:pPr>
        <w:spacing w:line="204" w:lineRule="exact"/>
        <w:rPr>
          <w:rFonts w:ascii="Arial"/>
          <w:b/>
          <w:sz w:val="20"/>
        </w:rPr>
      </w:pPr>
      <w:r>
        <w:rPr>
          <w:rFonts w:ascii="Arial"/>
          <w:b/>
          <w:color w:val="BF5A14"/>
          <w:sz w:val="20"/>
        </w:rPr>
        <w:br/>
        <w:t>Recent Publications</w:t>
      </w:r>
    </w:p>
    <w:p w:rsidR="00BA765E" w:rsidRPr="00BA765E" w:rsidRDefault="00BA765E" w:rsidP="00BA765E">
      <w:pPr>
        <w:tabs>
          <w:tab w:val="left" w:pos="384"/>
        </w:tabs>
        <w:ind w:right="117"/>
        <w:rPr>
          <w:rFonts w:ascii="Calibri" w:eastAsia="Calibri" w:hAnsi="Calibri" w:cs="Calibri"/>
          <w:sz w:val="18"/>
        </w:rPr>
      </w:pPr>
    </w:p>
    <w:p w:rsidR="00BA765E" w:rsidRPr="00BA765E" w:rsidRDefault="00BA765E" w:rsidP="00BA765E">
      <w:pPr>
        <w:tabs>
          <w:tab w:val="left" w:pos="384"/>
        </w:tabs>
        <w:ind w:right="117"/>
        <w:rPr>
          <w:rFonts w:ascii="Calibri" w:eastAsia="Calibri" w:hAnsi="Calibri" w:cs="Calibri"/>
          <w:sz w:val="18"/>
        </w:rPr>
      </w:pPr>
      <w:r w:rsidRPr="00BA765E">
        <w:rPr>
          <w:rFonts w:ascii="Calibri" w:eastAsia="Calibri" w:hAnsi="Calibri" w:cs="Calibri"/>
          <w:sz w:val="18"/>
        </w:rPr>
        <w:t>1.</w:t>
      </w:r>
      <w:r w:rsidRPr="00BA765E">
        <w:rPr>
          <w:rFonts w:ascii="Calibri" w:eastAsia="Calibri" w:hAnsi="Calibri" w:cs="Calibri"/>
          <w:sz w:val="18"/>
        </w:rPr>
        <w:tab/>
        <w:t xml:space="preserve">Raphael </w:t>
      </w:r>
      <w:proofErr w:type="spellStart"/>
      <w:r w:rsidRPr="00BA765E">
        <w:rPr>
          <w:rFonts w:ascii="Calibri" w:eastAsia="Calibri" w:hAnsi="Calibri" w:cs="Calibri"/>
          <w:sz w:val="18"/>
        </w:rPr>
        <w:t>Muzondiwa</w:t>
      </w:r>
      <w:proofErr w:type="spellEnd"/>
      <w:r w:rsidRPr="00BA765E">
        <w:rPr>
          <w:rFonts w:ascii="Calibri" w:eastAsia="Calibri" w:hAnsi="Calibri" w:cs="Calibri"/>
          <w:sz w:val="18"/>
        </w:rPr>
        <w:t xml:space="preserve"> </w:t>
      </w:r>
      <w:proofErr w:type="spellStart"/>
      <w:r w:rsidRPr="00BA765E">
        <w:rPr>
          <w:rFonts w:ascii="Calibri" w:eastAsia="Calibri" w:hAnsi="Calibri" w:cs="Calibri"/>
          <w:sz w:val="18"/>
        </w:rPr>
        <w:t>Jingura</w:t>
      </w:r>
      <w:proofErr w:type="spellEnd"/>
      <w:r w:rsidRPr="00BA765E">
        <w:rPr>
          <w:rFonts w:ascii="Calibri" w:eastAsia="Calibri" w:hAnsi="Calibri" w:cs="Calibri"/>
          <w:sz w:val="18"/>
        </w:rPr>
        <w:t xml:space="preserve">, </w:t>
      </w:r>
      <w:proofErr w:type="spellStart"/>
      <w:r w:rsidRPr="00BA765E">
        <w:rPr>
          <w:rFonts w:ascii="Calibri" w:eastAsia="Calibri" w:hAnsi="Calibri" w:cs="Calibri"/>
          <w:sz w:val="18"/>
        </w:rPr>
        <w:t>Reckson</w:t>
      </w:r>
      <w:proofErr w:type="spellEnd"/>
      <w:r w:rsidRPr="00BA765E">
        <w:rPr>
          <w:rFonts w:ascii="Calibri" w:eastAsia="Calibri" w:hAnsi="Calibri" w:cs="Calibri"/>
          <w:sz w:val="18"/>
        </w:rPr>
        <w:t xml:space="preserve"> </w:t>
      </w:r>
      <w:proofErr w:type="spellStart"/>
      <w:r w:rsidRPr="00BA765E">
        <w:rPr>
          <w:rFonts w:ascii="Calibri" w:eastAsia="Calibri" w:hAnsi="Calibri" w:cs="Calibri"/>
          <w:sz w:val="18"/>
        </w:rPr>
        <w:t>Kamusoko</w:t>
      </w:r>
      <w:proofErr w:type="spellEnd"/>
      <w:r w:rsidRPr="00BA765E">
        <w:rPr>
          <w:rFonts w:ascii="Calibri" w:eastAsia="Calibri" w:hAnsi="Calibri" w:cs="Calibri"/>
          <w:sz w:val="18"/>
        </w:rPr>
        <w:t xml:space="preserve">. Methods for determination of </w:t>
      </w:r>
      <w:proofErr w:type="spellStart"/>
      <w:r w:rsidRPr="00BA765E">
        <w:rPr>
          <w:rFonts w:ascii="Calibri" w:eastAsia="Calibri" w:hAnsi="Calibri" w:cs="Calibri"/>
          <w:sz w:val="18"/>
        </w:rPr>
        <w:t>biomethane</w:t>
      </w:r>
      <w:proofErr w:type="spellEnd"/>
      <w:r w:rsidRPr="00BA765E">
        <w:rPr>
          <w:rFonts w:ascii="Calibri" w:eastAsia="Calibri" w:hAnsi="Calibri" w:cs="Calibri"/>
          <w:sz w:val="18"/>
        </w:rPr>
        <w:t xml:space="preserve"> potential of </w:t>
      </w:r>
      <w:proofErr w:type="spellStart"/>
      <w:r w:rsidRPr="00BA765E">
        <w:rPr>
          <w:rFonts w:ascii="Calibri" w:eastAsia="Calibri" w:hAnsi="Calibri" w:cs="Calibri"/>
          <w:sz w:val="18"/>
        </w:rPr>
        <w:t>feedstocks</w:t>
      </w:r>
      <w:proofErr w:type="spellEnd"/>
      <w:r w:rsidRPr="00BA765E">
        <w:rPr>
          <w:rFonts w:ascii="Calibri" w:eastAsia="Calibri" w:hAnsi="Calibri" w:cs="Calibri"/>
          <w:sz w:val="18"/>
        </w:rPr>
        <w:t>: a review. Biofuel Research Journal 14 (2017) 573-586.</w:t>
      </w:r>
    </w:p>
    <w:p w:rsidR="00AD27AD" w:rsidRDefault="00BA765E" w:rsidP="00BA765E">
      <w:pPr>
        <w:tabs>
          <w:tab w:val="left" w:pos="384"/>
        </w:tabs>
        <w:ind w:right="117"/>
        <w:rPr>
          <w:rFonts w:ascii="Calibri" w:eastAsia="Calibri" w:hAnsi="Calibri" w:cs="Calibri"/>
          <w:sz w:val="18"/>
        </w:rPr>
      </w:pPr>
      <w:r w:rsidRPr="00BA765E">
        <w:rPr>
          <w:rFonts w:ascii="Calibri" w:eastAsia="Calibri" w:hAnsi="Calibri" w:cs="Calibri"/>
          <w:sz w:val="18"/>
        </w:rPr>
        <w:t>2.</w:t>
      </w:r>
      <w:r w:rsidRPr="00BA765E">
        <w:rPr>
          <w:rFonts w:ascii="Calibri" w:eastAsia="Calibri" w:hAnsi="Calibri" w:cs="Calibri"/>
          <w:sz w:val="18"/>
        </w:rPr>
        <w:tab/>
        <w:t xml:space="preserve">E. K. </w:t>
      </w:r>
      <w:proofErr w:type="spellStart"/>
      <w:proofErr w:type="gramStart"/>
      <w:r w:rsidRPr="00BA765E">
        <w:rPr>
          <w:rFonts w:ascii="Calibri" w:eastAsia="Calibri" w:hAnsi="Calibri" w:cs="Calibri"/>
          <w:sz w:val="18"/>
        </w:rPr>
        <w:t>Tetteh</w:t>
      </w:r>
      <w:proofErr w:type="spellEnd"/>
      <w:r w:rsidRPr="00BA765E">
        <w:rPr>
          <w:rFonts w:ascii="Calibri" w:eastAsia="Calibri" w:hAnsi="Calibri" w:cs="Calibri"/>
          <w:sz w:val="18"/>
        </w:rPr>
        <w:t xml:space="preserve"> ,</w:t>
      </w:r>
      <w:proofErr w:type="gramEnd"/>
      <w:r w:rsidRPr="00BA765E">
        <w:rPr>
          <w:rFonts w:ascii="Calibri" w:eastAsia="Calibri" w:hAnsi="Calibri" w:cs="Calibri"/>
          <w:sz w:val="18"/>
        </w:rPr>
        <w:t xml:space="preserve"> K. O. </w:t>
      </w:r>
      <w:proofErr w:type="spellStart"/>
      <w:r w:rsidRPr="00BA765E">
        <w:rPr>
          <w:rFonts w:ascii="Calibri" w:eastAsia="Calibri" w:hAnsi="Calibri" w:cs="Calibri"/>
          <w:sz w:val="18"/>
        </w:rPr>
        <w:t>Ansah</w:t>
      </w:r>
      <w:proofErr w:type="spellEnd"/>
      <w:r w:rsidRPr="00BA765E">
        <w:rPr>
          <w:rFonts w:ascii="Calibri" w:eastAsia="Calibri" w:hAnsi="Calibri" w:cs="Calibri"/>
          <w:sz w:val="18"/>
        </w:rPr>
        <w:t xml:space="preserve"> Amano1, D. Asante-</w:t>
      </w:r>
      <w:proofErr w:type="spellStart"/>
      <w:r w:rsidRPr="00BA765E">
        <w:rPr>
          <w:rFonts w:ascii="Calibri" w:eastAsia="Calibri" w:hAnsi="Calibri" w:cs="Calibri"/>
          <w:sz w:val="18"/>
        </w:rPr>
        <w:t>Sackey</w:t>
      </w:r>
      <w:proofErr w:type="spellEnd"/>
      <w:r w:rsidRPr="00BA765E">
        <w:rPr>
          <w:rFonts w:ascii="Calibri" w:eastAsia="Calibri" w:hAnsi="Calibri" w:cs="Calibri"/>
          <w:sz w:val="18"/>
        </w:rPr>
        <w:t xml:space="preserve"> &amp;  E. K. </w:t>
      </w:r>
      <w:proofErr w:type="spellStart"/>
      <w:r w:rsidRPr="00BA765E">
        <w:rPr>
          <w:rFonts w:ascii="Calibri" w:eastAsia="Calibri" w:hAnsi="Calibri" w:cs="Calibri"/>
          <w:sz w:val="18"/>
        </w:rPr>
        <w:t>Armah</w:t>
      </w:r>
      <w:proofErr w:type="spellEnd"/>
      <w:r w:rsidRPr="00BA765E">
        <w:rPr>
          <w:rFonts w:ascii="Calibri" w:eastAsia="Calibri" w:hAnsi="Calibri" w:cs="Calibri"/>
          <w:sz w:val="18"/>
        </w:rPr>
        <w:t xml:space="preserve">. Biochemical Methane Potential (BMP) of </w:t>
      </w:r>
      <w:proofErr w:type="spellStart"/>
      <w:r w:rsidRPr="00BA765E">
        <w:rPr>
          <w:rFonts w:ascii="Calibri" w:eastAsia="Calibri" w:hAnsi="Calibri" w:cs="Calibri"/>
          <w:sz w:val="18"/>
        </w:rPr>
        <w:t>Miscanthus</w:t>
      </w:r>
      <w:proofErr w:type="spellEnd"/>
      <w:r w:rsidRPr="00BA765E">
        <w:rPr>
          <w:rFonts w:ascii="Calibri" w:eastAsia="Calibri" w:hAnsi="Calibri" w:cs="Calibri"/>
          <w:sz w:val="18"/>
        </w:rPr>
        <w:t xml:space="preserve"> </w:t>
      </w:r>
      <w:proofErr w:type="spellStart"/>
      <w:r w:rsidRPr="00BA765E">
        <w:rPr>
          <w:rFonts w:ascii="Calibri" w:eastAsia="Calibri" w:hAnsi="Calibri" w:cs="Calibri"/>
          <w:sz w:val="18"/>
        </w:rPr>
        <w:t>Fuscus</w:t>
      </w:r>
      <w:proofErr w:type="spellEnd"/>
      <w:r w:rsidRPr="00BA765E">
        <w:rPr>
          <w:rFonts w:ascii="Calibri" w:eastAsia="Calibri" w:hAnsi="Calibri" w:cs="Calibri"/>
          <w:sz w:val="18"/>
        </w:rPr>
        <w:t xml:space="preserve"> for Anaerobic Digestion. International Journal of Scientific and Research Publications, Volume 7, Issue 12, December 2017, Page 434.</w:t>
      </w:r>
      <w:r w:rsidR="004C7D50" w:rsidRPr="004C7D50">
        <w:t xml:space="preserve"> </w:t>
      </w:r>
      <w:r w:rsidR="004C7D50" w:rsidRPr="004C7D50">
        <w:rPr>
          <w:rFonts w:asciiTheme="minorHAnsi" w:hAnsiTheme="minorHAnsi" w:cstheme="minorHAnsi"/>
          <w:sz w:val="18"/>
          <w:szCs w:val="18"/>
        </w:rPr>
        <w:t>3.</w:t>
      </w:r>
      <w:r w:rsidR="004C7D50">
        <w:tab/>
      </w:r>
      <w:proofErr w:type="spellStart"/>
      <w:r w:rsidR="004C7D50" w:rsidRPr="004C7D50">
        <w:rPr>
          <w:rFonts w:ascii="Calibri" w:eastAsia="Calibri" w:hAnsi="Calibri" w:cs="Calibri"/>
          <w:sz w:val="18"/>
        </w:rPr>
        <w:t>Djordje</w:t>
      </w:r>
      <w:proofErr w:type="spellEnd"/>
      <w:r w:rsidR="004C7D50" w:rsidRPr="004C7D50">
        <w:rPr>
          <w:rFonts w:ascii="Calibri" w:eastAsia="Calibri" w:hAnsi="Calibri" w:cs="Calibri"/>
          <w:sz w:val="18"/>
        </w:rPr>
        <w:t xml:space="preserve"> </w:t>
      </w:r>
      <w:proofErr w:type="spellStart"/>
      <w:r w:rsidR="004C7D50" w:rsidRPr="004C7D50">
        <w:rPr>
          <w:rFonts w:ascii="Calibri" w:eastAsia="Calibri" w:hAnsi="Calibri" w:cs="Calibri"/>
          <w:sz w:val="18"/>
        </w:rPr>
        <w:t>Djatkov</w:t>
      </w:r>
      <w:proofErr w:type="spellEnd"/>
      <w:r w:rsidR="004C7D50" w:rsidRPr="004C7D50">
        <w:rPr>
          <w:rFonts w:ascii="Calibri" w:eastAsia="Calibri" w:hAnsi="Calibri" w:cs="Calibri"/>
          <w:sz w:val="18"/>
        </w:rPr>
        <w:t xml:space="preserve">, Mathias </w:t>
      </w:r>
      <w:proofErr w:type="spellStart"/>
      <w:r w:rsidR="004C7D50" w:rsidRPr="004C7D50">
        <w:rPr>
          <w:rFonts w:ascii="Calibri" w:eastAsia="Calibri" w:hAnsi="Calibri" w:cs="Calibri"/>
          <w:sz w:val="18"/>
        </w:rPr>
        <w:t>Effenberger</w:t>
      </w:r>
      <w:proofErr w:type="spellEnd"/>
      <w:r w:rsidR="004C7D50" w:rsidRPr="004C7D50">
        <w:rPr>
          <w:rFonts w:ascii="Calibri" w:eastAsia="Calibri" w:hAnsi="Calibri" w:cs="Calibri"/>
          <w:sz w:val="18"/>
        </w:rPr>
        <w:t xml:space="preserve">, Milan </w:t>
      </w:r>
      <w:proofErr w:type="spellStart"/>
      <w:r w:rsidR="004C7D50" w:rsidRPr="004C7D50">
        <w:rPr>
          <w:rFonts w:ascii="Calibri" w:eastAsia="Calibri" w:hAnsi="Calibri" w:cs="Calibri"/>
          <w:sz w:val="18"/>
        </w:rPr>
        <w:t>Martinov</w:t>
      </w:r>
      <w:proofErr w:type="spellEnd"/>
      <w:r w:rsidR="004C7D50" w:rsidRPr="004C7D50">
        <w:rPr>
          <w:rFonts w:ascii="Calibri" w:eastAsia="Calibri" w:hAnsi="Calibri" w:cs="Calibri"/>
          <w:sz w:val="18"/>
        </w:rPr>
        <w:t>. Method for assessing and improving the efficiency of agricultural biogas plants based on fuzzy logic and expert systems. Applied Energy 134 (2014) 163-175</w:t>
      </w:r>
      <w:r w:rsidR="00AD27AD">
        <w:rPr>
          <w:rFonts w:ascii="Calibri" w:eastAsia="Calibri" w:hAnsi="Calibri" w:cs="Calibri"/>
          <w:sz w:val="18"/>
        </w:rPr>
        <w:t xml:space="preserve">. </w:t>
      </w:r>
    </w:p>
    <w:p w:rsidR="00AD27AD" w:rsidRDefault="00AD27AD" w:rsidP="00BA765E">
      <w:pPr>
        <w:tabs>
          <w:tab w:val="left" w:pos="384"/>
        </w:tabs>
        <w:ind w:right="117"/>
      </w:pPr>
      <w:r>
        <w:rPr>
          <w:rFonts w:ascii="Calibri" w:eastAsia="Calibri" w:hAnsi="Calibri" w:cs="Calibri"/>
          <w:sz w:val="18"/>
        </w:rPr>
        <w:t>4.</w:t>
      </w:r>
      <w:r>
        <w:rPr>
          <w:rFonts w:ascii="Calibri" w:eastAsia="Calibri" w:hAnsi="Calibri" w:cs="Calibri"/>
          <w:sz w:val="18"/>
        </w:rPr>
        <w:tab/>
      </w:r>
      <w:r w:rsidRPr="00AD27AD">
        <w:rPr>
          <w:rFonts w:ascii="Calibri" w:eastAsia="Calibri" w:hAnsi="Calibri" w:cs="Calibri"/>
          <w:sz w:val="18"/>
        </w:rPr>
        <w:t>Min-</w:t>
      </w:r>
      <w:proofErr w:type="spellStart"/>
      <w:r w:rsidRPr="00AD27AD">
        <w:rPr>
          <w:rFonts w:ascii="Calibri" w:eastAsia="Calibri" w:hAnsi="Calibri" w:cs="Calibri"/>
          <w:sz w:val="18"/>
        </w:rPr>
        <w:t>Jee</w:t>
      </w:r>
      <w:proofErr w:type="spellEnd"/>
      <w:r w:rsidRPr="00AD27AD">
        <w:rPr>
          <w:rFonts w:ascii="Calibri" w:eastAsia="Calibri" w:hAnsi="Calibri" w:cs="Calibri"/>
          <w:sz w:val="18"/>
        </w:rPr>
        <w:t xml:space="preserve"> Kim, Soo-Ah Kim, Sang-Hun Kim. Effect of Proximate Composition Ratios for Biogas Production. Journal of </w:t>
      </w:r>
      <w:proofErr w:type="spellStart"/>
      <w:r w:rsidRPr="00AD27AD">
        <w:rPr>
          <w:rFonts w:ascii="Calibri" w:eastAsia="Calibri" w:hAnsi="Calibri" w:cs="Calibri"/>
          <w:sz w:val="18"/>
        </w:rPr>
        <w:t>Biosystems</w:t>
      </w:r>
      <w:proofErr w:type="spellEnd"/>
      <w:r w:rsidRPr="00AD27AD">
        <w:rPr>
          <w:rFonts w:ascii="Calibri" w:eastAsia="Calibri" w:hAnsi="Calibri" w:cs="Calibri"/>
          <w:sz w:val="18"/>
        </w:rPr>
        <w:t xml:space="preserve"> Engineering 2017; 42(3): 155-162</w:t>
      </w:r>
      <w:r>
        <w:t>.</w:t>
      </w:r>
    </w:p>
    <w:p w:rsidR="00AE3E37" w:rsidRPr="008756E6" w:rsidRDefault="00AD27AD" w:rsidP="00BA765E">
      <w:pPr>
        <w:tabs>
          <w:tab w:val="left" w:pos="384"/>
        </w:tabs>
        <w:ind w:right="117"/>
      </w:pPr>
      <w:r w:rsidRPr="00AD27AD">
        <w:rPr>
          <w:rFonts w:asciiTheme="minorHAnsi" w:hAnsiTheme="minorHAnsi" w:cstheme="minorHAnsi"/>
          <w:sz w:val="18"/>
          <w:szCs w:val="18"/>
        </w:rPr>
        <w:t>5.</w:t>
      </w:r>
      <w:r>
        <w:tab/>
      </w:r>
      <w:r w:rsidRPr="00AD27AD">
        <w:rPr>
          <w:rFonts w:ascii="Calibri" w:eastAsia="Calibri" w:hAnsi="Calibri" w:cs="Calibri"/>
          <w:sz w:val="18"/>
        </w:rPr>
        <w:t xml:space="preserve">D. P. </w:t>
      </w:r>
      <w:proofErr w:type="spellStart"/>
      <w:r w:rsidRPr="00AD27AD">
        <w:rPr>
          <w:rFonts w:ascii="Calibri" w:eastAsia="Calibri" w:hAnsi="Calibri" w:cs="Calibri"/>
          <w:sz w:val="18"/>
        </w:rPr>
        <w:t>ChynowethC</w:t>
      </w:r>
      <w:proofErr w:type="spellEnd"/>
      <w:r w:rsidRPr="00AD27AD">
        <w:rPr>
          <w:rFonts w:ascii="Calibri" w:eastAsia="Calibri" w:hAnsi="Calibri" w:cs="Calibri"/>
          <w:sz w:val="18"/>
        </w:rPr>
        <w:t xml:space="preserve">. E. </w:t>
      </w:r>
      <w:proofErr w:type="spellStart"/>
      <w:r w:rsidRPr="00AD27AD">
        <w:rPr>
          <w:rFonts w:ascii="Calibri" w:eastAsia="Calibri" w:hAnsi="Calibri" w:cs="Calibri"/>
          <w:sz w:val="18"/>
        </w:rPr>
        <w:t>TurickJ</w:t>
      </w:r>
      <w:proofErr w:type="spellEnd"/>
      <w:r w:rsidRPr="00AD27AD">
        <w:rPr>
          <w:rFonts w:ascii="Calibri" w:eastAsia="Calibri" w:hAnsi="Calibri" w:cs="Calibri"/>
          <w:sz w:val="18"/>
        </w:rPr>
        <w:t xml:space="preserve">. M. </w:t>
      </w:r>
      <w:proofErr w:type="spellStart"/>
      <w:r w:rsidRPr="00AD27AD">
        <w:rPr>
          <w:rFonts w:ascii="Calibri" w:eastAsia="Calibri" w:hAnsi="Calibri" w:cs="Calibri"/>
          <w:sz w:val="18"/>
        </w:rPr>
        <w:t>OwensD</w:t>
      </w:r>
      <w:proofErr w:type="spellEnd"/>
      <w:r w:rsidRPr="00AD27AD">
        <w:rPr>
          <w:rFonts w:ascii="Calibri" w:eastAsia="Calibri" w:hAnsi="Calibri" w:cs="Calibri"/>
          <w:sz w:val="18"/>
        </w:rPr>
        <w:t xml:space="preserve">. E. </w:t>
      </w:r>
      <w:proofErr w:type="spellStart"/>
      <w:r w:rsidRPr="00AD27AD">
        <w:rPr>
          <w:rFonts w:ascii="Calibri" w:eastAsia="Calibri" w:hAnsi="Calibri" w:cs="Calibri"/>
          <w:sz w:val="18"/>
        </w:rPr>
        <w:t>JergerM</w:t>
      </w:r>
      <w:proofErr w:type="spellEnd"/>
      <w:r w:rsidRPr="00AD27AD">
        <w:rPr>
          <w:rFonts w:ascii="Calibri" w:eastAsia="Calibri" w:hAnsi="Calibri" w:cs="Calibri"/>
          <w:sz w:val="18"/>
        </w:rPr>
        <w:t xml:space="preserve">. W. Peck. Biochemical methane potential of biomass and waste </w:t>
      </w:r>
      <w:proofErr w:type="spellStart"/>
      <w:r w:rsidRPr="00AD27AD">
        <w:rPr>
          <w:rFonts w:ascii="Calibri" w:eastAsia="Calibri" w:hAnsi="Calibri" w:cs="Calibri"/>
          <w:sz w:val="18"/>
        </w:rPr>
        <w:t>feedstocks</w:t>
      </w:r>
      <w:proofErr w:type="spellEnd"/>
      <w:r w:rsidRPr="00AD27AD">
        <w:rPr>
          <w:rFonts w:ascii="Calibri" w:eastAsia="Calibri" w:hAnsi="Calibri" w:cs="Calibri"/>
          <w:sz w:val="18"/>
        </w:rPr>
        <w:t>. Biomass and Bioenergy. 1993; 5(1):95–111</w:t>
      </w:r>
      <w:proofErr w:type="gramStart"/>
      <w:r w:rsidRPr="00AD27AD">
        <w:rPr>
          <w:rFonts w:ascii="Calibri" w:eastAsia="Calibri" w:hAnsi="Calibri" w:cs="Calibri"/>
          <w:sz w:val="18"/>
        </w:rPr>
        <w:t>.</w:t>
      </w:r>
      <w:r w:rsidR="004C7D50" w:rsidRPr="00AD27AD">
        <w:rPr>
          <w:rFonts w:ascii="Calibri" w:eastAsia="Calibri" w:hAnsi="Calibri" w:cs="Calibri"/>
          <w:sz w:val="18"/>
        </w:rPr>
        <w:t>.</w:t>
      </w:r>
      <w:proofErr w:type="gramEnd"/>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06E7D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C7D50">
        <w:rPr>
          <w:noProof/>
        </w:rPr>
        <w:drawing>
          <wp:inline distT="0" distB="0" distL="0" distR="0" wp14:anchorId="02CB0426" wp14:editId="416AD276">
            <wp:extent cx="780415" cy="67056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0415" cy="670560"/>
                    </a:xfrm>
                    <a:prstGeom prst="rect">
                      <a:avLst/>
                    </a:prstGeom>
                    <a:noFill/>
                  </pic:spPr>
                </pic:pic>
              </a:graphicData>
            </a:graphic>
          </wp:inline>
        </w:drawing>
      </w:r>
      <w:r>
        <w:rPr>
          <w:noProof/>
        </w:rPr>
        <w:t xml:space="preserve">           </w:t>
      </w:r>
    </w:p>
    <w:p w:rsidR="004C7D50" w:rsidRPr="00556F21" w:rsidRDefault="00023B42" w:rsidP="004C7D50">
      <w:pPr>
        <w:spacing w:before="41" w:line="154" w:lineRule="exact"/>
        <w:ind w:left="213" w:right="231"/>
        <w:jc w:val="both"/>
        <w:rPr>
          <w:rFonts w:ascii="Arial"/>
          <w:sz w:val="14"/>
        </w:rPr>
      </w:pPr>
      <w:r>
        <w:rPr>
          <w:rFonts w:ascii="Arial"/>
          <w:sz w:val="14"/>
        </w:rPr>
        <w:t xml:space="preserve">Dr. </w:t>
      </w:r>
      <w:r w:rsidR="004C7D50">
        <w:rPr>
          <w:rFonts w:ascii="Arial"/>
          <w:sz w:val="14"/>
        </w:rPr>
        <w:t>Idan Chiyanzu has his expertise in bioenergy and researches associated with conversion of waste to energy. His area of focus has been in the assessment and evaluation of various technologies to create new pathways for improving transformation of agricultural residues and biodiesel waste to value compounds. He has been developing this concept model after years of experience in chemistry, biochemistry, and bioprocess engineering both in academic and research institutions. The underpinning principle for the current project is based on r</w:t>
      </w:r>
      <w:r w:rsidR="004C7D50" w:rsidRPr="00DC7DE6">
        <w:rPr>
          <w:rFonts w:ascii="Arial"/>
          <w:sz w:val="14"/>
        </w:rPr>
        <w:t xml:space="preserve">e-engineering </w:t>
      </w:r>
      <w:r w:rsidR="004C7D50">
        <w:rPr>
          <w:rFonts w:ascii="Arial"/>
          <w:sz w:val="14"/>
        </w:rPr>
        <w:t>of</w:t>
      </w:r>
      <w:r w:rsidR="004C7D50" w:rsidRPr="00DC7DE6">
        <w:rPr>
          <w:rFonts w:ascii="Arial"/>
          <w:sz w:val="14"/>
        </w:rPr>
        <w:t xml:space="preserve"> regulatory pathways to enhance </w:t>
      </w:r>
      <w:r w:rsidR="004C7D50">
        <w:rPr>
          <w:rFonts w:ascii="Arial"/>
          <w:sz w:val="14"/>
        </w:rPr>
        <w:t>specific genes, a methodology that utilizes the</w:t>
      </w:r>
      <w:r w:rsidR="004C7D50" w:rsidRPr="00556F21">
        <w:rPr>
          <w:rFonts w:ascii="Arial"/>
          <w:sz w:val="14"/>
        </w:rPr>
        <w:t xml:space="preserve"> most significant genes and disca</w:t>
      </w:r>
      <w:r w:rsidR="004C7D50">
        <w:rPr>
          <w:rFonts w:ascii="Arial"/>
          <w:sz w:val="14"/>
        </w:rPr>
        <w:t xml:space="preserve">rds the others. This methodology </w:t>
      </w:r>
      <w:r w:rsidR="004C7D50" w:rsidRPr="00556F21">
        <w:rPr>
          <w:rFonts w:ascii="Arial"/>
          <w:sz w:val="14"/>
        </w:rPr>
        <w:t>allow better target substance yield in a metabolic network</w:t>
      </w:r>
      <w:r w:rsidR="004C7D50">
        <w:rPr>
          <w:rFonts w:ascii="Arial"/>
          <w:sz w:val="14"/>
        </w:rPr>
        <w:t>.</w:t>
      </w:r>
    </w:p>
    <w:p w:rsidR="004C7D50" w:rsidRDefault="004C7D50" w:rsidP="004C7D50">
      <w:pPr>
        <w:spacing w:before="62"/>
        <w:ind w:left="4217" w:right="4235"/>
        <w:jc w:val="center"/>
        <w:rPr>
          <w:rFonts w:ascii="Arial"/>
          <w:sz w:val="19"/>
        </w:rPr>
      </w:pPr>
      <w:r>
        <w:rPr>
          <w:rFonts w:ascii="Arial"/>
          <w:sz w:val="14"/>
        </w:rPr>
        <w:t xml:space="preserve">Email: </w:t>
      </w:r>
      <w:r>
        <w:rPr>
          <w:noProof/>
        </w:rPr>
        <mc:AlternateContent>
          <mc:Choice Requires="wps">
            <w:drawing>
              <wp:anchor distT="0" distB="0" distL="0" distR="0" simplePos="0" relativeHeight="251659264" behindDoc="0" locked="0" layoutInCell="1" allowOverlap="1" wp14:anchorId="0ACA449D" wp14:editId="0CB6FD80">
                <wp:simplePos x="0" y="0"/>
                <wp:positionH relativeFrom="page">
                  <wp:posOffset>2058670</wp:posOffset>
                </wp:positionH>
                <wp:positionV relativeFrom="paragraph">
                  <wp:posOffset>168275</wp:posOffset>
                </wp:positionV>
                <wp:extent cx="3442335" cy="0"/>
                <wp:effectExtent l="10795" t="6985" r="13970" b="12065"/>
                <wp:wrapTopAndBottom/>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CBE5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YGK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f&#10;zYGK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Pr>
          <w:rFonts w:ascii="Arial"/>
          <w:sz w:val="14"/>
        </w:rPr>
        <w:t>ChiyanzuI@arc.agric.za</w:t>
      </w:r>
    </w:p>
    <w:p w:rsidR="00AE3E37" w:rsidRDefault="00292ED9" w:rsidP="004C7D50">
      <w:pPr>
        <w:pStyle w:val="BodyText"/>
        <w:spacing w:before="2"/>
        <w:rPr>
          <w:rFonts w:ascii="Arial"/>
          <w:sz w:val="20"/>
        </w:rPr>
      </w:pPr>
      <w:r>
        <w:rPr>
          <w:noProof/>
        </w:rPr>
        <w:lastRenderedPageBreak/>
        <mc:AlternateContent>
          <mc:Choice Requires="wps">
            <w:drawing>
              <wp:anchor distT="0" distB="0" distL="0" distR="0" simplePos="0" relativeHeight="25165619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F66B67"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4C7D50" w:rsidRPr="004C7D50" w:rsidRDefault="004C7D50" w:rsidP="004C7D50">
      <w:pPr>
        <w:pStyle w:val="BodyText"/>
        <w:spacing w:before="3"/>
        <w:rPr>
          <w:rFonts w:ascii="Minion Pro"/>
          <w:sz w:val="26"/>
        </w:rPr>
      </w:pPr>
    </w:p>
    <w:p w:rsidR="004C7D50" w:rsidRPr="004C7D50" w:rsidRDefault="004C7D50" w:rsidP="004C7D50">
      <w:pPr>
        <w:pStyle w:val="BodyText"/>
        <w:spacing w:before="3"/>
        <w:rPr>
          <w:rFonts w:ascii="Minion Pro"/>
          <w:sz w:val="26"/>
        </w:rPr>
      </w:pPr>
    </w:p>
    <w:p w:rsidR="00AD27AD" w:rsidRPr="00AD27AD" w:rsidRDefault="00AD27AD" w:rsidP="00AD27AD">
      <w:pPr>
        <w:pStyle w:val="BodyText"/>
        <w:spacing w:before="3"/>
        <w:rPr>
          <w:rFonts w:ascii="Minion Pro"/>
          <w:sz w:val="26"/>
        </w:rPr>
      </w:pPr>
    </w:p>
    <w:p w:rsidR="004C7D50" w:rsidRPr="00AD27AD" w:rsidRDefault="004C7D50" w:rsidP="00AD27AD">
      <w:pPr>
        <w:pStyle w:val="BodyText"/>
        <w:spacing w:before="3"/>
        <w:rPr>
          <w:rFonts w:ascii="Minion Pro"/>
          <w:sz w:val="26"/>
        </w:rPr>
      </w:pPr>
    </w:p>
    <w:p w:rsidR="004C7D50" w:rsidRPr="004C7D50" w:rsidRDefault="004C7D50" w:rsidP="004C7D50">
      <w:pPr>
        <w:pStyle w:val="BodyText"/>
        <w:spacing w:before="3"/>
        <w:rPr>
          <w:rFonts w:ascii="Minion Pro"/>
          <w:sz w:val="26"/>
        </w:rPr>
      </w:pPr>
    </w:p>
    <w:p w:rsidR="004C7D50" w:rsidRPr="004C7D50" w:rsidRDefault="004C7D50" w:rsidP="004C7D50">
      <w:pPr>
        <w:pStyle w:val="BodyText"/>
        <w:spacing w:before="3"/>
        <w:rPr>
          <w:rFonts w:ascii="Minion Pro"/>
          <w:sz w:val="26"/>
        </w:rPr>
      </w:pPr>
    </w:p>
    <w:p w:rsidR="004C7D50" w:rsidRPr="004C7D50" w:rsidRDefault="004C7D50" w:rsidP="004C7D50">
      <w:pPr>
        <w:pStyle w:val="BodyText"/>
        <w:spacing w:before="3"/>
        <w:rPr>
          <w:rFonts w:ascii="Minion Pro"/>
          <w:sz w:val="26"/>
        </w:rPr>
      </w:pPr>
    </w:p>
    <w:p w:rsidR="004C7D50" w:rsidRPr="004C7D50" w:rsidRDefault="004C7D50" w:rsidP="004C7D50">
      <w:pPr>
        <w:pStyle w:val="BodyText"/>
        <w:spacing w:before="3"/>
        <w:rPr>
          <w:rFonts w:ascii="Minion Pro"/>
          <w:sz w:val="26"/>
        </w:rPr>
      </w:pPr>
    </w:p>
    <w:p w:rsidR="004C7D50" w:rsidRPr="004C7D50" w:rsidRDefault="004C7D50" w:rsidP="004C7D50">
      <w:pPr>
        <w:pStyle w:val="BodyText"/>
        <w:spacing w:before="3"/>
        <w:rPr>
          <w:rFonts w:ascii="Minion Pro"/>
          <w:sz w:val="26"/>
        </w:rPr>
      </w:pPr>
    </w:p>
    <w:p w:rsidR="00AE3E37" w:rsidRDefault="00AE3E37" w:rsidP="004C7D50">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8BC" w:rsidRDefault="00AB18BC">
      <w:r>
        <w:separator/>
      </w:r>
    </w:p>
  </w:endnote>
  <w:endnote w:type="continuationSeparator" w:id="0">
    <w:p w:rsidR="00AB18BC" w:rsidRDefault="00AB1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8BC" w:rsidRDefault="00AB18BC">
      <w:r>
        <w:separator/>
      </w:r>
    </w:p>
  </w:footnote>
  <w:footnote w:type="continuationSeparator" w:id="0">
    <w:p w:rsidR="00AB18BC" w:rsidRDefault="00AB1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B42"/>
    <w:rsid w:val="000E2911"/>
    <w:rsid w:val="001263DF"/>
    <w:rsid w:val="002455EC"/>
    <w:rsid w:val="00292ED9"/>
    <w:rsid w:val="00404E5B"/>
    <w:rsid w:val="00414F7B"/>
    <w:rsid w:val="004355DC"/>
    <w:rsid w:val="00450299"/>
    <w:rsid w:val="004749B4"/>
    <w:rsid w:val="00494130"/>
    <w:rsid w:val="004C7D50"/>
    <w:rsid w:val="004F3523"/>
    <w:rsid w:val="005973B9"/>
    <w:rsid w:val="005B3A56"/>
    <w:rsid w:val="006060CE"/>
    <w:rsid w:val="0063497F"/>
    <w:rsid w:val="00873DF0"/>
    <w:rsid w:val="008756E6"/>
    <w:rsid w:val="008A08B6"/>
    <w:rsid w:val="00955D80"/>
    <w:rsid w:val="009B2D44"/>
    <w:rsid w:val="00A07E82"/>
    <w:rsid w:val="00A9710C"/>
    <w:rsid w:val="00AB18BC"/>
    <w:rsid w:val="00AD27AD"/>
    <w:rsid w:val="00AE3E37"/>
    <w:rsid w:val="00B21A57"/>
    <w:rsid w:val="00BA765E"/>
    <w:rsid w:val="00BB04E7"/>
    <w:rsid w:val="00C33602"/>
    <w:rsid w:val="00CD6F55"/>
    <w:rsid w:val="00DE3104"/>
    <w:rsid w:val="00E26B10"/>
    <w:rsid w:val="00F3141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A48917"/>
  <w15:docId w15:val="{BDDB7D1F-22D8-4AE4-A5B0-7EE7A1AEA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8424279">
      <w:bodyDiv w:val="1"/>
      <w:marLeft w:val="0"/>
      <w:marRight w:val="0"/>
      <w:marTop w:val="0"/>
      <w:marBottom w:val="0"/>
      <w:divBdr>
        <w:top w:val="none" w:sz="0" w:space="0" w:color="auto"/>
        <w:left w:val="none" w:sz="0" w:space="0" w:color="auto"/>
        <w:bottom w:val="none" w:sz="0" w:space="0" w:color="auto"/>
        <w:right w:val="none" w:sz="0" w:space="0" w:color="auto"/>
      </w:divBdr>
      <w:divsChild>
        <w:div w:id="446897359">
          <w:marLeft w:val="547"/>
          <w:marRight w:val="0"/>
          <w:marTop w:val="0"/>
          <w:marBottom w:val="0"/>
          <w:divBdr>
            <w:top w:val="none" w:sz="0" w:space="0" w:color="auto"/>
            <w:left w:val="none" w:sz="0" w:space="0" w:color="auto"/>
            <w:bottom w:val="none" w:sz="0" w:space="0" w:color="auto"/>
            <w:right w:val="none" w:sz="0" w:space="0" w:color="auto"/>
          </w:divBdr>
        </w:div>
        <w:div w:id="1449086438">
          <w:marLeft w:val="547"/>
          <w:marRight w:val="0"/>
          <w:marTop w:val="0"/>
          <w:marBottom w:val="0"/>
          <w:divBdr>
            <w:top w:val="none" w:sz="0" w:space="0" w:color="auto"/>
            <w:left w:val="none" w:sz="0" w:space="0" w:color="auto"/>
            <w:bottom w:val="none" w:sz="0" w:space="0" w:color="auto"/>
            <w:right w:val="none" w:sz="0" w:space="0" w:color="auto"/>
          </w:divBdr>
        </w:div>
        <w:div w:id="2090492304">
          <w:marLeft w:val="547"/>
          <w:marRight w:val="0"/>
          <w:marTop w:val="0"/>
          <w:marBottom w:val="0"/>
          <w:divBdr>
            <w:top w:val="none" w:sz="0" w:space="0" w:color="auto"/>
            <w:left w:val="none" w:sz="0" w:space="0" w:color="auto"/>
            <w:bottom w:val="none" w:sz="0" w:space="0" w:color="auto"/>
            <w:right w:val="none" w:sz="0" w:space="0" w:color="auto"/>
          </w:divBdr>
        </w:div>
        <w:div w:id="1216354593">
          <w:marLeft w:val="547"/>
          <w:marRight w:val="0"/>
          <w:marTop w:val="0"/>
          <w:marBottom w:val="0"/>
          <w:divBdr>
            <w:top w:val="none" w:sz="0" w:space="0" w:color="auto"/>
            <w:left w:val="none" w:sz="0" w:space="0" w:color="auto"/>
            <w:bottom w:val="none" w:sz="0" w:space="0" w:color="auto"/>
            <w:right w:val="none" w:sz="0" w:space="0" w:color="auto"/>
          </w:divBdr>
        </w:div>
        <w:div w:id="1922057497">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Idan Chiyanzu</cp:lastModifiedBy>
  <cp:revision>2</cp:revision>
  <dcterms:created xsi:type="dcterms:W3CDTF">2019-04-23T07:17:00Z</dcterms:created>
  <dcterms:modified xsi:type="dcterms:W3CDTF">2019-04-23T07:17:00Z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