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D32445" w14:textId="70427E07" w:rsidR="00BF6638" w:rsidRPr="006E6FA5" w:rsidRDefault="002E521A" w:rsidP="004A4C7C">
      <w:pPr>
        <w:spacing w:line="360" w:lineRule="auto"/>
        <w:rPr>
          <w:b/>
          <w:bCs/>
          <w:sz w:val="34"/>
          <w:szCs w:val="34"/>
          <w:u w:val="single"/>
        </w:rPr>
      </w:pPr>
      <w:r w:rsidRPr="006E6FA5">
        <w:rPr>
          <w:noProof/>
          <w:sz w:val="20"/>
          <w:szCs w:val="20"/>
        </w:rPr>
        <w:drawing>
          <wp:anchor distT="0" distB="0" distL="114300" distR="114300" simplePos="0" relativeHeight="251660288" behindDoc="1" locked="0" layoutInCell="1" allowOverlap="1" wp14:anchorId="27B7894A" wp14:editId="591A689B">
            <wp:simplePos x="0" y="0"/>
            <wp:positionH relativeFrom="column">
              <wp:posOffset>4363720</wp:posOffset>
            </wp:positionH>
            <wp:positionV relativeFrom="paragraph">
              <wp:posOffset>1075055</wp:posOffset>
            </wp:positionV>
            <wp:extent cx="1842135" cy="613410"/>
            <wp:effectExtent l="0" t="0" r="0" b="0"/>
            <wp:wrapTight wrapText="bothSides">
              <wp:wrapPolygon edited="0">
                <wp:start x="0" y="0"/>
                <wp:lineTo x="0" y="21019"/>
                <wp:lineTo x="21444" y="21019"/>
                <wp:lineTo x="21444" y="0"/>
                <wp:lineTo x="0" y="0"/>
              </wp:wrapPolygon>
            </wp:wrapTight>
            <wp:docPr id="2" name="Picture 2" descr="Image result for diplomatic academy of vienna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Image result for diplomatic academy of vienna logo"/>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2135"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00BF6638" w:rsidRPr="006E6FA5">
        <w:rPr>
          <w:noProof/>
          <w:sz w:val="34"/>
          <w:szCs w:val="34"/>
          <w:u w:val="single"/>
        </w:rPr>
        <mc:AlternateContent>
          <mc:Choice Requires="wps">
            <w:drawing>
              <wp:anchor distT="0" distB="0" distL="114300" distR="114300" simplePos="0" relativeHeight="251661312" behindDoc="0" locked="0" layoutInCell="1" allowOverlap="1" wp14:anchorId="34F12BB3" wp14:editId="1CA056A2">
                <wp:simplePos x="0" y="0"/>
                <wp:positionH relativeFrom="column">
                  <wp:posOffset>-258708</wp:posOffset>
                </wp:positionH>
                <wp:positionV relativeFrom="paragraph">
                  <wp:posOffset>-403728</wp:posOffset>
                </wp:positionV>
                <wp:extent cx="6534785" cy="635"/>
                <wp:effectExtent l="0" t="12700" r="5715" b="12065"/>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34785" cy="635"/>
                        </a:xfrm>
                        <a:prstGeom prst="line">
                          <a:avLst/>
                        </a:prstGeom>
                        <a:noFill/>
                        <a:ln w="19050">
                          <a:solidFill>
                            <a:sysClr val="windowText" lastClr="000000">
                              <a:lumMod val="100000"/>
                              <a:lumOff val="0"/>
                            </a:sys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717ECD3"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5pt,-31.8pt" to="494.2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" strokeweight="1.5pt">
                <v:stroke joinstyle="miter"/>
                <o:lock v:ext="edit" shapetype="f"/>
              </v:line>
            </w:pict>
          </mc:Fallback>
        </mc:AlternateContent>
      </w:r>
      <w:r w:rsidR="002E0958" w:rsidRPr="006E6FA5">
        <w:rPr>
          <w:b/>
          <w:bCs/>
          <w:sz w:val="34"/>
          <w:szCs w:val="34"/>
          <w:u w:val="single"/>
        </w:rPr>
        <w:t xml:space="preserve">A case study of the renewable energy sector in Romania and its effectiveness in promoting electricity generated from renewable sources </w:t>
      </w:r>
    </w:p>
    <w:p w14:paraId="642379BF" w14:textId="2F231752" w:rsidR="00697408" w:rsidRPr="006E6FA5" w:rsidRDefault="000C0C5D" w:rsidP="004A4C7C">
      <w:pPr>
        <w:spacing w:line="360" w:lineRule="auto"/>
        <w:jc w:val="both"/>
        <w:rPr>
          <w:sz w:val="15"/>
          <w:szCs w:val="15"/>
        </w:rPr>
      </w:pPr>
      <w:r w:rsidRPr="006E6FA5">
        <w:rPr>
          <w:b/>
          <w:bCs/>
          <w:sz w:val="28"/>
          <w:szCs w:val="28"/>
          <w:lang w:val="en-US"/>
        </w:rPr>
        <w:t>-</w:t>
      </w:r>
      <w:r w:rsidR="002D6EF1" w:rsidRPr="006E6FA5">
        <w:rPr>
          <w:b/>
          <w:bCs/>
          <w:sz w:val="28"/>
          <w:szCs w:val="28"/>
          <w:lang w:val="en-US"/>
        </w:rPr>
        <w:t>C</w:t>
      </w:r>
      <w:r w:rsidRPr="006E6FA5">
        <w:rPr>
          <w:b/>
          <w:bCs/>
          <w:sz w:val="28"/>
          <w:szCs w:val="28"/>
          <w:lang w:val="en-US"/>
        </w:rPr>
        <w:t xml:space="preserve">urrent trends and </w:t>
      </w:r>
      <w:r w:rsidR="002A2869">
        <w:rPr>
          <w:b/>
          <w:bCs/>
          <w:sz w:val="28"/>
          <w:szCs w:val="28"/>
          <w:lang w:val="en-US"/>
        </w:rPr>
        <w:t>pro</w:t>
      </w:r>
      <w:r w:rsidR="00643B43" w:rsidRPr="006E6FA5">
        <w:rPr>
          <w:b/>
          <w:bCs/>
          <w:sz w:val="28"/>
          <w:szCs w:val="28"/>
          <w:lang w:val="en-US"/>
        </w:rPr>
        <w:t>s</w:t>
      </w:r>
      <w:r w:rsidR="002A2869">
        <w:rPr>
          <w:b/>
          <w:bCs/>
          <w:sz w:val="28"/>
          <w:szCs w:val="28"/>
          <w:lang w:val="en-US"/>
        </w:rPr>
        <w:t>pects</w:t>
      </w:r>
      <w:r w:rsidRPr="006E6FA5">
        <w:rPr>
          <w:b/>
          <w:bCs/>
          <w:sz w:val="28"/>
          <w:szCs w:val="28"/>
          <w:lang w:val="en-US"/>
        </w:rPr>
        <w:t>-</w:t>
      </w:r>
      <w:r w:rsidR="004E59C5" w:rsidRPr="006E6FA5">
        <w:rPr>
          <w:b/>
          <w:bCs/>
          <w:sz w:val="28"/>
          <w:szCs w:val="28"/>
          <w:lang w:val="en-US"/>
        </w:rPr>
        <w:t xml:space="preserve"> </w:t>
      </w:r>
    </w:p>
    <w:p w14:paraId="3A7EDF65" w14:textId="77777777" w:rsidR="00697408" w:rsidRPr="006E6FA5" w:rsidRDefault="00697408" w:rsidP="004A4C7C">
      <w:pPr>
        <w:spacing w:line="360" w:lineRule="auto"/>
        <w:jc w:val="both"/>
      </w:pPr>
    </w:p>
    <w:p w14:paraId="14921A7A" w14:textId="77777777" w:rsidR="00697408" w:rsidRPr="006E6FA5" w:rsidRDefault="00697408" w:rsidP="00216C69">
      <w:pPr>
        <w:spacing w:line="480" w:lineRule="auto"/>
        <w:jc w:val="both"/>
      </w:pPr>
      <w:r w:rsidRPr="006E6FA5">
        <w:rPr>
          <w:noProof/>
        </w:rPr>
        <mc:AlternateContent>
          <mc:Choice Requires="wps">
            <w:drawing>
              <wp:anchor distT="0" distB="0" distL="114300" distR="114300" simplePos="0" relativeHeight="251662336" behindDoc="0" locked="0" layoutInCell="1" allowOverlap="1" wp14:anchorId="0BD27383" wp14:editId="104B30BC">
                <wp:simplePos x="0" y="0"/>
                <wp:positionH relativeFrom="column">
                  <wp:posOffset>-256987</wp:posOffset>
                </wp:positionH>
                <wp:positionV relativeFrom="paragraph">
                  <wp:posOffset>116503</wp:posOffset>
                </wp:positionV>
                <wp:extent cx="6491978" cy="29135"/>
                <wp:effectExtent l="12700" t="12700" r="23495" b="22225"/>
                <wp:wrapNone/>
                <wp:docPr id="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491978" cy="29135"/>
                        </a:xfrm>
                        <a:prstGeom prst="line">
                          <a:avLst/>
                        </a:prstGeom>
                        <a:noFill/>
                        <a:ln w="19050">
                          <a:solidFill>
                            <a:sysClr val="windowText" lastClr="000000">
                              <a:lumMod val="100000"/>
                              <a:lumOff val="0"/>
                            </a:sys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8ED670F" id="Straight Connector 6"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9.15pt" to="490.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" strokeweight="1.5pt">
                <v:stroke joinstyle="miter"/>
                <o:lock v:ext="edit" shapetype="f"/>
              </v:line>
            </w:pict>
          </mc:Fallback>
        </mc:AlternateContent>
      </w:r>
    </w:p>
    <w:p w14:paraId="0B7ACE37" w14:textId="0145C117" w:rsidR="00147B2B" w:rsidRPr="006E6FA5" w:rsidRDefault="00147B2B" w:rsidP="004A4C7C">
      <w:pPr>
        <w:spacing w:line="360" w:lineRule="auto"/>
        <w:jc w:val="both"/>
      </w:pPr>
    </w:p>
    <w:p w14:paraId="5D07BB1E" w14:textId="5225DEE4" w:rsidR="00431490" w:rsidRPr="006E6FA5" w:rsidRDefault="00431490" w:rsidP="00216C69">
      <w:pPr>
        <w:spacing w:line="480" w:lineRule="auto"/>
        <w:jc w:val="both"/>
        <w:rPr>
          <w:b/>
          <w:bCs/>
        </w:rPr>
      </w:pPr>
      <w:r w:rsidRPr="006E6FA5">
        <w:rPr>
          <w:b/>
          <w:bCs/>
        </w:rPr>
        <w:t>Abstract</w:t>
      </w:r>
    </w:p>
    <w:p w14:paraId="2975F331" w14:textId="6E6CCE3E" w:rsidR="00147B2B" w:rsidRDefault="00431490" w:rsidP="00216C69">
      <w:pPr>
        <w:spacing w:line="480" w:lineRule="auto"/>
        <w:jc w:val="both"/>
      </w:pPr>
      <w:r w:rsidRPr="006E6FA5">
        <w:t xml:space="preserve">In the past decade, the European Union (EU) has heavily invested in </w:t>
      </w:r>
      <w:r w:rsidR="00E9250E" w:rsidRPr="006E6FA5">
        <w:t>the implementation of a wide range of strategies to increase the share of electricity generated from renewable sources (RES</w:t>
      </w:r>
      <w:r w:rsidR="00704526" w:rsidRPr="006E6FA5">
        <w:t>-E</w:t>
      </w:r>
      <w:r w:rsidR="00E9250E" w:rsidRPr="006E6FA5">
        <w:t>)</w:t>
      </w:r>
      <w:r w:rsidR="00C930C7" w:rsidRPr="006E6FA5">
        <w:t xml:space="preserve">. </w:t>
      </w:r>
      <w:r w:rsidR="007449CD" w:rsidRPr="006E6FA5">
        <w:t xml:space="preserve">In this sense, the </w:t>
      </w:r>
      <w:r w:rsidR="0065103A" w:rsidRPr="006E6FA5">
        <w:t xml:space="preserve">newly revised </w:t>
      </w:r>
      <w:r w:rsidR="0065103A" w:rsidRPr="006E6FA5">
        <w:rPr>
          <w:i/>
          <w:iCs/>
        </w:rPr>
        <w:t>EU </w:t>
      </w:r>
      <w:r w:rsidR="007432B3" w:rsidRPr="006E6FA5">
        <w:rPr>
          <w:i/>
          <w:iCs/>
        </w:rPr>
        <w:t>R</w:t>
      </w:r>
      <w:r w:rsidR="0065103A" w:rsidRPr="006E6FA5">
        <w:rPr>
          <w:i/>
          <w:iCs/>
        </w:rPr>
        <w:t xml:space="preserve">enewable </w:t>
      </w:r>
      <w:r w:rsidR="007432B3" w:rsidRPr="006E6FA5">
        <w:rPr>
          <w:i/>
          <w:iCs/>
        </w:rPr>
        <w:t>E</w:t>
      </w:r>
      <w:r w:rsidR="0065103A" w:rsidRPr="006E6FA5">
        <w:rPr>
          <w:i/>
          <w:iCs/>
        </w:rPr>
        <w:t>nergy Directive</w:t>
      </w:r>
      <w:r w:rsidR="0065103A" w:rsidRPr="006E6FA5">
        <w:t> (20</w:t>
      </w:r>
      <w:r w:rsidR="007432B3" w:rsidRPr="006E6FA5">
        <w:t>18</w:t>
      </w:r>
      <w:r w:rsidR="0065103A" w:rsidRPr="006E6FA5">
        <w:t>/2</w:t>
      </w:r>
      <w:r w:rsidR="007432B3" w:rsidRPr="006E6FA5">
        <w:t>001</w:t>
      </w:r>
      <w:r w:rsidR="0065103A" w:rsidRPr="006E6FA5">
        <w:t>/E</w:t>
      </w:r>
      <w:r w:rsidR="007432B3" w:rsidRPr="006E6FA5">
        <w:t>U</w:t>
      </w:r>
      <w:r w:rsidR="0065103A" w:rsidRPr="006E6FA5">
        <w:t xml:space="preserve">) </w:t>
      </w:r>
      <w:r w:rsidR="00CD4366" w:rsidRPr="006E6FA5">
        <w:t xml:space="preserve">which </w:t>
      </w:r>
      <w:r w:rsidR="007432B3" w:rsidRPr="006E6FA5">
        <w:t>entered into force</w:t>
      </w:r>
      <w:r w:rsidR="00CD4366" w:rsidRPr="006E6FA5">
        <w:t xml:space="preserve"> in December 2018</w:t>
      </w:r>
      <w:r w:rsidR="00927B9B" w:rsidRPr="006E6FA5">
        <w:t xml:space="preserve"> a</w:t>
      </w:r>
      <w:r w:rsidR="00704526" w:rsidRPr="006E6FA5">
        <w:t>s</w:t>
      </w:r>
      <w:r w:rsidR="007432B3" w:rsidRPr="006E6FA5">
        <w:t xml:space="preserve"> part of the </w:t>
      </w:r>
      <w:r w:rsidR="007432B3" w:rsidRPr="006E6FA5">
        <w:rPr>
          <w:i/>
          <w:iCs/>
        </w:rPr>
        <w:t>Clean Energy for all Europeans</w:t>
      </w:r>
      <w:r w:rsidR="002E0CAA" w:rsidRPr="006E6FA5">
        <w:rPr>
          <w:i/>
          <w:iCs/>
        </w:rPr>
        <w:t xml:space="preserve"> P</w:t>
      </w:r>
      <w:r w:rsidR="007432B3" w:rsidRPr="006E6FA5">
        <w:rPr>
          <w:i/>
          <w:iCs/>
        </w:rPr>
        <w:t>ackage</w:t>
      </w:r>
      <w:r w:rsidR="007432B3" w:rsidRPr="006E6FA5">
        <w:t>, aim</w:t>
      </w:r>
      <w:r w:rsidR="00EF325C" w:rsidRPr="006E6FA5">
        <w:t>s</w:t>
      </w:r>
      <w:r w:rsidR="007432B3" w:rsidRPr="006E6FA5">
        <w:t xml:space="preserve"> at keeping the EU a global leader in renewables</w:t>
      </w:r>
      <w:r w:rsidR="00927B9B" w:rsidRPr="006E6FA5">
        <w:t>,</w:t>
      </w:r>
      <w:r w:rsidR="00EF325C" w:rsidRPr="006E6FA5">
        <w:t xml:space="preserve"> </w:t>
      </w:r>
      <w:r w:rsidR="000B40BD" w:rsidRPr="006E6FA5">
        <w:t>help</w:t>
      </w:r>
      <w:r w:rsidR="00701C06" w:rsidRPr="006E6FA5">
        <w:t>ing</w:t>
      </w:r>
      <w:r w:rsidR="000B40BD" w:rsidRPr="006E6FA5">
        <w:t xml:space="preserve"> it</w:t>
      </w:r>
      <w:r w:rsidR="00927B9B" w:rsidRPr="006E6FA5">
        <w:t xml:space="preserve"> </w:t>
      </w:r>
      <w:r w:rsidR="007432B3" w:rsidRPr="006E6FA5">
        <w:t xml:space="preserve">meet its emissions reduction commitments under the Paris Agreement. Under its auspices, new binding renewable energy targets have been set for the Members States (MS) for 2030, </w:t>
      </w:r>
      <w:r w:rsidR="00EF325C" w:rsidRPr="006E6FA5">
        <w:t xml:space="preserve">with the requirement to </w:t>
      </w:r>
      <w:r w:rsidR="007432B3" w:rsidRPr="006E6FA5">
        <w:t>reach at least 32% of national targets</w:t>
      </w:r>
      <w:r w:rsidR="00704526" w:rsidRPr="006E6FA5">
        <w:t xml:space="preserve"> before the deadline</w:t>
      </w:r>
      <w:r w:rsidR="00542584" w:rsidRPr="006E6FA5">
        <w:t xml:space="preserve">. From this point of view, the case of Romania is an interesting </w:t>
      </w:r>
      <w:r w:rsidR="00701C06" w:rsidRPr="006E6FA5">
        <w:t>study</w:t>
      </w:r>
      <w:r w:rsidR="00542584" w:rsidRPr="006E6FA5">
        <w:t xml:space="preserve">, as the country </w:t>
      </w:r>
      <w:r w:rsidR="00704526" w:rsidRPr="006E6FA5">
        <w:t>presents</w:t>
      </w:r>
      <w:r w:rsidR="00542584" w:rsidRPr="006E6FA5">
        <w:t xml:space="preserve"> </w:t>
      </w:r>
      <w:r w:rsidR="00A56472" w:rsidRPr="006E6FA5">
        <w:t>an i</w:t>
      </w:r>
      <w:r w:rsidR="00542584" w:rsidRPr="006E6FA5">
        <w:t>mportant</w:t>
      </w:r>
      <w:r w:rsidR="00984B2E" w:rsidRPr="006E6FA5">
        <w:t xml:space="preserve"> </w:t>
      </w:r>
      <w:r w:rsidR="00A56472" w:rsidRPr="006E6FA5">
        <w:t>RES potential</w:t>
      </w:r>
      <w:r w:rsidR="00B86732" w:rsidRPr="006E6FA5">
        <w:t>, with rich and diverse sources of energy.</w:t>
      </w:r>
      <w:r w:rsidR="00542584" w:rsidRPr="006E6FA5">
        <w:t xml:space="preserve"> </w:t>
      </w:r>
    </w:p>
    <w:p w14:paraId="5F311E1A" w14:textId="77777777" w:rsidR="00827663" w:rsidRDefault="00827663" w:rsidP="00216C69">
      <w:pPr>
        <w:spacing w:line="480" w:lineRule="auto"/>
        <w:jc w:val="both"/>
      </w:pPr>
    </w:p>
    <w:p w14:paraId="6E9BE5C0" w14:textId="7A5CB5C4" w:rsidR="00827663" w:rsidRDefault="00827663" w:rsidP="00216C69">
      <w:pPr>
        <w:spacing w:line="480" w:lineRule="auto"/>
        <w:jc w:val="both"/>
      </w:pPr>
      <w:r w:rsidRPr="00827663">
        <w:rPr>
          <w:b/>
          <w:bCs/>
        </w:rPr>
        <w:t>Key words:</w:t>
      </w:r>
      <w:r>
        <w:t xml:space="preserve"> renewable energy, Romania, EU, RES, solar energy</w:t>
      </w:r>
    </w:p>
    <w:p w14:paraId="51B616BD" w14:textId="77777777" w:rsidR="00827663" w:rsidRPr="006E6FA5" w:rsidRDefault="00827663" w:rsidP="00216C69">
      <w:pPr>
        <w:spacing w:line="480" w:lineRule="auto"/>
        <w:jc w:val="both"/>
      </w:pPr>
      <w:bookmarkStart w:id="0" w:name="_GoBack"/>
      <w:bookmarkEnd w:id="0"/>
    </w:p>
    <w:p w14:paraId="650FD0A9" w14:textId="0468C51C" w:rsidR="00B86732" w:rsidRPr="006E6FA5" w:rsidRDefault="00B86732" w:rsidP="00216C69">
      <w:pPr>
        <w:spacing w:line="480" w:lineRule="auto"/>
        <w:jc w:val="both"/>
        <w:rPr>
          <w:b/>
          <w:bCs/>
        </w:rPr>
      </w:pPr>
      <w:r w:rsidRPr="006E6FA5">
        <w:rPr>
          <w:b/>
          <w:bCs/>
        </w:rPr>
        <w:t>Introduction</w:t>
      </w:r>
    </w:p>
    <w:p w14:paraId="3AEC87A5" w14:textId="78EA5FD3" w:rsidR="00AB3DF7" w:rsidRPr="006E6FA5" w:rsidRDefault="00AB3DF7" w:rsidP="00AB3DF7">
      <w:pPr>
        <w:spacing w:line="480" w:lineRule="auto"/>
        <w:jc w:val="both"/>
        <w:rPr>
          <w:lang w:val="en-US"/>
        </w:rPr>
      </w:pPr>
      <w:r w:rsidRPr="006E6FA5">
        <w:rPr>
          <w:lang w:val="en-US"/>
        </w:rPr>
        <w:t>Climate protection ha</w:t>
      </w:r>
      <w:r w:rsidR="00064326" w:rsidRPr="006E6FA5">
        <w:rPr>
          <w:lang w:val="en-US"/>
        </w:rPr>
        <w:t>s</w:t>
      </w:r>
      <w:r w:rsidRPr="006E6FA5">
        <w:rPr>
          <w:lang w:val="en-US"/>
        </w:rPr>
        <w:t xml:space="preserve"> become a burdensome issue for both political elites and citizens. As a poor environment affects </w:t>
      </w:r>
      <w:r w:rsidR="008D3C9E" w:rsidRPr="006E6FA5">
        <w:rPr>
          <w:lang w:val="en-US"/>
        </w:rPr>
        <w:t>humankind</w:t>
      </w:r>
      <w:r w:rsidRPr="006E6FA5">
        <w:rPr>
          <w:lang w:val="en-US"/>
        </w:rPr>
        <w:t xml:space="preserve"> both directly (health, food scarcity, national security) and indirectly (sustainable development and prosperity), strong</w:t>
      </w:r>
      <w:r w:rsidR="008D3C9E" w:rsidRPr="006E6FA5">
        <w:rPr>
          <w:lang w:val="en-US"/>
        </w:rPr>
        <w:t xml:space="preserve"> and </w:t>
      </w:r>
      <w:r w:rsidRPr="006E6FA5">
        <w:rPr>
          <w:lang w:val="en-US"/>
        </w:rPr>
        <w:t>transparent policies are needed to maintain the quality of air, water, soil</w:t>
      </w:r>
      <w:r w:rsidR="008D3C9E" w:rsidRPr="006E6FA5">
        <w:rPr>
          <w:lang w:val="en-US"/>
        </w:rPr>
        <w:t>, food,</w:t>
      </w:r>
      <w:r w:rsidRPr="006E6FA5">
        <w:rPr>
          <w:lang w:val="en-US"/>
        </w:rPr>
        <w:t xml:space="preserve"> and natural resources. </w:t>
      </w:r>
    </w:p>
    <w:p w14:paraId="5DE8956F" w14:textId="481EBA84" w:rsidR="00F864B5" w:rsidRPr="006E6FA5" w:rsidRDefault="00F864B5" w:rsidP="00216C69">
      <w:pPr>
        <w:spacing w:line="480" w:lineRule="auto"/>
        <w:jc w:val="both"/>
      </w:pPr>
    </w:p>
    <w:p w14:paraId="5DE630F2" w14:textId="32AF9566" w:rsidR="004C6C11" w:rsidRPr="00B07549" w:rsidRDefault="004C6C11" w:rsidP="00216C69">
      <w:pPr>
        <w:spacing w:line="480" w:lineRule="auto"/>
        <w:jc w:val="both"/>
        <w:rPr>
          <w:b/>
          <w:bCs/>
        </w:rPr>
      </w:pPr>
      <w:r w:rsidRPr="006E6FA5">
        <w:t xml:space="preserve">In this regard, this paper aims to </w:t>
      </w:r>
      <w:r w:rsidR="0044201C" w:rsidRPr="006E6FA5">
        <w:t>present</w:t>
      </w:r>
      <w:r w:rsidRPr="006E6FA5">
        <w:t xml:space="preserve"> the economic landscape</w:t>
      </w:r>
      <w:r w:rsidR="008D3C9E" w:rsidRPr="006E6FA5">
        <w:t xml:space="preserve"> of Romania</w:t>
      </w:r>
      <w:r w:rsidRPr="006E6FA5">
        <w:t xml:space="preserve"> and to address</w:t>
      </w:r>
      <w:r w:rsidR="008D3C9E" w:rsidRPr="006E6FA5">
        <w:t xml:space="preserve"> the issues</w:t>
      </w:r>
      <w:r w:rsidR="0044201C" w:rsidRPr="006E6FA5">
        <w:t xml:space="preserve"> revolving </w:t>
      </w:r>
      <w:r w:rsidR="009B1E45">
        <w:t xml:space="preserve">around </w:t>
      </w:r>
      <w:r w:rsidR="0044201C" w:rsidRPr="006E6FA5">
        <w:t xml:space="preserve">the implementation of </w:t>
      </w:r>
      <w:r w:rsidR="00BC4E31">
        <w:t xml:space="preserve">the </w:t>
      </w:r>
      <w:r w:rsidR="009B1E45">
        <w:t xml:space="preserve">EU </w:t>
      </w:r>
      <w:r w:rsidR="0044201C" w:rsidRPr="006E6FA5">
        <w:t>Directive (2018/2001/EU)</w:t>
      </w:r>
      <w:r w:rsidRPr="006E6FA5">
        <w:t xml:space="preserve">. </w:t>
      </w:r>
      <w:r w:rsidR="00BC4E31">
        <w:t>It begins with</w:t>
      </w:r>
      <w:r w:rsidRPr="006E6FA5">
        <w:t xml:space="preserve"> a </w:t>
      </w:r>
      <w:r w:rsidR="009B1E45">
        <w:t xml:space="preserve">brief overview, continuing </w:t>
      </w:r>
      <w:r w:rsidRPr="006E6FA5">
        <w:t>with the legal framework established for both the EU</w:t>
      </w:r>
      <w:r w:rsidR="0077338E" w:rsidRPr="006E6FA5">
        <w:t xml:space="preserve"> and Romania</w:t>
      </w:r>
      <w:r w:rsidRPr="006E6FA5">
        <w:t xml:space="preserve">. </w:t>
      </w:r>
      <w:r w:rsidRPr="00B07549">
        <w:t xml:space="preserve">This </w:t>
      </w:r>
      <w:r w:rsidR="009B1E45">
        <w:t>is then followed by an outline of</w:t>
      </w:r>
      <w:r w:rsidR="00B07549">
        <w:t xml:space="preserve"> Romania’s </w:t>
      </w:r>
      <w:r w:rsidR="009B1E45">
        <w:t xml:space="preserve">performance, showcasing the </w:t>
      </w:r>
      <w:r w:rsidR="00B07549">
        <w:t>c</w:t>
      </w:r>
      <w:r w:rsidR="00B07549" w:rsidRPr="00B07549">
        <w:t xml:space="preserve">ontradictory </w:t>
      </w:r>
      <w:r w:rsidR="001D12D1">
        <w:t>approaches</w:t>
      </w:r>
      <w:r w:rsidR="009B1E45">
        <w:t xml:space="preserve"> of the Executive</w:t>
      </w:r>
      <w:r w:rsidRPr="00B07549">
        <w:t xml:space="preserve">. </w:t>
      </w:r>
      <w:r w:rsidR="009B1E45">
        <w:t>Then, f</w:t>
      </w:r>
      <w:r w:rsidRPr="00B07549">
        <w:t>or a be</w:t>
      </w:r>
      <w:r w:rsidR="009B1E45">
        <w:t>tter assessment</w:t>
      </w:r>
      <w:r w:rsidRPr="00B07549">
        <w:t>,</w:t>
      </w:r>
      <w:r w:rsidR="00B07549" w:rsidRPr="00B07549">
        <w:rPr>
          <w:b/>
          <w:bCs/>
        </w:rPr>
        <w:t xml:space="preserve"> </w:t>
      </w:r>
      <w:r w:rsidR="00B07549">
        <w:t>c</w:t>
      </w:r>
      <w:r w:rsidR="00B07549" w:rsidRPr="00B07549">
        <w:t>urrent trends and outlooks</w:t>
      </w:r>
      <w:r w:rsidR="00B07549">
        <w:rPr>
          <w:b/>
          <w:bCs/>
        </w:rPr>
        <w:t xml:space="preserve"> </w:t>
      </w:r>
      <w:r w:rsidR="00BC4E31">
        <w:t>are</w:t>
      </w:r>
      <w:r w:rsidR="009B1E45">
        <w:t xml:space="preserve"> </w:t>
      </w:r>
      <w:r w:rsidR="001D12D1">
        <w:t xml:space="preserve">briefly </w:t>
      </w:r>
      <w:r w:rsidR="00B07549">
        <w:t>presented</w:t>
      </w:r>
      <w:r w:rsidRPr="00B07549">
        <w:t>, followed by a</w:t>
      </w:r>
      <w:r w:rsidR="00687D8A">
        <w:t xml:space="preserve">n observation section </w:t>
      </w:r>
      <w:r w:rsidR="009B1E45">
        <w:t>summarising</w:t>
      </w:r>
      <w:r w:rsidR="00687D8A">
        <w:t xml:space="preserve"> </w:t>
      </w:r>
      <w:r w:rsidR="005A42B0">
        <w:t>critical</w:t>
      </w:r>
      <w:r w:rsidR="00687D8A">
        <w:t xml:space="preserve"> findings</w:t>
      </w:r>
      <w:r w:rsidR="001D12D1">
        <w:t>. Lastly,</w:t>
      </w:r>
      <w:r w:rsidRPr="00B07549">
        <w:t xml:space="preserve"> </w:t>
      </w:r>
      <w:r w:rsidR="00BC4E31">
        <w:t xml:space="preserve">the conclusion </w:t>
      </w:r>
      <w:r w:rsidR="001D12D1">
        <w:t>encapsulates the main arguments and</w:t>
      </w:r>
      <w:r w:rsidR="00BC4E31">
        <w:t xml:space="preserve"> suggests an </w:t>
      </w:r>
      <w:r w:rsidRPr="00B07549">
        <w:t>agenda for further researc</w:t>
      </w:r>
      <w:r w:rsidR="00B07549">
        <w:t>h.</w:t>
      </w:r>
      <w:r w:rsidRPr="006E6FA5">
        <w:t xml:space="preserve"> </w:t>
      </w:r>
    </w:p>
    <w:p w14:paraId="55DE8F32" w14:textId="77777777" w:rsidR="001758B6" w:rsidRPr="006E6FA5" w:rsidRDefault="001758B6" w:rsidP="00216C69">
      <w:pPr>
        <w:spacing w:line="480" w:lineRule="auto"/>
        <w:jc w:val="both"/>
      </w:pPr>
    </w:p>
    <w:p w14:paraId="71CB9666" w14:textId="32BEBC77" w:rsidR="00ED2360" w:rsidRDefault="008B3381" w:rsidP="00216C69">
      <w:pPr>
        <w:spacing w:line="480" w:lineRule="auto"/>
        <w:jc w:val="both"/>
        <w:rPr>
          <w:b/>
          <w:bCs/>
        </w:rPr>
      </w:pPr>
      <w:r w:rsidRPr="006E6FA5">
        <w:rPr>
          <w:b/>
          <w:bCs/>
        </w:rPr>
        <w:t>Overview</w:t>
      </w:r>
    </w:p>
    <w:p w14:paraId="6E248593" w14:textId="15032E78" w:rsidR="00DF4782" w:rsidRDefault="00DF4782" w:rsidP="00DF4782">
      <w:pPr>
        <w:spacing w:line="480" w:lineRule="auto"/>
        <w:jc w:val="both"/>
        <w:rPr>
          <w:lang w:eastAsia="en-US"/>
        </w:rPr>
      </w:pPr>
      <w:r w:rsidRPr="006E6FA5">
        <w:t>Energy security is needed for the long-term capacity of institutions to deliver the energy-related resources and ensure state welfare (via secure supply and stable, transparent prices). Depending on its source, energy can be categorised in three main groups: fossil fuels, nuclear resources, and renewable energy sources (RES). RES-E</w:t>
      </w:r>
      <w:r w:rsidR="001D12D1">
        <w:t>lectricity</w:t>
      </w:r>
      <w:r w:rsidRPr="006E6FA5">
        <w:t xml:space="preserve"> offers energy free from greenhouse gasses (GHG) and air pollutants (0% emissions). The sources of energy coming from renewables is further divided into six categories: solar, wind, marine, hydropower, geothermal and bioenergy. In Romania, the main RES-E come from biomass, hydropower, geothermal potential, wind power, concentrated solar power (CSP), and photovoltaic energy (</w:t>
      </w:r>
      <w:r w:rsidRPr="006E6FA5">
        <w:rPr>
          <w:lang w:eastAsia="en-US"/>
        </w:rPr>
        <w:t>Cîrstea et al, 2018).</w:t>
      </w:r>
    </w:p>
    <w:p w14:paraId="5A50F06E" w14:textId="77777777" w:rsidR="00DF4782" w:rsidRPr="006E6FA5" w:rsidRDefault="00DF4782" w:rsidP="00216C69">
      <w:pPr>
        <w:spacing w:line="480" w:lineRule="auto"/>
        <w:jc w:val="both"/>
        <w:rPr>
          <w:b/>
          <w:bCs/>
        </w:rPr>
      </w:pPr>
    </w:p>
    <w:p w14:paraId="7E8E71D3" w14:textId="4FF7A6A6" w:rsidR="00BF2F34" w:rsidRPr="006E6FA5" w:rsidRDefault="000A4381" w:rsidP="002C1C45">
      <w:pPr>
        <w:spacing w:line="480" w:lineRule="auto"/>
        <w:jc w:val="both"/>
      </w:pPr>
      <w:r w:rsidRPr="006E6FA5">
        <w:t xml:space="preserve">Member of the EU since </w:t>
      </w:r>
      <w:r w:rsidR="00705295">
        <w:t>the 1</w:t>
      </w:r>
      <w:r w:rsidR="00705295" w:rsidRPr="00705295">
        <w:rPr>
          <w:vertAlign w:val="superscript"/>
        </w:rPr>
        <w:t>st</w:t>
      </w:r>
      <w:r w:rsidR="00705295">
        <w:t xml:space="preserve"> of </w:t>
      </w:r>
      <w:r w:rsidRPr="006E6FA5">
        <w:t xml:space="preserve">January 2007, </w:t>
      </w:r>
      <w:r w:rsidR="00064326" w:rsidRPr="006E6FA5">
        <w:t xml:space="preserve">Romania was the first MS to achieve its EU targets </w:t>
      </w:r>
      <w:r w:rsidR="001D12D1">
        <w:t xml:space="preserve">on energy consumption </w:t>
      </w:r>
      <w:r w:rsidR="00064326" w:rsidRPr="006E6FA5">
        <w:t>by increasing its share of renewables in the generation mix to over 20%</w:t>
      </w:r>
      <w:r w:rsidR="00665BD4" w:rsidRPr="006E6FA5">
        <w:t xml:space="preserve">. </w:t>
      </w:r>
      <w:r w:rsidR="00180318" w:rsidRPr="006E6FA5">
        <w:t>The country has one of the most balanced electricity mixes in the EU</w:t>
      </w:r>
      <w:r w:rsidR="00854A51" w:rsidRPr="006E6FA5">
        <w:t xml:space="preserve"> (European Union, 2019)</w:t>
      </w:r>
      <w:r w:rsidR="00180318" w:rsidRPr="006E6FA5">
        <w:t>. Hydropower, natural gas, coal, nuclear energy</w:t>
      </w:r>
      <w:r w:rsidR="001D12D1">
        <w:t>,</w:t>
      </w:r>
      <w:r w:rsidR="00180318" w:rsidRPr="006E6FA5">
        <w:t xml:space="preserve"> and wind power hav</w:t>
      </w:r>
      <w:r w:rsidR="00A028CC" w:rsidRPr="006E6FA5">
        <w:t>e</w:t>
      </w:r>
      <w:r w:rsidR="00180318" w:rsidRPr="006E6FA5">
        <w:t xml:space="preserve"> comparable </w:t>
      </w:r>
      <w:r w:rsidR="00180318" w:rsidRPr="006E6FA5">
        <w:lastRenderedPageBreak/>
        <w:t>shares of capacity and power generation.</w:t>
      </w:r>
      <w:r w:rsidR="00665BD4" w:rsidRPr="006E6FA5">
        <w:t xml:space="preserve"> </w:t>
      </w:r>
      <w:r w:rsidR="001D12D1">
        <w:t>The country</w:t>
      </w:r>
      <w:r w:rsidR="00A028CC" w:rsidRPr="006E6FA5">
        <w:t xml:space="preserve"> owns rich and varied renewable energy resources</w:t>
      </w:r>
      <w:r w:rsidR="00E820DE" w:rsidRPr="006E6FA5">
        <w:t>. Its</w:t>
      </w:r>
      <w:r w:rsidR="00665BD4" w:rsidRPr="006E6FA5">
        <w:t xml:space="preserve"> electricity generated from renewable sources is mostly promoted based on a quota system (Res Legal Europe, 2019). In 201</w:t>
      </w:r>
      <w:r w:rsidR="00853F4B">
        <w:t>3</w:t>
      </w:r>
      <w:r w:rsidR="00665BD4" w:rsidRPr="006E6FA5">
        <w:t xml:space="preserve">, it was the first MS to achieve its EU targets with regards to the share of renewables, long before the 2020 deadline. Its RES is diverse and abundant, ranging from </w:t>
      </w:r>
      <w:r w:rsidR="001D12D1">
        <w:t>biomass</w:t>
      </w:r>
      <w:r w:rsidR="00665BD4" w:rsidRPr="006E6FA5">
        <w:t xml:space="preserve"> and geothermal potential to concentrated solar power (CSP) and photovoltaic energy. These are spread throughout the country, with a great potential of wide</w:t>
      </w:r>
      <w:r w:rsidR="00705295">
        <w:t>-</w:t>
      </w:r>
      <w:r w:rsidR="00665BD4" w:rsidRPr="006E6FA5">
        <w:t>scale exploitation once the performance-price technological ratio is improved (</w:t>
      </w:r>
      <w:r w:rsidR="00665BD4" w:rsidRPr="006E6FA5">
        <w:rPr>
          <w:lang w:eastAsia="en-US"/>
        </w:rPr>
        <w:t>Cîrstea et al, 2018)</w:t>
      </w:r>
      <w:r w:rsidR="00665BD4" w:rsidRPr="006E6FA5">
        <w:t xml:space="preserve">.  </w:t>
      </w:r>
    </w:p>
    <w:p w14:paraId="39B1B585" w14:textId="77777777" w:rsidR="00BF2F34" w:rsidRPr="006E6FA5" w:rsidRDefault="00BF2F34" w:rsidP="00BF2F34">
      <w:pPr>
        <w:spacing w:line="480" w:lineRule="auto"/>
        <w:jc w:val="center"/>
      </w:pPr>
      <w:r w:rsidRPr="006E6FA5">
        <w:rPr>
          <w:noProof/>
        </w:rPr>
        <w:drawing>
          <wp:inline distT="0" distB="0" distL="0" distR="0" wp14:anchorId="7E78FFD4" wp14:editId="2BF1ABDC">
            <wp:extent cx="5385017" cy="2305050"/>
            <wp:effectExtent l="0" t="0" r="6350" b="0"/>
            <wp:docPr id="10" name="Picture 7">
              <a:extLst xmlns:a="http://schemas.openxmlformats.org/drawingml/2006/main">
                <a:ext uri="{FF2B5EF4-FFF2-40B4-BE49-F238E27FC236}">
                  <a16:creationId xmlns:a16="http://schemas.microsoft.com/office/drawing/2014/main" id="{458B39C9-FB58-7242-92F0-D1C01ABD6F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458B39C9-FB58-7242-92F0-D1C01ABD6F5D}"/>
                        </a:ext>
                      </a:extLst>
                    </pic:cNvPr>
                    <pic:cNvPicPr>
                      <a:picLocks noChangeAspect="1"/>
                    </pic:cNvPicPr>
                  </pic:nvPicPr>
                  <pic:blipFill>
                    <a:blip r:embed="rId8"/>
                    <a:stretch>
                      <a:fillRect/>
                    </a:stretch>
                  </pic:blipFill>
                  <pic:spPr>
                    <a:xfrm>
                      <a:off x="0" y="0"/>
                      <a:ext cx="5481847" cy="2346498"/>
                    </a:xfrm>
                    <a:prstGeom prst="rect">
                      <a:avLst/>
                    </a:prstGeom>
                  </pic:spPr>
                </pic:pic>
              </a:graphicData>
            </a:graphic>
          </wp:inline>
        </w:drawing>
      </w:r>
    </w:p>
    <w:p w14:paraId="4B966A0D" w14:textId="3B8B8DFF" w:rsidR="00485824" w:rsidRPr="006E6FA5" w:rsidRDefault="002C1C45" w:rsidP="002C174D">
      <w:pPr>
        <w:spacing w:line="480" w:lineRule="auto"/>
        <w:jc w:val="center"/>
        <w:rPr>
          <w:lang w:eastAsia="en-US"/>
        </w:rPr>
      </w:pPr>
      <w:r w:rsidRPr="006E6FA5">
        <w:rPr>
          <w:b/>
          <w:bCs/>
        </w:rPr>
        <w:t>Figure 1</w:t>
      </w:r>
      <w:r w:rsidRPr="006E6FA5">
        <w:t xml:space="preserve"> Structure of </w:t>
      </w:r>
      <w:r w:rsidR="00705295">
        <w:t xml:space="preserve">the </w:t>
      </w:r>
      <w:r w:rsidRPr="006E6FA5">
        <w:t>renewable energy mix in Romania (</w:t>
      </w:r>
      <w:r w:rsidRPr="006E6FA5">
        <w:rPr>
          <w:lang w:eastAsia="en-US"/>
        </w:rPr>
        <w:t>Cîrstea et all, 2018)</w:t>
      </w:r>
    </w:p>
    <w:p w14:paraId="3CD6F752" w14:textId="77777777" w:rsidR="002C174D" w:rsidRPr="006E6FA5" w:rsidRDefault="002C174D" w:rsidP="002C174D">
      <w:pPr>
        <w:spacing w:line="480" w:lineRule="auto"/>
        <w:jc w:val="center"/>
        <w:rPr>
          <w:lang w:eastAsia="en-US"/>
        </w:rPr>
      </w:pPr>
    </w:p>
    <w:p w14:paraId="13BE3681" w14:textId="0D6D4212" w:rsidR="002C174D" w:rsidRPr="006E6FA5" w:rsidRDefault="002C1C45" w:rsidP="00485824">
      <w:pPr>
        <w:spacing w:line="480" w:lineRule="auto"/>
        <w:jc w:val="both"/>
        <w:rPr>
          <w:lang w:eastAsia="en-US"/>
        </w:rPr>
      </w:pPr>
      <w:r w:rsidRPr="006E6FA5">
        <w:rPr>
          <w:lang w:eastAsia="en-US"/>
        </w:rPr>
        <w:t>As Figure 1 reveals,</w:t>
      </w:r>
      <w:r w:rsidR="00485824" w:rsidRPr="006E6FA5">
        <w:rPr>
          <w:lang w:eastAsia="en-US"/>
        </w:rPr>
        <w:t xml:space="preserve"> in the studies conducted in 2015,</w:t>
      </w:r>
      <w:r w:rsidRPr="006E6FA5">
        <w:rPr>
          <w:lang w:eastAsia="en-US"/>
        </w:rPr>
        <w:t xml:space="preserve"> biomass </w:t>
      </w:r>
      <w:r w:rsidR="00270B58" w:rsidRPr="006E6FA5">
        <w:rPr>
          <w:lang w:eastAsia="en-US"/>
        </w:rPr>
        <w:t>wa</w:t>
      </w:r>
      <w:r w:rsidRPr="006E6FA5">
        <w:rPr>
          <w:lang w:eastAsia="en-US"/>
        </w:rPr>
        <w:t xml:space="preserve">s the most important contributor in the </w:t>
      </w:r>
      <w:r w:rsidR="00270B58" w:rsidRPr="006E6FA5">
        <w:rPr>
          <w:lang w:eastAsia="en-US"/>
        </w:rPr>
        <w:t xml:space="preserve">RES </w:t>
      </w:r>
      <w:r w:rsidRPr="006E6FA5">
        <w:rPr>
          <w:lang w:eastAsia="en-US"/>
        </w:rPr>
        <w:t xml:space="preserve">mix in </w:t>
      </w:r>
      <w:r w:rsidR="00270B58" w:rsidRPr="006E6FA5">
        <w:rPr>
          <w:lang w:eastAsia="en-US"/>
        </w:rPr>
        <w:t>Romania</w:t>
      </w:r>
      <w:r w:rsidRPr="006E6FA5">
        <w:rPr>
          <w:lang w:eastAsia="en-US"/>
        </w:rPr>
        <w:t xml:space="preserve">, with a share of 63.9%. </w:t>
      </w:r>
      <w:r w:rsidR="00270B58" w:rsidRPr="006E6FA5">
        <w:rPr>
          <w:lang w:eastAsia="en-US"/>
        </w:rPr>
        <w:t>Second place was the hydropower</w:t>
      </w:r>
      <w:r w:rsidR="001D12D1">
        <w:rPr>
          <w:lang w:eastAsia="en-US"/>
        </w:rPr>
        <w:t xml:space="preserve"> sector</w:t>
      </w:r>
      <w:r w:rsidR="00270B58" w:rsidRPr="006E6FA5">
        <w:rPr>
          <w:lang w:eastAsia="en-US"/>
        </w:rPr>
        <w:t xml:space="preserve">, producing approximately 1/3 </w:t>
      </w:r>
      <w:r w:rsidR="00485824" w:rsidRPr="006E6FA5">
        <w:rPr>
          <w:lang w:eastAsia="en-US"/>
        </w:rPr>
        <w:t>(23%) of energy, followed by</w:t>
      </w:r>
      <w:r w:rsidR="001D12D1">
        <w:rPr>
          <w:lang w:eastAsia="en-US"/>
        </w:rPr>
        <w:t xml:space="preserve"> the</w:t>
      </w:r>
      <w:r w:rsidR="00485824" w:rsidRPr="006E6FA5">
        <w:rPr>
          <w:lang w:eastAsia="en-US"/>
        </w:rPr>
        <w:t xml:space="preserve"> wind power</w:t>
      </w:r>
      <w:r w:rsidR="008D547E" w:rsidRPr="006E6FA5">
        <w:rPr>
          <w:lang w:eastAsia="en-US"/>
        </w:rPr>
        <w:t xml:space="preserve"> and photovoltaic sectors </w:t>
      </w:r>
      <w:r w:rsidR="008D547E" w:rsidRPr="006E6FA5">
        <w:t>(</w:t>
      </w:r>
      <w:r w:rsidR="008D547E" w:rsidRPr="006E6FA5">
        <w:rPr>
          <w:lang w:eastAsia="en-US"/>
        </w:rPr>
        <w:t xml:space="preserve">Cîrstea et al, 2018). </w:t>
      </w:r>
    </w:p>
    <w:p w14:paraId="53C8695E" w14:textId="7BC4A3E3" w:rsidR="002C1C45" w:rsidRPr="006E6FA5" w:rsidRDefault="00307F09" w:rsidP="00307F09">
      <w:pPr>
        <w:spacing w:line="480" w:lineRule="auto"/>
        <w:jc w:val="center"/>
      </w:pPr>
      <w:r w:rsidRPr="006E6FA5">
        <w:rPr>
          <w:noProof/>
        </w:rPr>
        <w:lastRenderedPageBreak/>
        <w:drawing>
          <wp:inline distT="0" distB="0" distL="0" distR="0" wp14:anchorId="41D03B98" wp14:editId="70B2DF92">
            <wp:extent cx="3307759" cy="219075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35803" cy="2209324"/>
                    </a:xfrm>
                    <a:prstGeom prst="rect">
                      <a:avLst/>
                    </a:prstGeom>
                  </pic:spPr>
                </pic:pic>
              </a:graphicData>
            </a:graphic>
          </wp:inline>
        </w:drawing>
      </w:r>
    </w:p>
    <w:p w14:paraId="322E9D06" w14:textId="0C3AD90C" w:rsidR="00A028CC" w:rsidRPr="006E6FA5" w:rsidRDefault="00307F09" w:rsidP="00121B65">
      <w:pPr>
        <w:spacing w:line="480" w:lineRule="auto"/>
        <w:jc w:val="center"/>
        <w:rPr>
          <w:lang w:eastAsia="en-US"/>
        </w:rPr>
      </w:pPr>
      <w:r w:rsidRPr="006E6FA5">
        <w:rPr>
          <w:b/>
          <w:bCs/>
        </w:rPr>
        <w:t>Figure 2</w:t>
      </w:r>
      <w:r w:rsidRPr="006E6FA5">
        <w:t xml:space="preserve"> Structure of primary energy mix in 2015 and 2030, based on estimations from ANRE</w:t>
      </w:r>
      <w:r w:rsidR="00121B65" w:rsidRPr="006E6FA5">
        <w:t xml:space="preserve"> (</w:t>
      </w:r>
      <w:r w:rsidR="00121B65" w:rsidRPr="006E6FA5">
        <w:rPr>
          <w:lang w:eastAsia="en-US"/>
        </w:rPr>
        <w:t>Cîrstea et al, 2018)</w:t>
      </w:r>
    </w:p>
    <w:p w14:paraId="09E59540" w14:textId="3407EA1E" w:rsidR="00121B65" w:rsidRPr="006E6FA5" w:rsidRDefault="00121B65" w:rsidP="00121B65">
      <w:pPr>
        <w:spacing w:line="480" w:lineRule="auto"/>
        <w:jc w:val="center"/>
        <w:rPr>
          <w:lang w:eastAsia="en-US"/>
        </w:rPr>
      </w:pPr>
    </w:p>
    <w:p w14:paraId="74E63D86" w14:textId="717B4DB7" w:rsidR="00B64E86" w:rsidRPr="006E6FA5" w:rsidRDefault="004B676D" w:rsidP="00180318">
      <w:pPr>
        <w:spacing w:line="480" w:lineRule="auto"/>
        <w:jc w:val="both"/>
      </w:pPr>
      <w:r w:rsidRPr="006E6FA5">
        <w:rPr>
          <w:lang w:eastAsia="en-US"/>
        </w:rPr>
        <w:t>As seen in Figure 2, i</w:t>
      </w:r>
      <w:r w:rsidR="00D5429D" w:rsidRPr="006E6FA5">
        <w:rPr>
          <w:lang w:eastAsia="en-US"/>
        </w:rPr>
        <w:t xml:space="preserve">n 2015, </w:t>
      </w:r>
      <w:r w:rsidR="00121B65" w:rsidRPr="006E6FA5">
        <w:rPr>
          <w:lang w:eastAsia="en-US"/>
        </w:rPr>
        <w:t>the main energy resource,</w:t>
      </w:r>
      <w:r w:rsidR="00D5429D" w:rsidRPr="006E6FA5">
        <w:rPr>
          <w:lang w:eastAsia="en-US"/>
        </w:rPr>
        <w:t xml:space="preserve"> natural gas,</w:t>
      </w:r>
      <w:r w:rsidR="00121B65" w:rsidRPr="006E6FA5">
        <w:rPr>
          <w:lang w:eastAsia="en-US"/>
        </w:rPr>
        <w:t xml:space="preserve"> had a share of 29% (111 </w:t>
      </w:r>
      <w:proofErr w:type="spellStart"/>
      <w:r w:rsidR="00121B65" w:rsidRPr="006E6FA5">
        <w:rPr>
          <w:lang w:eastAsia="en-US"/>
        </w:rPr>
        <w:t>TWh</w:t>
      </w:r>
      <w:proofErr w:type="spellEnd"/>
      <w:r w:rsidR="00121B65" w:rsidRPr="006E6FA5">
        <w:rPr>
          <w:lang w:eastAsia="en-US"/>
        </w:rPr>
        <w:t>)</w:t>
      </w:r>
      <w:r w:rsidR="00D5429D" w:rsidRPr="006E6FA5">
        <w:rPr>
          <w:rFonts w:eastAsiaTheme="minorHAnsi"/>
          <w:sz w:val="20"/>
          <w:szCs w:val="20"/>
          <w:lang w:eastAsia="en-US"/>
        </w:rPr>
        <w:t xml:space="preserve"> </w:t>
      </w:r>
      <w:r w:rsidR="00D5429D" w:rsidRPr="006E6FA5">
        <w:rPr>
          <w:lang w:eastAsia="en-US"/>
        </w:rPr>
        <w:t>in the primary</w:t>
      </w:r>
      <w:r w:rsidRPr="006E6FA5">
        <w:rPr>
          <w:lang w:eastAsia="en-US"/>
        </w:rPr>
        <w:t xml:space="preserve"> </w:t>
      </w:r>
      <w:r w:rsidR="00D5429D" w:rsidRPr="006E6FA5">
        <w:rPr>
          <w:lang w:eastAsia="en-US"/>
        </w:rPr>
        <w:t>energy</w:t>
      </w:r>
      <w:r w:rsidRPr="006E6FA5">
        <w:rPr>
          <w:lang w:eastAsia="en-US"/>
        </w:rPr>
        <w:t xml:space="preserve"> mix</w:t>
      </w:r>
      <w:r w:rsidR="00D5429D" w:rsidRPr="006E6FA5">
        <w:rPr>
          <w:lang w:eastAsia="en-US"/>
        </w:rPr>
        <w:t>, followed by crude oil</w:t>
      </w:r>
      <w:r w:rsidRPr="006E6FA5">
        <w:rPr>
          <w:lang w:eastAsia="en-US"/>
        </w:rPr>
        <w:t xml:space="preserve">, </w:t>
      </w:r>
      <w:r w:rsidR="00D5429D" w:rsidRPr="006E6FA5">
        <w:rPr>
          <w:lang w:eastAsia="en-US"/>
        </w:rPr>
        <w:t>26%</w:t>
      </w:r>
      <w:r w:rsidRPr="006E6FA5">
        <w:rPr>
          <w:lang w:eastAsia="en-US"/>
        </w:rPr>
        <w:t xml:space="preserve"> (</w:t>
      </w:r>
      <w:r w:rsidR="00D5429D" w:rsidRPr="006E6FA5">
        <w:rPr>
          <w:lang w:eastAsia="en-US"/>
        </w:rPr>
        <w:t xml:space="preserve">101 </w:t>
      </w:r>
      <w:proofErr w:type="spellStart"/>
      <w:r w:rsidR="00D5429D" w:rsidRPr="006E6FA5">
        <w:rPr>
          <w:lang w:eastAsia="en-US"/>
        </w:rPr>
        <w:t>TWh</w:t>
      </w:r>
      <w:proofErr w:type="spellEnd"/>
      <w:r w:rsidR="00D5429D" w:rsidRPr="006E6FA5">
        <w:rPr>
          <w:lang w:eastAsia="en-US"/>
        </w:rPr>
        <w:t>), and RES (</w:t>
      </w:r>
      <w:r w:rsidRPr="006E6FA5">
        <w:rPr>
          <w:lang w:eastAsia="en-US"/>
        </w:rPr>
        <w:t>19%</w:t>
      </w:r>
      <w:r w:rsidR="00D5429D" w:rsidRPr="006E6FA5">
        <w:rPr>
          <w:lang w:eastAsia="en-US"/>
        </w:rPr>
        <w:t>)</w:t>
      </w:r>
      <w:r w:rsidRPr="006E6FA5">
        <w:rPr>
          <w:lang w:eastAsia="en-US"/>
        </w:rPr>
        <w:t>.</w:t>
      </w:r>
      <w:r w:rsidR="005D58FB" w:rsidRPr="006E6FA5">
        <w:rPr>
          <w:lang w:eastAsia="en-US"/>
        </w:rPr>
        <w:t xml:space="preserve"> </w:t>
      </w:r>
      <w:r w:rsidR="00180318" w:rsidRPr="006E6FA5">
        <w:t xml:space="preserve">Apart from the wind power, all the other </w:t>
      </w:r>
      <w:r w:rsidR="005D58FB" w:rsidRPr="006E6FA5">
        <w:t xml:space="preserve">sectors </w:t>
      </w:r>
      <w:r w:rsidR="00180318" w:rsidRPr="006E6FA5">
        <w:t xml:space="preserve">are rather old (with units of over 50MW having </w:t>
      </w:r>
      <w:r w:rsidR="005D58FB" w:rsidRPr="006E6FA5">
        <w:t xml:space="preserve">an </w:t>
      </w:r>
      <w:r w:rsidR="00180318" w:rsidRPr="006E6FA5">
        <w:t>average age of 39 years</w:t>
      </w:r>
      <w:r w:rsidR="005D58FB" w:rsidRPr="006E6FA5">
        <w:t>:</w:t>
      </w:r>
      <w:r w:rsidR="00180318" w:rsidRPr="006E6FA5">
        <w:t xml:space="preserve"> 40 years for coal, 18.5 for nuclear, 31 for hydropower, and 47 for gas). Despite the installed capacity being o</w:t>
      </w:r>
      <w:r w:rsidR="005D58FB" w:rsidRPr="006E6FA5">
        <w:t>f</w:t>
      </w:r>
      <w:r w:rsidR="00180318" w:rsidRPr="006E6FA5">
        <w:t xml:space="preserve"> 22GW, the average delivering system</w:t>
      </w:r>
      <w:r w:rsidR="005D58FB" w:rsidRPr="006E6FA5">
        <w:t>s</w:t>
      </w:r>
      <w:r w:rsidR="00180318" w:rsidRPr="006E6FA5">
        <w:t xml:space="preserve"> only </w:t>
      </w:r>
      <w:r w:rsidR="005D58FB" w:rsidRPr="006E6FA5">
        <w:t>reach</w:t>
      </w:r>
      <w:r w:rsidR="00180318" w:rsidRPr="006E6FA5">
        <w:t xml:space="preserve"> 7GW</w:t>
      </w:r>
      <w:r w:rsidR="000209C2" w:rsidRPr="006E6FA5">
        <w:t xml:space="preserve"> (</w:t>
      </w:r>
      <w:r w:rsidR="000209C2" w:rsidRPr="006E6FA5">
        <w:rPr>
          <w:lang w:eastAsia="en-US"/>
        </w:rPr>
        <w:t>Cîrstea et al, 2018)</w:t>
      </w:r>
      <w:r w:rsidR="00180318" w:rsidRPr="006E6FA5">
        <w:t>. This is because 98% of coal units and 73% of natural gas units are state</w:t>
      </w:r>
      <w:r w:rsidR="00705295">
        <w:t>-</w:t>
      </w:r>
      <w:r w:rsidR="00180318" w:rsidRPr="006E6FA5">
        <w:t xml:space="preserve">owned via the Ministry of Energy. The Ministry’s top planned units are of 1000MW on hydropower, 400MW on natural gas, 1400 MW </w:t>
      </w:r>
      <w:r w:rsidR="00CB3C37" w:rsidRPr="006E6FA5">
        <w:t xml:space="preserve">on </w:t>
      </w:r>
      <w:r w:rsidR="00180318" w:rsidRPr="006E6FA5">
        <w:t xml:space="preserve">nuclear power, and 600 MW </w:t>
      </w:r>
      <w:r w:rsidR="00CB3C37" w:rsidRPr="006E6FA5">
        <w:t xml:space="preserve">on </w:t>
      </w:r>
      <w:r w:rsidR="00180318" w:rsidRPr="006E6FA5">
        <w:t xml:space="preserve">coal units. Such </w:t>
      </w:r>
      <w:r w:rsidR="00CB3C37" w:rsidRPr="006E6FA5">
        <w:t xml:space="preserve">laborious </w:t>
      </w:r>
      <w:r w:rsidR="00180318" w:rsidRPr="006E6FA5">
        <w:t>plans hinder the promotion of alternative energy source</w:t>
      </w:r>
      <w:r w:rsidR="00CB3C37" w:rsidRPr="006E6FA5">
        <w:t>s</w:t>
      </w:r>
      <w:r w:rsidR="00180318" w:rsidRPr="006E6FA5">
        <w:t>, such as RES, and endorse risky investment</w:t>
      </w:r>
      <w:r w:rsidR="00CB3C37" w:rsidRPr="006E6FA5">
        <w:t>s</w:t>
      </w:r>
      <w:r w:rsidR="00180318" w:rsidRPr="006E6FA5">
        <w:t xml:space="preserve"> in an infrastructure that </w:t>
      </w:r>
      <w:r w:rsidR="00CB3C37" w:rsidRPr="006E6FA5">
        <w:t>already</w:t>
      </w:r>
      <w:r w:rsidR="00180318" w:rsidRPr="006E6FA5">
        <w:t xml:space="preserve"> becomes uneconomically to</w:t>
      </w:r>
      <w:r w:rsidR="00B64E86" w:rsidRPr="006E6FA5">
        <w:t xml:space="preserve"> </w:t>
      </w:r>
      <w:r w:rsidR="001D12D1">
        <w:t>perform</w:t>
      </w:r>
      <w:r w:rsidR="00CB3C37" w:rsidRPr="006E6FA5">
        <w:t xml:space="preserve"> in the long run</w:t>
      </w:r>
      <w:r w:rsidR="00B64E86" w:rsidRPr="006E6FA5">
        <w:t xml:space="preserve"> </w:t>
      </w:r>
      <w:r w:rsidR="00B64E86" w:rsidRPr="006E6FA5">
        <w:rPr>
          <w:lang w:val="en-US"/>
        </w:rPr>
        <w:t>(Bankwatch Network, 2019).</w:t>
      </w:r>
    </w:p>
    <w:p w14:paraId="30301403" w14:textId="3F7C75BB" w:rsidR="008B3381" w:rsidRPr="006E6FA5" w:rsidRDefault="008B3381" w:rsidP="00216C69">
      <w:pPr>
        <w:spacing w:line="480" w:lineRule="auto"/>
        <w:jc w:val="both"/>
        <w:rPr>
          <w:b/>
          <w:bCs/>
        </w:rPr>
      </w:pPr>
    </w:p>
    <w:p w14:paraId="2360A994" w14:textId="0C844446" w:rsidR="00FD7C61" w:rsidRPr="006E6FA5" w:rsidRDefault="00FD7C61" w:rsidP="00FD7C61">
      <w:pPr>
        <w:spacing w:line="480" w:lineRule="auto"/>
        <w:jc w:val="both"/>
      </w:pPr>
      <w:r w:rsidRPr="006E6FA5">
        <w:rPr>
          <w:lang w:val="en-US"/>
        </w:rPr>
        <w:t>The E</w:t>
      </w:r>
      <w:r w:rsidR="00AF4253" w:rsidRPr="006E6FA5">
        <w:rPr>
          <w:lang w:val="en-US"/>
        </w:rPr>
        <w:t xml:space="preserve">uropean </w:t>
      </w:r>
      <w:r w:rsidRPr="006E6FA5">
        <w:rPr>
          <w:lang w:val="en-US"/>
        </w:rPr>
        <w:t>C</w:t>
      </w:r>
      <w:r w:rsidR="00AF4253" w:rsidRPr="006E6FA5">
        <w:rPr>
          <w:lang w:val="en-US"/>
        </w:rPr>
        <w:t>ommission (EC)</w:t>
      </w:r>
      <w:r w:rsidRPr="006E6FA5">
        <w:rPr>
          <w:lang w:val="en-US"/>
        </w:rPr>
        <w:t xml:space="preserve"> set an overall target of 32% for the Union (shares of energy derived from RES in the total GNE consumption), yet in its June 2017 Evaluation Report, in accordance with Romania’s National Energy and Climate Plan (NECP), it stipulated that Romania should </w:t>
      </w:r>
      <w:r w:rsidRPr="006E6FA5">
        <w:t xml:space="preserve">increase its renewable energy target from 24% in 2020 to a minimum of 34% </w:t>
      </w:r>
      <w:r w:rsidRPr="006E6FA5">
        <w:lastRenderedPageBreak/>
        <w:t>in 2030. This</w:t>
      </w:r>
      <w:r w:rsidR="007D4194">
        <w:t xml:space="preserve"> was</w:t>
      </w:r>
      <w:r w:rsidRPr="006E6FA5">
        <w:t xml:space="preserve"> far above the national </w:t>
      </w:r>
      <w:r w:rsidR="00741749" w:rsidRPr="006E6FA5">
        <w:t xml:space="preserve">target proposed by Romania, </w:t>
      </w:r>
      <w:r w:rsidRPr="006E6FA5">
        <w:t>of</w:t>
      </w:r>
      <w:r w:rsidR="00741749" w:rsidRPr="006E6FA5">
        <w:t xml:space="preserve"> only</w:t>
      </w:r>
      <w:r w:rsidRPr="006E6FA5">
        <w:t xml:space="preserve"> 27.9%.</w:t>
      </w:r>
      <w:r w:rsidRPr="006E6FA5">
        <w:rPr>
          <w:lang w:val="en-US"/>
        </w:rPr>
        <w:t xml:space="preserve"> The </w:t>
      </w:r>
      <w:r w:rsidRPr="006E6FA5">
        <w:t xml:space="preserve">final NECPs for 2021-2030 are </w:t>
      </w:r>
      <w:r w:rsidR="007D4194">
        <w:t xml:space="preserve">still drafted, and are </w:t>
      </w:r>
      <w:r w:rsidRPr="006E6FA5">
        <w:t>due to submission until the end of 2019 (Romania-Insider, 2019).</w:t>
      </w:r>
    </w:p>
    <w:p w14:paraId="79D506F0" w14:textId="77777777" w:rsidR="001758B6" w:rsidRPr="006E6FA5" w:rsidRDefault="001758B6" w:rsidP="00216C69">
      <w:pPr>
        <w:spacing w:line="480" w:lineRule="auto"/>
        <w:jc w:val="both"/>
        <w:rPr>
          <w:b/>
          <w:bCs/>
        </w:rPr>
      </w:pPr>
    </w:p>
    <w:p w14:paraId="6C1711FE" w14:textId="64B67068" w:rsidR="00412F4B" w:rsidRPr="006E6FA5" w:rsidRDefault="00412F4B" w:rsidP="00216C69">
      <w:pPr>
        <w:spacing w:line="480" w:lineRule="auto"/>
        <w:jc w:val="both"/>
        <w:rPr>
          <w:b/>
          <w:bCs/>
        </w:rPr>
      </w:pPr>
      <w:r w:rsidRPr="006E6FA5">
        <w:rPr>
          <w:b/>
          <w:bCs/>
        </w:rPr>
        <w:t xml:space="preserve">EU </w:t>
      </w:r>
      <w:r w:rsidR="0032405D" w:rsidRPr="006E6FA5">
        <w:rPr>
          <w:b/>
          <w:bCs/>
        </w:rPr>
        <w:t xml:space="preserve">Legislation </w:t>
      </w:r>
    </w:p>
    <w:p w14:paraId="0C81016D" w14:textId="13FC56D6" w:rsidR="001758B6" w:rsidRPr="006E6FA5" w:rsidRDefault="001758B6" w:rsidP="001758B6">
      <w:pPr>
        <w:spacing w:line="480" w:lineRule="auto"/>
        <w:jc w:val="both"/>
      </w:pPr>
      <w:r w:rsidRPr="006E6FA5">
        <w:t xml:space="preserve">The EU’s original </w:t>
      </w:r>
      <w:r w:rsidR="00FC406C" w:rsidRPr="006E6FA5">
        <w:t>R</w:t>
      </w:r>
      <w:r w:rsidRPr="006E6FA5">
        <w:t xml:space="preserve">enewable </w:t>
      </w:r>
      <w:r w:rsidR="00FC406C" w:rsidRPr="006E6FA5">
        <w:t>E</w:t>
      </w:r>
      <w:r w:rsidRPr="006E6FA5">
        <w:t xml:space="preserve">nergy </w:t>
      </w:r>
      <w:r w:rsidR="00FC406C" w:rsidRPr="006E6FA5">
        <w:t>D</w:t>
      </w:r>
      <w:r w:rsidRPr="006E6FA5">
        <w:t xml:space="preserve">irective (2009/28/EC) enacted a policy for the production and promotion of energy coming from renewable sources within the Union. It required the EU to fulfil at least 20% of its total energy needs from renewables by 2020. Although the attainment </w:t>
      </w:r>
      <w:r w:rsidR="0017432F">
        <w:t>should</w:t>
      </w:r>
      <w:r w:rsidRPr="006E6FA5">
        <w:t xml:space="preserve"> be done via individual national targets, all MS had to ensure that at least 10% of their transport fuels came from renewables by 2020 (European Commission, 2019).</w:t>
      </w:r>
      <w:r w:rsidR="008C6D57" w:rsidRPr="006E6FA5">
        <w:t xml:space="preserve"> </w:t>
      </w:r>
      <w:r w:rsidRPr="006E6FA5">
        <w:t xml:space="preserve">As of December 2018, the EU’s Directive (2009/28/EC) has been revised. The newly established </w:t>
      </w:r>
      <w:r w:rsidRPr="006E6FA5">
        <w:rPr>
          <w:i/>
          <w:iCs/>
        </w:rPr>
        <w:t>Renewable Energy Directive (2018/2001/EU)</w:t>
      </w:r>
      <w:r w:rsidRPr="006E6FA5">
        <w:t xml:space="preserve"> is part of the </w:t>
      </w:r>
      <w:r w:rsidRPr="006E6FA5">
        <w:rPr>
          <w:i/>
          <w:iCs/>
        </w:rPr>
        <w:t xml:space="preserve">Clean Energy for all Europeans </w:t>
      </w:r>
      <w:r w:rsidR="00496352" w:rsidRPr="006E6FA5">
        <w:rPr>
          <w:i/>
          <w:iCs/>
        </w:rPr>
        <w:t>P</w:t>
      </w:r>
      <w:r w:rsidRPr="006E6FA5">
        <w:rPr>
          <w:i/>
          <w:iCs/>
        </w:rPr>
        <w:t>ackage</w:t>
      </w:r>
      <w:r w:rsidRPr="006E6FA5">
        <w:t xml:space="preserve"> and aims at keeping the Union a global leader in renewables </w:t>
      </w:r>
      <w:r w:rsidR="008C6D57" w:rsidRPr="006E6FA5">
        <w:t>while respecting the commitments made under</w:t>
      </w:r>
      <w:r w:rsidRPr="006E6FA5">
        <w:t xml:space="preserve"> the Paris Agreement. </w:t>
      </w:r>
      <w:r w:rsidR="008C6D57" w:rsidRPr="006E6FA5">
        <w:t>Additionally</w:t>
      </w:r>
      <w:r w:rsidRPr="006E6FA5">
        <w:t>, the new Directive also enacts new binding renewable energy target</w:t>
      </w:r>
      <w:r w:rsidR="008C6D57" w:rsidRPr="006E6FA5">
        <w:t>s</w:t>
      </w:r>
      <w:r w:rsidRPr="006E6FA5">
        <w:t xml:space="preserve"> for the MS. For 2030, at least 32% of total </w:t>
      </w:r>
      <w:r w:rsidR="006005AD" w:rsidRPr="006E6FA5">
        <w:t xml:space="preserve">national </w:t>
      </w:r>
      <w:r w:rsidRPr="006E6FA5">
        <w:t>energy needs</w:t>
      </w:r>
      <w:r w:rsidR="006005AD" w:rsidRPr="006E6FA5">
        <w:t xml:space="preserve"> must be reached</w:t>
      </w:r>
      <w:r w:rsidRPr="006E6FA5">
        <w:t xml:space="preserve">, with a clause for possible upwards reassessment </w:t>
      </w:r>
      <w:r w:rsidR="00393C97">
        <w:t>being available in</w:t>
      </w:r>
      <w:r w:rsidRPr="006E6FA5">
        <w:t xml:space="preserve"> 2023</w:t>
      </w:r>
      <w:r w:rsidR="006005AD" w:rsidRPr="006E6FA5">
        <w:t xml:space="preserve"> (European Commission, 2019).</w:t>
      </w:r>
    </w:p>
    <w:p w14:paraId="4C2070F0" w14:textId="77777777" w:rsidR="001758B6" w:rsidRPr="006E6FA5" w:rsidRDefault="001758B6" w:rsidP="001758B6">
      <w:pPr>
        <w:spacing w:line="480" w:lineRule="auto"/>
        <w:jc w:val="both"/>
      </w:pPr>
    </w:p>
    <w:p w14:paraId="1A1DFBA7" w14:textId="133590CA" w:rsidR="008266E0" w:rsidRPr="006E6FA5" w:rsidRDefault="001758B6" w:rsidP="00741749">
      <w:pPr>
        <w:spacing w:line="480" w:lineRule="auto"/>
        <w:jc w:val="both"/>
      </w:pPr>
      <w:r w:rsidRPr="006E6FA5">
        <w:t>The heretofore correlation</w:t>
      </w:r>
      <w:r w:rsidR="00393C97">
        <w:t>s</w:t>
      </w:r>
      <w:r w:rsidRPr="006E6FA5">
        <w:t xml:space="preserve"> with the </w:t>
      </w:r>
      <w:r w:rsidRPr="006E6FA5">
        <w:rPr>
          <w:i/>
          <w:iCs/>
        </w:rPr>
        <w:t xml:space="preserve">Clean Energy for all Europeans </w:t>
      </w:r>
      <w:r w:rsidR="00496352" w:rsidRPr="006E6FA5">
        <w:rPr>
          <w:i/>
          <w:iCs/>
        </w:rPr>
        <w:t>P</w:t>
      </w:r>
      <w:r w:rsidRPr="006E6FA5">
        <w:rPr>
          <w:i/>
          <w:iCs/>
        </w:rPr>
        <w:t xml:space="preserve">ackage </w:t>
      </w:r>
      <w:r w:rsidRPr="006E6FA5">
        <w:t>and the commitments settled under the Paris Agreement</w:t>
      </w:r>
      <w:r w:rsidR="00393C97">
        <w:t xml:space="preserve"> are</w:t>
      </w:r>
      <w:r w:rsidRPr="006E6FA5">
        <w:t xml:space="preserve"> relevant in the sense that </w:t>
      </w:r>
      <w:r w:rsidR="00496352" w:rsidRPr="006E6FA5">
        <w:t>the EU</w:t>
      </w:r>
      <w:r w:rsidRPr="006E6FA5">
        <w:t xml:space="preserve"> requires all MS to draft </w:t>
      </w:r>
      <w:r w:rsidR="000F5775">
        <w:t xml:space="preserve">a </w:t>
      </w:r>
      <w:r w:rsidRPr="006E6FA5">
        <w:t>10 years national energy &amp; climate plan (NECP) for 2021-2030, in which they delineate how they will meet the new 2030 RES-E targets. Submission is open until 31</w:t>
      </w:r>
      <w:r w:rsidRPr="006E6FA5">
        <w:rPr>
          <w:vertAlign w:val="superscript"/>
        </w:rPr>
        <w:t>st</w:t>
      </w:r>
      <w:r w:rsidRPr="006E6FA5">
        <w:t xml:space="preserve"> December 2019. MS measure progress every two years with the publication of the national renewable energy progress reports. Under the EU Directive, cooperation between states (inside and outside of the EU) is </w:t>
      </w:r>
      <w:r w:rsidR="00496352" w:rsidRPr="006E6FA5">
        <w:t xml:space="preserve">also </w:t>
      </w:r>
      <w:r w:rsidRPr="006E6FA5">
        <w:t xml:space="preserve">possible so that MS </w:t>
      </w:r>
      <w:r w:rsidR="000F5775">
        <w:t xml:space="preserve">can </w:t>
      </w:r>
      <w:r w:rsidRPr="006E6FA5">
        <w:t xml:space="preserve">meet their national RES-E targets. Such </w:t>
      </w:r>
      <w:r w:rsidRPr="006E6FA5">
        <w:lastRenderedPageBreak/>
        <w:t>cooperation can take place in the form of statistical transfers of renewable energy, joint renewable energy projects, or joint renewable energy support schemes. Going back to the utility of biofuels and bioliquids, the</w:t>
      </w:r>
      <w:r w:rsidR="00741238" w:rsidRPr="006E6FA5">
        <w:t>se</w:t>
      </w:r>
      <w:r w:rsidRPr="006E6FA5">
        <w:t xml:space="preserve"> </w:t>
      </w:r>
      <w:r w:rsidR="000F5775">
        <w:t xml:space="preserve">are </w:t>
      </w:r>
      <w:r w:rsidRPr="006E6FA5">
        <w:t xml:space="preserve">crucial for the MS in achieving their 10% renewables targets in transport. The sustainability criteria </w:t>
      </w:r>
      <w:r w:rsidR="001566C8" w:rsidRPr="006E6FA5">
        <w:t>are</w:t>
      </w:r>
      <w:r w:rsidRPr="006E6FA5">
        <w:t xml:space="preserve"> also listed within the Directive, ensuring a cohesive and environmentally friendly producti</w:t>
      </w:r>
      <w:r w:rsidR="00741238" w:rsidRPr="006E6FA5">
        <w:t>o</w:t>
      </w:r>
      <w:r w:rsidRPr="006E6FA5">
        <w:t>n of biofuels</w:t>
      </w:r>
      <w:r w:rsidRPr="006E6FA5">
        <w:rPr>
          <w:b/>
          <w:bCs/>
        </w:rPr>
        <w:t xml:space="preserve"> </w:t>
      </w:r>
      <w:r w:rsidRPr="006E6FA5">
        <w:t>(European Commission, 2019).</w:t>
      </w:r>
    </w:p>
    <w:p w14:paraId="245EBBFC" w14:textId="6AFFD7BF" w:rsidR="004B3D7E" w:rsidRPr="006E6FA5" w:rsidRDefault="004B3D7E" w:rsidP="00741749">
      <w:pPr>
        <w:spacing w:line="480" w:lineRule="auto"/>
        <w:jc w:val="both"/>
      </w:pPr>
    </w:p>
    <w:p w14:paraId="74B921B3" w14:textId="6BB888ED" w:rsidR="001F1A75" w:rsidRPr="006E6FA5" w:rsidRDefault="001F1A75" w:rsidP="001F1A75">
      <w:pPr>
        <w:spacing w:line="480" w:lineRule="auto"/>
        <w:jc w:val="both"/>
      </w:pPr>
      <w:r w:rsidRPr="006E6FA5">
        <w:t>In short, this explains the minimum contribution</w:t>
      </w:r>
      <w:r w:rsidR="00E1501F" w:rsidRPr="006E6FA5">
        <w:t xml:space="preserve"> that</w:t>
      </w:r>
      <w:r w:rsidRPr="006E6FA5">
        <w:t xml:space="preserve"> </w:t>
      </w:r>
      <w:r w:rsidR="00E1501F" w:rsidRPr="006E6FA5">
        <w:t>must</w:t>
      </w:r>
      <w:r w:rsidRPr="006E6FA5">
        <w:t xml:space="preserve"> be </w:t>
      </w:r>
      <w:r w:rsidR="00E1501F" w:rsidRPr="006E6FA5">
        <w:t>fulfilled my MS</w:t>
      </w:r>
      <w:r w:rsidR="000F5775">
        <w:t xml:space="preserve"> under the EU law</w:t>
      </w:r>
      <w:r w:rsidR="00E1501F" w:rsidRPr="006E6FA5">
        <w:t xml:space="preserve">. </w:t>
      </w:r>
      <w:r w:rsidR="00543C09" w:rsidRPr="006E6FA5">
        <w:t>The national target percentage is then further explaine</w:t>
      </w:r>
      <w:r w:rsidR="00CB1DCC" w:rsidRPr="006E6FA5">
        <w:t xml:space="preserve">d based on the calculations </w:t>
      </w:r>
      <w:r w:rsidR="00D95FDB" w:rsidRPr="006E6FA5">
        <w:t>made under Annexe I and</w:t>
      </w:r>
      <w:r w:rsidR="00CB1DCC" w:rsidRPr="006E6FA5">
        <w:t xml:space="preserve"> Annexe II from the Directive</w:t>
      </w:r>
      <w:r w:rsidRPr="006E6FA5">
        <w:t xml:space="preserve">: national target of MS for 2020, third column of the tables in Annexe I for the EU Directive 2018/2001, lump-sum contribution, GDP per </w:t>
      </w:r>
      <w:r w:rsidR="00543C09" w:rsidRPr="006E6FA5">
        <w:t>head-based</w:t>
      </w:r>
      <w:r w:rsidRPr="006E6FA5">
        <w:t xml:space="preserve"> contribution, potential based contribution, </w:t>
      </w:r>
      <w:r w:rsidR="00543C09" w:rsidRPr="006E6FA5">
        <w:t xml:space="preserve">and </w:t>
      </w:r>
      <w:r w:rsidRPr="006E6FA5">
        <w:t>contribution that reflects</w:t>
      </w:r>
      <w:r w:rsidR="00D95FDB" w:rsidRPr="006E6FA5">
        <w:t xml:space="preserve"> the</w:t>
      </w:r>
      <w:r w:rsidRPr="006E6FA5">
        <w:t xml:space="preserve"> interconnectivity level of the MS. Under these circumstances, Romania has no ambitious goal</w:t>
      </w:r>
      <w:r w:rsidR="000F5775">
        <w:t>s</w:t>
      </w:r>
      <w:r w:rsidRPr="006E6FA5">
        <w:t xml:space="preserve">. It </w:t>
      </w:r>
      <w:r w:rsidR="00535021" w:rsidRPr="006E6FA5">
        <w:t>only</w:t>
      </w:r>
      <w:r w:rsidRPr="006E6FA5">
        <w:t xml:space="preserve"> respects the minimum for the GHG reduction and Efficient Energy</w:t>
      </w:r>
      <w:r w:rsidR="00535021" w:rsidRPr="006E6FA5">
        <w:t xml:space="preserve"> criteria. For the other points,</w:t>
      </w:r>
      <w:r w:rsidRPr="006E6FA5">
        <w:t xml:space="preserve"> it is below the minimum required in terms of the contribution of renewables in the energ</w:t>
      </w:r>
      <w:r w:rsidR="00312DA4">
        <w:t>y</w:t>
      </w:r>
      <w:r w:rsidRPr="006E6FA5">
        <w:t xml:space="preserve"> </w:t>
      </w:r>
      <w:r w:rsidR="00535021" w:rsidRPr="006E6FA5">
        <w:t>mix and has</w:t>
      </w:r>
      <w:r w:rsidRPr="006E6FA5">
        <w:t xml:space="preserve"> </w:t>
      </w:r>
      <w:r w:rsidR="00535021" w:rsidRPr="006E6FA5">
        <w:t xml:space="preserve">in place </w:t>
      </w:r>
      <w:r w:rsidRPr="006E6FA5">
        <w:t xml:space="preserve">no interconnectivity plan for the energetic networks. Currently, Romania has </w:t>
      </w:r>
      <w:r w:rsidR="006A6FE1" w:rsidRPr="006E6FA5">
        <w:t xml:space="preserve">only </w:t>
      </w:r>
      <w:r w:rsidRPr="006E6FA5">
        <w:t xml:space="preserve">24.5% </w:t>
      </w:r>
      <w:r w:rsidR="006A6FE1" w:rsidRPr="006E6FA5">
        <w:t xml:space="preserve">of </w:t>
      </w:r>
      <w:r w:rsidR="00535021" w:rsidRPr="006E6FA5">
        <w:t xml:space="preserve">its </w:t>
      </w:r>
      <w:r w:rsidR="006A6FE1" w:rsidRPr="006E6FA5">
        <w:t>energy</w:t>
      </w:r>
      <w:r w:rsidRPr="006E6FA5">
        <w:t xml:space="preserve"> coming from renewables, which indeed is in accordance with the 2020 target, but far from the 2030 </w:t>
      </w:r>
      <w:r w:rsidR="006A6FE1" w:rsidRPr="006E6FA5">
        <w:t xml:space="preserve">EU </w:t>
      </w:r>
      <w:r w:rsidRPr="006E6FA5">
        <w:t>requirements (Stoian, 2019).</w:t>
      </w:r>
    </w:p>
    <w:p w14:paraId="7404BC4F" w14:textId="77777777" w:rsidR="001F1A75" w:rsidRPr="006E6FA5" w:rsidRDefault="001F1A75" w:rsidP="00741749">
      <w:pPr>
        <w:spacing w:line="480" w:lineRule="auto"/>
        <w:jc w:val="both"/>
      </w:pPr>
    </w:p>
    <w:p w14:paraId="317CCD18" w14:textId="7C6B44DF" w:rsidR="007E6E86" w:rsidRPr="006E6FA5" w:rsidRDefault="007E6E86" w:rsidP="007E6E86">
      <w:pPr>
        <w:spacing w:line="480" w:lineRule="auto"/>
        <w:jc w:val="both"/>
      </w:pPr>
      <w:r w:rsidRPr="006E6FA5">
        <w:t xml:space="preserve">According to the Regulation (EU) 2018/ 1999 of the European Parliament, Romania needs to assure a RES-E contribution of at least 34%, whereas the national contribution aimed at only 27.9%. The national target envisioned by the Union is based on the approved formula extracted from the 2018/1999 European Regulation, Annexe II. Annexe II refers to the national contributions for the share of energy from renewable sources in </w:t>
      </w:r>
      <w:r w:rsidR="00312DA4">
        <w:t xml:space="preserve">the </w:t>
      </w:r>
      <w:r w:rsidRPr="006E6FA5">
        <w:t>gross final consumption of energy in 2030.  It contains the indicative formula representing “</w:t>
      </w:r>
      <w:r w:rsidRPr="006E6FA5">
        <w:rPr>
          <w:i/>
          <w:iCs/>
        </w:rPr>
        <w:t xml:space="preserve">the objective criteria listed in </w:t>
      </w:r>
      <w:r w:rsidRPr="006E6FA5">
        <w:rPr>
          <w:i/>
          <w:iCs/>
        </w:rPr>
        <w:lastRenderedPageBreak/>
        <w:t>points (e)(</w:t>
      </w:r>
      <w:proofErr w:type="spellStart"/>
      <w:r w:rsidRPr="006E6FA5">
        <w:rPr>
          <w:i/>
          <w:iCs/>
        </w:rPr>
        <w:t>i</w:t>
      </w:r>
      <w:proofErr w:type="spellEnd"/>
      <w:r w:rsidRPr="006E6FA5">
        <w:rPr>
          <w:i/>
          <w:iCs/>
        </w:rPr>
        <w:t>) to (v) of Article 5(1), each expressed in percentage points: (a) the Member State's national binding target for 2020 as set out in the third column of the table Annex I to Directive (EU) 2018/2001; (b) a flat rate contribution (</w:t>
      </w:r>
      <w:proofErr w:type="spellStart"/>
      <w:r w:rsidRPr="006E6FA5">
        <w:rPr>
          <w:i/>
          <w:iCs/>
        </w:rPr>
        <w:t>C</w:t>
      </w:r>
      <w:r w:rsidRPr="006E6FA5">
        <w:rPr>
          <w:i/>
          <w:iCs/>
          <w:vertAlign w:val="subscript"/>
        </w:rPr>
        <w:t>Flat</w:t>
      </w:r>
      <w:proofErr w:type="spellEnd"/>
      <w:r w:rsidRPr="006E6FA5">
        <w:rPr>
          <w:i/>
          <w:iCs/>
        </w:rPr>
        <w:t>)</w:t>
      </w:r>
      <w:r w:rsidR="00602936" w:rsidRPr="006E6FA5">
        <w:rPr>
          <w:i/>
          <w:iCs/>
        </w:rPr>
        <w:t>,</w:t>
      </w:r>
      <w:r w:rsidRPr="006E6FA5">
        <w:rPr>
          <w:i/>
          <w:iCs/>
        </w:rPr>
        <w:t xml:space="preserve"> (c) a GDP-per-capita based contribution (C</w:t>
      </w:r>
      <w:r w:rsidRPr="006E6FA5">
        <w:rPr>
          <w:i/>
          <w:iCs/>
          <w:vertAlign w:val="subscript"/>
        </w:rPr>
        <w:t>GDP</w:t>
      </w:r>
      <w:r w:rsidRPr="006E6FA5">
        <w:rPr>
          <w:i/>
          <w:iCs/>
        </w:rPr>
        <w:t>)</w:t>
      </w:r>
      <w:r w:rsidR="00602936" w:rsidRPr="006E6FA5">
        <w:rPr>
          <w:i/>
          <w:iCs/>
        </w:rPr>
        <w:t>,</w:t>
      </w:r>
      <w:r w:rsidRPr="006E6FA5">
        <w:rPr>
          <w:i/>
          <w:iCs/>
        </w:rPr>
        <w:t xml:space="preserve"> (d) a potential-based contribution (</w:t>
      </w:r>
      <w:proofErr w:type="spellStart"/>
      <w:r w:rsidRPr="006E6FA5">
        <w:rPr>
          <w:i/>
          <w:iCs/>
        </w:rPr>
        <w:t>C</w:t>
      </w:r>
      <w:r w:rsidRPr="006E6FA5">
        <w:rPr>
          <w:i/>
          <w:iCs/>
          <w:vertAlign w:val="subscript"/>
        </w:rPr>
        <w:t>Potential</w:t>
      </w:r>
      <w:proofErr w:type="spellEnd"/>
      <w:r w:rsidRPr="006E6FA5">
        <w:rPr>
          <w:i/>
          <w:iCs/>
        </w:rPr>
        <w:t>)</w:t>
      </w:r>
      <w:r w:rsidR="00602936" w:rsidRPr="006E6FA5">
        <w:rPr>
          <w:i/>
          <w:iCs/>
        </w:rPr>
        <w:t>,</w:t>
      </w:r>
      <w:r w:rsidRPr="006E6FA5">
        <w:rPr>
          <w:i/>
          <w:iCs/>
        </w:rPr>
        <w:t xml:space="preserve"> and (e), a contribution reflecting the interconnection level of the Member State (</w:t>
      </w:r>
      <w:proofErr w:type="spellStart"/>
      <w:r w:rsidRPr="006E6FA5">
        <w:rPr>
          <w:i/>
          <w:iCs/>
        </w:rPr>
        <w:t>C</w:t>
      </w:r>
      <w:r w:rsidRPr="006E6FA5">
        <w:rPr>
          <w:i/>
          <w:iCs/>
          <w:vertAlign w:val="subscript"/>
        </w:rPr>
        <w:t>Interco</w:t>
      </w:r>
      <w:proofErr w:type="spellEnd"/>
      <w:r w:rsidRPr="006E6FA5">
        <w:rPr>
          <w:i/>
          <w:iCs/>
        </w:rPr>
        <w:t xml:space="preserve">). The </w:t>
      </w:r>
      <w:proofErr w:type="spellStart"/>
      <w:r w:rsidRPr="006E6FA5">
        <w:rPr>
          <w:i/>
          <w:iCs/>
        </w:rPr>
        <w:t>C</w:t>
      </w:r>
      <w:r w:rsidRPr="006E6FA5">
        <w:rPr>
          <w:i/>
          <w:iCs/>
          <w:vertAlign w:val="subscript"/>
        </w:rPr>
        <w:t>Flat</w:t>
      </w:r>
      <w:proofErr w:type="spellEnd"/>
      <w:r w:rsidRPr="006E6FA5">
        <w:rPr>
          <w:i/>
          <w:iCs/>
        </w:rPr>
        <w:t xml:space="preserve"> shall be the same for each Member State. All Member States' </w:t>
      </w:r>
      <w:proofErr w:type="spellStart"/>
      <w:r w:rsidRPr="006E6FA5">
        <w:rPr>
          <w:i/>
          <w:iCs/>
        </w:rPr>
        <w:t>C</w:t>
      </w:r>
      <w:r w:rsidRPr="006E6FA5">
        <w:rPr>
          <w:i/>
          <w:iCs/>
          <w:vertAlign w:val="subscript"/>
        </w:rPr>
        <w:t>Flat</w:t>
      </w:r>
      <w:proofErr w:type="spellEnd"/>
      <w:r w:rsidRPr="006E6FA5">
        <w:rPr>
          <w:i/>
          <w:iCs/>
        </w:rPr>
        <w:t xml:space="preserve"> shall together contribute 30% of the difference between the Union's targets for 2030 and 2020. C</w:t>
      </w:r>
      <w:r w:rsidRPr="006E6FA5">
        <w:rPr>
          <w:i/>
          <w:iCs/>
          <w:vertAlign w:val="subscript"/>
        </w:rPr>
        <w:t>GDP</w:t>
      </w:r>
      <w:r w:rsidRPr="006E6FA5">
        <w:rPr>
          <w:i/>
          <w:iCs/>
        </w:rPr>
        <w:t xml:space="preserve"> shall be allocated between Member States based on Eurostat's GDP per capita index to the Union average over the 2013 to 2017 period, expressed in purchasing power standard, where for each Member State individually the index is capped at 150 % of the Union average. All Member States' C</w:t>
      </w:r>
      <w:r w:rsidRPr="006E6FA5">
        <w:rPr>
          <w:i/>
          <w:iCs/>
          <w:vertAlign w:val="subscript"/>
        </w:rPr>
        <w:t>GDP</w:t>
      </w:r>
      <w:r w:rsidRPr="006E6FA5">
        <w:rPr>
          <w:i/>
          <w:iCs/>
        </w:rPr>
        <w:t xml:space="preserve"> shall together contribute 30% of the difference between the Union's targets for 2030 and 2020. The </w:t>
      </w:r>
      <w:proofErr w:type="spellStart"/>
      <w:r w:rsidRPr="006E6FA5">
        <w:rPr>
          <w:i/>
          <w:iCs/>
        </w:rPr>
        <w:t>C</w:t>
      </w:r>
      <w:r w:rsidRPr="006E6FA5">
        <w:rPr>
          <w:i/>
          <w:iCs/>
          <w:vertAlign w:val="subscript"/>
        </w:rPr>
        <w:t>Potential</w:t>
      </w:r>
      <w:proofErr w:type="spellEnd"/>
      <w:r w:rsidRPr="006E6FA5">
        <w:rPr>
          <w:i/>
          <w:iCs/>
        </w:rPr>
        <w:t xml:space="preserve"> shall be allocated between Member States based on the difference between a Member State's RES share in 2030 as shown in PRIMES scenario and its national binding target for 2020. All Member States' </w:t>
      </w:r>
      <w:proofErr w:type="spellStart"/>
      <w:r w:rsidRPr="006E6FA5">
        <w:rPr>
          <w:i/>
          <w:iCs/>
        </w:rPr>
        <w:t>C</w:t>
      </w:r>
      <w:r w:rsidRPr="006E6FA5">
        <w:rPr>
          <w:i/>
          <w:iCs/>
          <w:vertAlign w:val="subscript"/>
        </w:rPr>
        <w:t>Potential</w:t>
      </w:r>
      <w:proofErr w:type="spellEnd"/>
      <w:r w:rsidRPr="006E6FA5">
        <w:rPr>
          <w:i/>
          <w:iCs/>
        </w:rPr>
        <w:t xml:space="preserve"> shall together contribute 30% of the difference between the Union's targets for 2030 and 2020</w:t>
      </w:r>
      <w:r w:rsidR="006678B9" w:rsidRPr="006E6FA5">
        <w:rPr>
          <w:i/>
          <w:iCs/>
        </w:rPr>
        <w:t>”</w:t>
      </w:r>
      <w:r w:rsidRPr="006E6FA5">
        <w:rPr>
          <w:i/>
          <w:iCs/>
        </w:rPr>
        <w:t xml:space="preserve">. </w:t>
      </w:r>
      <w:r w:rsidRPr="006E6FA5">
        <w:t>Lastly</w:t>
      </w:r>
      <w:r w:rsidRPr="006E6FA5">
        <w:rPr>
          <w:i/>
          <w:iCs/>
        </w:rPr>
        <w:t xml:space="preserve">, </w:t>
      </w:r>
      <w:r w:rsidR="006678B9" w:rsidRPr="006E6FA5">
        <w:rPr>
          <w:i/>
          <w:iCs/>
        </w:rPr>
        <w:t>“</w:t>
      </w:r>
      <w:proofErr w:type="spellStart"/>
      <w:r w:rsidRPr="006E6FA5">
        <w:rPr>
          <w:i/>
          <w:iCs/>
        </w:rPr>
        <w:t>C</w:t>
      </w:r>
      <w:r w:rsidRPr="006E6FA5">
        <w:rPr>
          <w:i/>
          <w:iCs/>
          <w:vertAlign w:val="subscript"/>
        </w:rPr>
        <w:t>Interco</w:t>
      </w:r>
      <w:proofErr w:type="spellEnd"/>
      <w:r w:rsidRPr="006E6FA5">
        <w:rPr>
          <w:i/>
          <w:iCs/>
        </w:rPr>
        <w:t xml:space="preserve"> shall be allocated between Member States based on an electricity interconnection share index to Union average in 2017, measured by the net transfer capacity over total installed generation capacity, where for each Member State individually the interconnection share index is capped at 150 % of the Union average. All Member States' </w:t>
      </w:r>
      <w:proofErr w:type="spellStart"/>
      <w:r w:rsidRPr="006E6FA5">
        <w:rPr>
          <w:i/>
          <w:iCs/>
        </w:rPr>
        <w:t>C</w:t>
      </w:r>
      <w:r w:rsidRPr="006E6FA5">
        <w:rPr>
          <w:i/>
          <w:iCs/>
          <w:vertAlign w:val="subscript"/>
        </w:rPr>
        <w:t>Interco</w:t>
      </w:r>
      <w:proofErr w:type="spellEnd"/>
      <w:r w:rsidRPr="006E6FA5">
        <w:rPr>
          <w:i/>
          <w:iCs/>
        </w:rPr>
        <w:t xml:space="preserve"> shall together contribute 10 % of the difference between the Union's targets for 2030 and 2020</w:t>
      </w:r>
      <w:r w:rsidRPr="006E6FA5">
        <w:t>” (Eur-Lex, 2019).</w:t>
      </w:r>
    </w:p>
    <w:p w14:paraId="1BD4E2F2" w14:textId="77777777" w:rsidR="007E6E86" w:rsidRPr="006E6FA5" w:rsidRDefault="007E6E86" w:rsidP="007E6E86">
      <w:pPr>
        <w:spacing w:line="480" w:lineRule="auto"/>
        <w:jc w:val="both"/>
      </w:pPr>
    </w:p>
    <w:p w14:paraId="62F981B9" w14:textId="15AFC885" w:rsidR="007E6E86" w:rsidRPr="006E6FA5" w:rsidRDefault="007E6E86" w:rsidP="007E6E86">
      <w:pPr>
        <w:spacing w:line="480" w:lineRule="auto"/>
        <w:jc w:val="both"/>
      </w:pPr>
      <w:r w:rsidRPr="006E6FA5">
        <w:t xml:space="preserve">In </w:t>
      </w:r>
      <w:r w:rsidR="008B46D7">
        <w:t xml:space="preserve">case of </w:t>
      </w:r>
      <w:r w:rsidR="00A15331">
        <w:t>insufficient ambition under the</w:t>
      </w:r>
      <w:r w:rsidRPr="006E6FA5">
        <w:t xml:space="preserve"> integrated national energy and climate plans</w:t>
      </w:r>
      <w:r w:rsidR="00A15331">
        <w:t xml:space="preserve"> </w:t>
      </w:r>
      <w:r w:rsidR="00C70F0D" w:rsidRPr="006E6FA5">
        <w:t>(</w:t>
      </w:r>
      <w:r w:rsidR="008B645A" w:rsidRPr="006E6FA5">
        <w:t>situation in which</w:t>
      </w:r>
      <w:r w:rsidR="00C70F0D" w:rsidRPr="006E6FA5">
        <w:t xml:space="preserve"> Romania might find itself in)</w:t>
      </w:r>
      <w:r w:rsidRPr="006E6FA5">
        <w:t>, Article 31 (2) section 1 states that  “</w:t>
      </w:r>
      <w:r w:rsidRPr="006E6FA5">
        <w:rPr>
          <w:i/>
          <w:iCs/>
        </w:rPr>
        <w:t xml:space="preserve">where a gap between the Union's 2030 target and the collective contributions of Member States occurs in the area of renewable energy, the Commission shall base its assessment on the formula set </w:t>
      </w:r>
      <w:r w:rsidRPr="006E6FA5">
        <w:rPr>
          <w:i/>
          <w:iCs/>
        </w:rPr>
        <w:lastRenderedPageBreak/>
        <w:t>out in Annex II which is based on the objective criteria listed in point (e)(</w:t>
      </w:r>
      <w:proofErr w:type="spellStart"/>
      <w:r w:rsidRPr="006E6FA5">
        <w:rPr>
          <w:i/>
          <w:iCs/>
        </w:rPr>
        <w:t>i</w:t>
      </w:r>
      <w:proofErr w:type="spellEnd"/>
      <w:r w:rsidRPr="006E6FA5">
        <w:rPr>
          <w:i/>
          <w:iCs/>
        </w:rPr>
        <w:t xml:space="preserve">) to (v) of the first subparagraph of Article 5(1), whilst having due regard to relevant circumstances affecting renewable energy deployment as indicated by the Member State in accordance with the second subparagraph of Article 5(1) </w:t>
      </w:r>
      <w:r w:rsidRPr="006E6FA5">
        <w:t xml:space="preserve">(Eur-Lex, 2019). This is further continued in Article 31 (2) section 4: </w:t>
      </w:r>
      <w:r w:rsidRPr="006E6FA5">
        <w:rPr>
          <w:i/>
          <w:iCs/>
        </w:rPr>
        <w:t>“In its assumption, in the area of renewable energy, the Commission shall take into account the Member State's national binding target for 2020 as set out in Annex I to Directive (EU) 2018/2001, results from modelling exercises on renewable energy development and the results from the formula set out in Annex II to this Regulation. In the area of energy efficiency, it shall take into account modelling exercises in relation to future trends in energy consumption and other complementary analysis as appropriate”</w:t>
      </w:r>
      <w:r w:rsidRPr="006E6FA5">
        <w:t xml:space="preserve"> (Eur-Lex, 2019).</w:t>
      </w:r>
    </w:p>
    <w:p w14:paraId="18F28614" w14:textId="77777777" w:rsidR="007E6E86" w:rsidRPr="006E6FA5" w:rsidRDefault="007E6E86" w:rsidP="007E6E86">
      <w:pPr>
        <w:spacing w:line="480" w:lineRule="auto"/>
        <w:jc w:val="both"/>
      </w:pPr>
    </w:p>
    <w:p w14:paraId="2B0E6803" w14:textId="05CA0665" w:rsidR="007E6E86" w:rsidRPr="006E6FA5" w:rsidRDefault="007E6E86" w:rsidP="007E6E86">
      <w:pPr>
        <w:spacing w:line="480" w:lineRule="auto"/>
        <w:jc w:val="both"/>
      </w:pPr>
      <w:r w:rsidRPr="006E6FA5">
        <w:t xml:space="preserve">Going back to Article 5(1), the following refers to the Member States' contribution </w:t>
      </w:r>
      <w:r w:rsidR="00312DA4">
        <w:t>to the</w:t>
      </w:r>
      <w:r w:rsidRPr="006E6FA5">
        <w:t xml:space="preserve"> setting processes in the area of renewable energy.  Paragraph (1) then follows: “</w:t>
      </w:r>
      <w:r w:rsidRPr="006E6FA5">
        <w:rPr>
          <w:i/>
          <w:iCs/>
        </w:rPr>
        <w:t xml:space="preserve">In its contribution for its share of energy from renewable sources in gross final consumption of energy in 2030 and the last year of the period covered for the subsequent national plans, pursuant to point (a)(2) of Article 4, each Member State shall take into account all of the following”, </w:t>
      </w:r>
      <w:r w:rsidR="00BF1390">
        <w:rPr>
          <w:i/>
          <w:iCs/>
        </w:rPr>
        <w:t>“</w:t>
      </w:r>
      <w:r w:rsidRPr="006E6FA5">
        <w:rPr>
          <w:i/>
          <w:iCs/>
        </w:rPr>
        <w:t>the measures provided for in EU Directive 2018/2001, the measures adopted to reach the energy efficiency target in line with Directive 2012/27/EU,  any other existing measures to promote RES-E, as well as the binding 2020 national target of energy from RES in gross final consumption of energy as set out in Annexe I to Directive (EU) 2018/2001</w:t>
      </w:r>
      <w:r w:rsidRPr="006E6FA5">
        <w:t>” (Eur-Lex, 2019). The relevant circumstances affecting the renewable energy deployment are described in Article 5(1) (e), from (</w:t>
      </w:r>
      <w:proofErr w:type="spellStart"/>
      <w:r w:rsidRPr="006E6FA5">
        <w:t>i</w:t>
      </w:r>
      <w:proofErr w:type="spellEnd"/>
      <w:r w:rsidRPr="006E6FA5">
        <w:t>) to (vi). They range from equitable distribution of deployment across th</w:t>
      </w:r>
      <w:r w:rsidR="00BF1390">
        <w:t>e EU and economic conditions,</w:t>
      </w:r>
      <w:r w:rsidRPr="006E6FA5">
        <w:t xml:space="preserve"> to geographical, environmental and natural constraints </w:t>
      </w:r>
      <w:r w:rsidR="00BF1390">
        <w:t>and</w:t>
      </w:r>
      <w:r w:rsidRPr="006E6FA5">
        <w:t xml:space="preserve"> the level of power interconnection between </w:t>
      </w:r>
      <w:r w:rsidR="00312DA4">
        <w:t xml:space="preserve">the </w:t>
      </w:r>
      <w:r w:rsidRPr="006E6FA5">
        <w:t xml:space="preserve">Member States. </w:t>
      </w:r>
      <w:r w:rsidR="00FD289C" w:rsidRPr="006E6FA5">
        <w:t xml:space="preserve">As such, in </w:t>
      </w:r>
      <w:r w:rsidR="00BF1390">
        <w:t xml:space="preserve">the </w:t>
      </w:r>
      <w:r w:rsidR="00FD289C" w:rsidRPr="006E6FA5">
        <w:t xml:space="preserve">case of inability to comply </w:t>
      </w:r>
      <w:r w:rsidR="00FD289C" w:rsidRPr="006E6FA5">
        <w:lastRenderedPageBreak/>
        <w:t xml:space="preserve">with the Directive, </w:t>
      </w:r>
      <w:r w:rsidRPr="006E6FA5">
        <w:t>each MS must indicate in its NECP which circumstances have been taken into account</w:t>
      </w:r>
      <w:r w:rsidR="00FD289C" w:rsidRPr="006E6FA5">
        <w:t xml:space="preserve"> and how they are tackled</w:t>
      </w:r>
      <w:r w:rsidRPr="006E6FA5">
        <w:t xml:space="preserve"> (Eur-Lex, 2019).</w:t>
      </w:r>
    </w:p>
    <w:p w14:paraId="7C29AD24" w14:textId="77777777" w:rsidR="001758B6" w:rsidRPr="006E6FA5" w:rsidRDefault="001758B6" w:rsidP="00216C69">
      <w:pPr>
        <w:spacing w:line="480" w:lineRule="auto"/>
        <w:jc w:val="both"/>
        <w:rPr>
          <w:b/>
          <w:bCs/>
        </w:rPr>
      </w:pPr>
    </w:p>
    <w:p w14:paraId="67A6D9D4" w14:textId="658F547D" w:rsidR="006A7D04" w:rsidRPr="006E6FA5" w:rsidRDefault="006A7D04" w:rsidP="00216C69">
      <w:pPr>
        <w:spacing w:line="480" w:lineRule="auto"/>
        <w:jc w:val="both"/>
        <w:rPr>
          <w:b/>
          <w:bCs/>
        </w:rPr>
      </w:pPr>
      <w:r w:rsidRPr="006E6FA5">
        <w:rPr>
          <w:b/>
          <w:bCs/>
        </w:rPr>
        <w:t>National L</w:t>
      </w:r>
      <w:r w:rsidR="007A6C07" w:rsidRPr="006E6FA5">
        <w:rPr>
          <w:b/>
          <w:bCs/>
        </w:rPr>
        <w:t>egislation</w:t>
      </w:r>
    </w:p>
    <w:p w14:paraId="60E9D608" w14:textId="431D4A7D" w:rsidR="00500BFB" w:rsidRPr="006E6FA5" w:rsidRDefault="00500BFB" w:rsidP="00500BFB">
      <w:pPr>
        <w:spacing w:line="480" w:lineRule="auto"/>
        <w:jc w:val="both"/>
      </w:pPr>
      <w:r w:rsidRPr="006E6FA5">
        <w:t>Similar to the EU’s energy regulatory authority, the Agency for the Cooperation of Energy Regulators (ACER), Romania’s RES-E is monitored by ANRE, the National Authority for Regulat</w:t>
      </w:r>
      <w:r w:rsidR="009A7A6B" w:rsidRPr="006E6FA5">
        <w:t>ion</w:t>
      </w:r>
      <w:r w:rsidR="00BF1390">
        <w:t xml:space="preserve"> in the Energy S</w:t>
      </w:r>
      <w:r w:rsidRPr="006E6FA5">
        <w:t>ector. The primary law is Law n</w:t>
      </w:r>
      <w:r w:rsidR="009A7A6B" w:rsidRPr="006E6FA5">
        <w:t>o.</w:t>
      </w:r>
      <w:r w:rsidRPr="006E6FA5">
        <w:t xml:space="preserve"> 220/2008, </w:t>
      </w:r>
      <w:r w:rsidR="009A7A6B" w:rsidRPr="006E6FA5">
        <w:t xml:space="preserve">which </w:t>
      </w:r>
      <w:r w:rsidRPr="006E6FA5">
        <w:t>establish</w:t>
      </w:r>
      <w:r w:rsidR="009A7A6B" w:rsidRPr="006E6FA5">
        <w:t>es</w:t>
      </w:r>
      <w:r w:rsidRPr="006E6FA5">
        <w:t xml:space="preserve"> a system to promote the production of energy resulted from renewable sources. It was modified in 2010 by the Ordinance no. 29/2010, and then republished as Law no. 139/2010. Since then, it has been modified by simple ordinances (OG)</w:t>
      </w:r>
      <w:r w:rsidR="009A7A6B" w:rsidRPr="006E6FA5">
        <w:t>,</w:t>
      </w:r>
      <w:r w:rsidRPr="006E6FA5">
        <w:t xml:space="preserve"> emergency ordinances (OUG), decisions (HG), and </w:t>
      </w:r>
      <w:r w:rsidR="009A7A6B" w:rsidRPr="006E6FA5">
        <w:t xml:space="preserve">even </w:t>
      </w:r>
      <w:r w:rsidRPr="006E6FA5">
        <w:t xml:space="preserve">new laws (L) in the following </w:t>
      </w:r>
      <w:r w:rsidR="009A7A6B" w:rsidRPr="006E6FA5">
        <w:t>orde</w:t>
      </w:r>
      <w:r w:rsidRPr="006E6FA5">
        <w:t xml:space="preserve">r: OUG no. 88/2011, OUG no. 57/2013, OUG no. 79/2013, HG no. 994/2013, L no. 122/2015, OUG no. 24/2017, and finally, Law no. 184/2018 (ANRE, 2019). </w:t>
      </w:r>
    </w:p>
    <w:p w14:paraId="369D46B3" w14:textId="69AEF314" w:rsidR="007E6E86" w:rsidRDefault="007E6E86" w:rsidP="007E6E86">
      <w:pPr>
        <w:spacing w:line="480" w:lineRule="auto"/>
        <w:jc w:val="both"/>
      </w:pPr>
    </w:p>
    <w:p w14:paraId="3CFD0443" w14:textId="1A1E6C85" w:rsidR="001837E1" w:rsidRPr="006E6FA5" w:rsidRDefault="001837E1" w:rsidP="001837E1">
      <w:pPr>
        <w:spacing w:line="480" w:lineRule="auto"/>
        <w:jc w:val="both"/>
      </w:pPr>
      <w:r w:rsidRPr="006E6FA5">
        <w:t xml:space="preserve">The Emergency Ordinance 24/2017 made significant amendments to the Law 220/2008. It cleared up legal uncertainties and brought a certain level of stability and transparency to the distribution of green certificates. It was shortly followed by the Emergency Ordinance 184/2018, which endorsed the </w:t>
      </w:r>
      <w:r>
        <w:t>E</w:t>
      </w:r>
      <w:r w:rsidRPr="006E6FA5">
        <w:t>xecutive’s support for RES-E by introduc</w:t>
      </w:r>
      <w:r>
        <w:t>ing</w:t>
      </w:r>
      <w:r w:rsidRPr="006E6FA5">
        <w:t xml:space="preserve"> </w:t>
      </w:r>
      <w:r w:rsidRPr="00493014">
        <w:rPr>
          <w:i/>
        </w:rPr>
        <w:t>the prosumer term</w:t>
      </w:r>
      <w:r>
        <w:t>,</w:t>
      </w:r>
      <w:r w:rsidRPr="006E6FA5">
        <w:t xml:space="preserve"> and thus</w:t>
      </w:r>
      <w:r>
        <w:t>,</w:t>
      </w:r>
      <w:r w:rsidRPr="006E6FA5">
        <w:t xml:space="preserve"> establishing </w:t>
      </w:r>
      <w:r w:rsidR="00493014">
        <w:t xml:space="preserve">a </w:t>
      </w:r>
      <w:r w:rsidRPr="006E6FA5">
        <w:t>national legal recognition for the development of decentralised electricity production (Res Legal Europe, 2019).</w:t>
      </w:r>
    </w:p>
    <w:p w14:paraId="77B02EB6" w14:textId="77777777" w:rsidR="001837E1" w:rsidRPr="006E6FA5" w:rsidRDefault="001837E1" w:rsidP="007E6E86">
      <w:pPr>
        <w:spacing w:line="480" w:lineRule="auto"/>
        <w:jc w:val="both"/>
      </w:pPr>
    </w:p>
    <w:p w14:paraId="4AAE13AC" w14:textId="6507888D" w:rsidR="007E6E86" w:rsidRDefault="007E6E86" w:rsidP="007E6E86">
      <w:pPr>
        <w:spacing w:line="480" w:lineRule="auto"/>
        <w:jc w:val="both"/>
      </w:pPr>
      <w:r w:rsidRPr="006E6FA5">
        <w:t>Whereas the numerous modifications in the primary law c</w:t>
      </w:r>
      <w:r w:rsidR="009866B8" w:rsidRPr="006E6FA5">
        <w:t>ould</w:t>
      </w:r>
      <w:r w:rsidRPr="006E6FA5">
        <w:t xml:space="preserve"> be </w:t>
      </w:r>
      <w:r w:rsidR="009866B8" w:rsidRPr="006E6FA5">
        <w:t>interpreted</w:t>
      </w:r>
      <w:r w:rsidRPr="006E6FA5">
        <w:t xml:space="preserve"> </w:t>
      </w:r>
      <w:r w:rsidR="009866B8" w:rsidRPr="006E6FA5">
        <w:t>as</w:t>
      </w:r>
      <w:r w:rsidR="00493014">
        <w:t xml:space="preserve"> a sign</w:t>
      </w:r>
      <w:r w:rsidRPr="006E6FA5">
        <w:t xml:space="preserve"> of legal inadequacy and lack of commitment coming from the Romanian Government, the very fact that the</w:t>
      </w:r>
      <w:r w:rsidR="009866B8" w:rsidRPr="006E6FA5">
        <w:t>se</w:t>
      </w:r>
      <w:r w:rsidR="00CF4488">
        <w:t xml:space="preserve"> laws tackle</w:t>
      </w:r>
      <w:r w:rsidR="009866B8" w:rsidRPr="006E6FA5">
        <w:t xml:space="preserve"> </w:t>
      </w:r>
      <w:r w:rsidR="00CF4488">
        <w:t xml:space="preserve">the </w:t>
      </w:r>
      <w:r w:rsidR="007C7A29">
        <w:t>very</w:t>
      </w:r>
      <w:r w:rsidR="009866B8" w:rsidRPr="006E6FA5">
        <w:t xml:space="preserve"> </w:t>
      </w:r>
      <w:r w:rsidR="007C7A29">
        <w:t>sensitive subject of energy resourc</w:t>
      </w:r>
      <w:r w:rsidRPr="006E6FA5">
        <w:t xml:space="preserve">es and security, contingent to high volatility, </w:t>
      </w:r>
      <w:r w:rsidR="0084086F" w:rsidRPr="006E6FA5">
        <w:t xml:space="preserve">means that </w:t>
      </w:r>
      <w:r w:rsidR="00C62884" w:rsidRPr="006E6FA5">
        <w:t xml:space="preserve">there is no </w:t>
      </w:r>
      <w:r w:rsidR="00C62884" w:rsidRPr="006E6FA5">
        <w:rPr>
          <w:i/>
          <w:iCs/>
        </w:rPr>
        <w:t>one size fits all</w:t>
      </w:r>
      <w:r w:rsidR="00C62884" w:rsidRPr="006E6FA5">
        <w:t xml:space="preserve"> </w:t>
      </w:r>
      <w:r w:rsidR="00205100">
        <w:t>solution</w:t>
      </w:r>
      <w:r w:rsidR="00C62884" w:rsidRPr="006E6FA5">
        <w:t xml:space="preserve">. In this sense, </w:t>
      </w:r>
      <w:r w:rsidRPr="006E6FA5">
        <w:t xml:space="preserve">the </w:t>
      </w:r>
      <w:r w:rsidR="00415C8A">
        <w:t>E</w:t>
      </w:r>
      <w:r w:rsidRPr="006E6FA5">
        <w:t xml:space="preserve">xecutive’s </w:t>
      </w:r>
      <w:r w:rsidRPr="006E6FA5">
        <w:lastRenderedPageBreak/>
        <w:t xml:space="preserve">approach </w:t>
      </w:r>
      <w:r w:rsidR="00C62884" w:rsidRPr="006E6FA5">
        <w:t>show</w:t>
      </w:r>
      <w:r w:rsidR="000C7E13" w:rsidRPr="006E6FA5">
        <w:t>s</w:t>
      </w:r>
      <w:r w:rsidRPr="006E6FA5">
        <w:t xml:space="preserve"> </w:t>
      </w:r>
      <w:r w:rsidR="000C7E13" w:rsidRPr="006E6FA5">
        <w:t xml:space="preserve">its </w:t>
      </w:r>
      <w:r w:rsidRPr="006E6FA5">
        <w:t>continuous dedication to stay</w:t>
      </w:r>
      <w:r w:rsidR="007E2590">
        <w:t>ing</w:t>
      </w:r>
      <w:r w:rsidRPr="006E6FA5">
        <w:t xml:space="preserve"> relevant in th</w:t>
      </w:r>
      <w:r w:rsidR="00C62884" w:rsidRPr="006E6FA5">
        <w:t>e energy sector</w:t>
      </w:r>
      <w:r w:rsidRPr="006E6FA5">
        <w:t>. As such, Law no. 184/2018 brought forth important changes for Romanian producers of RES-E. The core changes involve defining the role</w:t>
      </w:r>
      <w:r w:rsidR="000C7E13" w:rsidRPr="006E6FA5">
        <w:t>,</w:t>
      </w:r>
      <w:r w:rsidRPr="006E6FA5">
        <w:t xml:space="preserve"> status, and facilities </w:t>
      </w:r>
      <w:r w:rsidR="00205100">
        <w:t xml:space="preserve">linked to </w:t>
      </w:r>
      <w:r w:rsidRPr="0058001D">
        <w:t>prosumers,</w:t>
      </w:r>
      <w:r w:rsidRPr="006E6FA5">
        <w:t xml:space="preserve"> the impact of green certificates (GC) in the energy tariff for consumers, the</w:t>
      </w:r>
      <w:r w:rsidR="0058001D">
        <w:t xml:space="preserve"> accepted</w:t>
      </w:r>
      <w:r w:rsidRPr="006E6FA5">
        <w:t xml:space="preserve"> delay</w:t>
      </w:r>
      <w:r w:rsidR="00AF3CC8">
        <w:t>s</w:t>
      </w:r>
      <w:r w:rsidRPr="006E6FA5">
        <w:t xml:space="preserve"> of GCs for solar power plants, and the </w:t>
      </w:r>
      <w:r w:rsidR="000C7E13" w:rsidRPr="006E6FA5">
        <w:t xml:space="preserve">framework delimiting the </w:t>
      </w:r>
      <w:r w:rsidRPr="006E6FA5">
        <w:t>authorities’ capa</w:t>
      </w:r>
      <w:r w:rsidR="00AF3CC8">
        <w:t>city to sell and distribute RES-</w:t>
      </w:r>
      <w:r w:rsidRPr="006E6FA5">
        <w:t>E (</w:t>
      </w:r>
      <w:proofErr w:type="spellStart"/>
      <w:r w:rsidRPr="006E6FA5">
        <w:t>Electricianul</w:t>
      </w:r>
      <w:proofErr w:type="spellEnd"/>
      <w:r w:rsidRPr="006E6FA5">
        <w:t xml:space="preserve">, 2018). </w:t>
      </w:r>
    </w:p>
    <w:p w14:paraId="6D1F1597" w14:textId="5C8C27D5" w:rsidR="008D1D2A" w:rsidRDefault="008D1D2A" w:rsidP="007E6E86">
      <w:pPr>
        <w:spacing w:line="480" w:lineRule="auto"/>
        <w:jc w:val="both"/>
      </w:pPr>
    </w:p>
    <w:p w14:paraId="07E0F877" w14:textId="55EDD1DF" w:rsidR="008D1D2A" w:rsidRPr="006E6FA5" w:rsidRDefault="008D1D2A" w:rsidP="007E6E86">
      <w:pPr>
        <w:spacing w:line="480" w:lineRule="auto"/>
        <w:jc w:val="both"/>
      </w:pPr>
      <w:r w:rsidRPr="006E6FA5">
        <w:t>The quota support scheme</w:t>
      </w:r>
      <w:r w:rsidR="00AF3CC8">
        <w:t xml:space="preserve"> also</w:t>
      </w:r>
      <w:r w:rsidRPr="006E6FA5">
        <w:t xml:space="preserve"> ended in December 2016. Since then, there is no comprehensive RES-E scheme available. Hitherto installations still benefit from the past quota system until 2031</w:t>
      </w:r>
      <w:r w:rsidR="007E2590">
        <w:t>;</w:t>
      </w:r>
      <w:r w:rsidRPr="006E6FA5">
        <w:t xml:space="preserve"> thus</w:t>
      </w:r>
      <w:r w:rsidR="007E2590">
        <w:t>,</w:t>
      </w:r>
      <w:r w:rsidRPr="006E6FA5">
        <w:t xml:space="preserve"> electricity suppliers are still required to present green certificates. Furthermore, new installations can still obtain subsidies via the National Rural Development Programme, as well as consistent financial support </w:t>
      </w:r>
      <w:r>
        <w:t>for</w:t>
      </w:r>
      <w:r w:rsidRPr="006E6FA5">
        <w:t xml:space="preserve"> electricity generated from biomass, biogas, and geothermal sources. As of January 2019, financing is also available for PV (photovoltaic systems)</w:t>
      </w:r>
      <w:r w:rsidR="00AF3CC8">
        <w:t xml:space="preserve"> of</w:t>
      </w:r>
      <w:r>
        <w:t xml:space="preserve"> </w:t>
      </w:r>
      <w:r w:rsidRPr="006E6FA5">
        <w:t xml:space="preserve">up to 90% of total installation costs (Res Legal Europe, 2019). </w:t>
      </w:r>
    </w:p>
    <w:p w14:paraId="22D3C76D" w14:textId="31966C80" w:rsidR="007E6E86" w:rsidRPr="006E6FA5" w:rsidRDefault="007E6E86" w:rsidP="008B3381">
      <w:pPr>
        <w:spacing w:line="480" w:lineRule="auto"/>
        <w:jc w:val="both"/>
      </w:pPr>
    </w:p>
    <w:p w14:paraId="2C87105B" w14:textId="54589E95" w:rsidR="00992C72" w:rsidRPr="006E6FA5" w:rsidRDefault="007E6E86" w:rsidP="007E6E86">
      <w:pPr>
        <w:spacing w:line="480" w:lineRule="auto"/>
        <w:jc w:val="both"/>
      </w:pPr>
      <w:r w:rsidRPr="006E6FA5">
        <w:t xml:space="preserve">The National Integrated Plan for Energy and Climate Change 2021-2030 stipulates that the share of renewable energy will reach 27.9% of Romania's gross final consumption in 2030, only slightly above the level achieved 15 years earlier. According to Eurostat, 25% of the energy consumption in 2016 was from renewables. Currently, the 2030 projections foresee an increase in wind capacity to 4,300 MW from about 3,000 MW in 2020, and </w:t>
      </w:r>
      <w:r w:rsidR="000C5880" w:rsidRPr="006E6FA5">
        <w:t xml:space="preserve">in </w:t>
      </w:r>
      <w:r w:rsidRPr="006E6FA5">
        <w:t xml:space="preserve">photovoltaic capacity to about 3,100 MW (more than double compared to 2020). Based on this, according to the RWEA (Romanian Wind Energy Association) study, the country could reach a conservative 32.4% share in 2030, </w:t>
      </w:r>
      <w:r w:rsidR="000C5880" w:rsidRPr="006E6FA5">
        <w:t xml:space="preserve">or an even </w:t>
      </w:r>
      <w:r w:rsidRPr="006E6FA5">
        <w:t>more ambitious potential of 35% (with additional wind power capacities ranging from 3000 to 4000 MW). This is achievable with considerably low</w:t>
      </w:r>
      <w:r w:rsidR="000C5880" w:rsidRPr="006E6FA5">
        <w:t>er</w:t>
      </w:r>
      <w:r w:rsidRPr="006E6FA5">
        <w:t xml:space="preserve"> investments than those </w:t>
      </w:r>
      <w:r w:rsidR="000C5880" w:rsidRPr="006E6FA5">
        <w:t>taken into account</w:t>
      </w:r>
      <w:r w:rsidRPr="006E6FA5">
        <w:t xml:space="preserve"> by the PNIESC </w:t>
      </w:r>
      <w:r w:rsidR="000C5880" w:rsidRPr="006E6FA5">
        <w:t xml:space="preserve">(the </w:t>
      </w:r>
      <w:r w:rsidRPr="006E6FA5">
        <w:t xml:space="preserve">National Integrated Plan </w:t>
      </w:r>
      <w:r w:rsidRPr="006E6FA5">
        <w:lastRenderedPageBreak/>
        <w:t>for Energy and Climate Change). RWEA recalls that between 25% and 30% of the cost</w:t>
      </w:r>
      <w:r w:rsidR="000C5880" w:rsidRPr="006E6FA5">
        <w:t>s</w:t>
      </w:r>
      <w:r w:rsidRPr="006E6FA5">
        <w:t xml:space="preserve"> of transition to a sustainable energy system can be covered by the means provided by the Union</w:t>
      </w:r>
      <w:r w:rsidR="00124328" w:rsidRPr="006E6FA5">
        <w:t>, in addition to which</w:t>
      </w:r>
      <w:r w:rsidRPr="006E6FA5">
        <w:t xml:space="preserve"> Romania </w:t>
      </w:r>
      <w:r w:rsidR="00124328" w:rsidRPr="006E6FA5">
        <w:t xml:space="preserve">would </w:t>
      </w:r>
      <w:r w:rsidRPr="006E6FA5">
        <w:t xml:space="preserve">allocate between 4 </w:t>
      </w:r>
      <w:r w:rsidR="00124328" w:rsidRPr="006E6FA5">
        <w:t>to</w:t>
      </w:r>
      <w:r w:rsidRPr="006E6FA5">
        <w:t xml:space="preserve"> 5.5 billion </w:t>
      </w:r>
      <w:r w:rsidR="00A344F7" w:rsidRPr="006E6FA5">
        <w:t xml:space="preserve">€ </w:t>
      </w:r>
      <w:r w:rsidRPr="006E6FA5">
        <w:t xml:space="preserve">in the next 10 years (depending on the ETS price). The lack of </w:t>
      </w:r>
      <w:r w:rsidR="00124328" w:rsidRPr="006E6FA5">
        <w:t xml:space="preserve">the country’s </w:t>
      </w:r>
      <w:r w:rsidRPr="006E6FA5">
        <w:t>ambition was also remarked by NGOs such as Greenpeace and Bankwatch Romania, the World Wildlife Fund (WWF) which keeps</w:t>
      </w:r>
      <w:r w:rsidR="0070304F">
        <w:t xml:space="preserve"> a close eye over the country’s performance </w:t>
      </w:r>
      <w:r w:rsidRPr="006E6FA5">
        <w:t xml:space="preserve">with regards to the objectives of the Paris Agreement, as well as various stakeholders from the private sector. </w:t>
      </w:r>
      <w:r w:rsidR="00A344F7" w:rsidRPr="006E6FA5">
        <w:t xml:space="preserve">Another </w:t>
      </w:r>
      <w:r w:rsidR="00992C72" w:rsidRPr="006E6FA5">
        <w:t>independent study, conducted</w:t>
      </w:r>
      <w:r w:rsidR="00A344F7" w:rsidRPr="006E6FA5">
        <w:t xml:space="preserve"> </w:t>
      </w:r>
      <w:r w:rsidR="00992C72" w:rsidRPr="006E6FA5">
        <w:t>using a methodology similar to that of the PNIESC project, indicate</w:t>
      </w:r>
      <w:r w:rsidR="00A344F7" w:rsidRPr="006E6FA5">
        <w:t>s</w:t>
      </w:r>
      <w:r w:rsidR="00992C72" w:rsidRPr="006E6FA5">
        <w:t xml:space="preserve"> that a 35% renewable energy share in 2030 could be achieved with low</w:t>
      </w:r>
      <w:r w:rsidR="00A344F7" w:rsidRPr="006E6FA5">
        <w:t xml:space="preserve"> </w:t>
      </w:r>
      <w:r w:rsidR="00992C72" w:rsidRPr="006E6FA5">
        <w:t xml:space="preserve">investments </w:t>
      </w:r>
      <w:r w:rsidR="0048079C" w:rsidRPr="006E6FA5">
        <w:t xml:space="preserve">at around </w:t>
      </w:r>
      <w:r w:rsidR="0070304F">
        <w:t>18 billion</w:t>
      </w:r>
      <w:r w:rsidR="00992C72" w:rsidRPr="006E6FA5">
        <w:t>€</w:t>
      </w:r>
      <w:r w:rsidR="0048079C" w:rsidRPr="006E6FA5">
        <w:t xml:space="preserve"> (</w:t>
      </w:r>
      <w:proofErr w:type="spellStart"/>
      <w:r w:rsidR="0048079C" w:rsidRPr="006E6FA5">
        <w:t>Euractiv</w:t>
      </w:r>
      <w:proofErr w:type="spellEnd"/>
      <w:r w:rsidR="0048079C" w:rsidRPr="006E6FA5">
        <w:t>, 2019).</w:t>
      </w:r>
    </w:p>
    <w:p w14:paraId="7BB0AC26" w14:textId="77777777" w:rsidR="00992C72" w:rsidRPr="006E6FA5" w:rsidRDefault="00992C72" w:rsidP="007E6E86">
      <w:pPr>
        <w:spacing w:line="480" w:lineRule="auto"/>
        <w:jc w:val="both"/>
      </w:pPr>
    </w:p>
    <w:p w14:paraId="47C66F26" w14:textId="299CA1E9" w:rsidR="007E6E86" w:rsidRPr="006E6FA5" w:rsidRDefault="007E6E86" w:rsidP="007E6E86">
      <w:pPr>
        <w:spacing w:line="480" w:lineRule="auto"/>
        <w:jc w:val="both"/>
      </w:pPr>
      <w:r w:rsidRPr="006E6FA5">
        <w:t xml:space="preserve">The Ministry of Energy mentions in the PNIESC that more production capacities will be installed, but the final consumption will increase </w:t>
      </w:r>
      <w:r w:rsidR="00F06890">
        <w:t xml:space="preserve">by only about 18% between 2021 and </w:t>
      </w:r>
      <w:r w:rsidRPr="006E6FA5">
        <w:t>2030. Half of the energy consumed in Romania (50.9%) will be destined for heating or co</w:t>
      </w:r>
      <w:r w:rsidR="00F06890">
        <w:t>oling. T</w:t>
      </w:r>
      <w:r w:rsidRPr="006E6FA5">
        <w:t xml:space="preserve">he estimates show a slightly lower percentage than today (54.6%), but still </w:t>
      </w:r>
      <w:r w:rsidR="009B7CFE" w:rsidRPr="006E6FA5">
        <w:t xml:space="preserve">highly </w:t>
      </w:r>
      <w:r w:rsidRPr="006E6FA5">
        <w:t>significant</w:t>
      </w:r>
      <w:r w:rsidR="009B7CFE" w:rsidRPr="006E6FA5">
        <w:t xml:space="preserve"> in the given context</w:t>
      </w:r>
      <w:r w:rsidR="00992C72" w:rsidRPr="006E6FA5">
        <w:t xml:space="preserve">. </w:t>
      </w:r>
      <w:r w:rsidRPr="006E6FA5">
        <w:t>As improvements in the heating and cooling sector are not considered</w:t>
      </w:r>
      <w:r w:rsidR="00992C72" w:rsidRPr="006E6FA5">
        <w:t xml:space="preserve"> thus far by the </w:t>
      </w:r>
      <w:r w:rsidR="007E2590">
        <w:t>G</w:t>
      </w:r>
      <w:r w:rsidR="00992C72" w:rsidRPr="006E6FA5">
        <w:t>overnment</w:t>
      </w:r>
      <w:r w:rsidRPr="006E6FA5">
        <w:t>, despite the need f</w:t>
      </w:r>
      <w:r w:rsidR="007E2590">
        <w:t>or</w:t>
      </w:r>
      <w:r w:rsidRPr="006E6FA5">
        <w:t xml:space="preserve"> a strong development of policies to encourage renewable energy consumption in a linear increase, Romania fails once again to prepare a clear strategy that addresses the biggest challenge of the century, climate change</w:t>
      </w:r>
      <w:r w:rsidR="0048079C" w:rsidRPr="006E6FA5">
        <w:t xml:space="preserve"> </w:t>
      </w:r>
      <w:r w:rsidRPr="006E6FA5">
        <w:t>(</w:t>
      </w:r>
      <w:proofErr w:type="spellStart"/>
      <w:r w:rsidRPr="006E6FA5">
        <w:t>Euractiv</w:t>
      </w:r>
      <w:proofErr w:type="spellEnd"/>
      <w:r w:rsidRPr="006E6FA5">
        <w:t>, 2019).</w:t>
      </w:r>
    </w:p>
    <w:p w14:paraId="4BBB7F01" w14:textId="77777777" w:rsidR="008D1D2A" w:rsidRPr="006E6FA5" w:rsidRDefault="008D1D2A" w:rsidP="00216C69">
      <w:pPr>
        <w:spacing w:line="480" w:lineRule="auto"/>
        <w:jc w:val="both"/>
        <w:rPr>
          <w:b/>
          <w:bCs/>
        </w:rPr>
      </w:pPr>
    </w:p>
    <w:p w14:paraId="70329B75" w14:textId="4D839F85" w:rsidR="00500BFB" w:rsidRPr="006E6FA5" w:rsidRDefault="004C5D85" w:rsidP="00216C69">
      <w:pPr>
        <w:spacing w:line="480" w:lineRule="auto"/>
        <w:jc w:val="both"/>
        <w:rPr>
          <w:b/>
          <w:bCs/>
        </w:rPr>
      </w:pPr>
      <w:r w:rsidRPr="006E6FA5">
        <w:rPr>
          <w:b/>
          <w:bCs/>
        </w:rPr>
        <w:t xml:space="preserve">Contradictory </w:t>
      </w:r>
      <w:r w:rsidR="00FD22EF">
        <w:rPr>
          <w:b/>
          <w:bCs/>
        </w:rPr>
        <w:t>prospects</w:t>
      </w:r>
      <w:r w:rsidRPr="006E6FA5">
        <w:rPr>
          <w:b/>
          <w:bCs/>
        </w:rPr>
        <w:t xml:space="preserve"> </w:t>
      </w:r>
    </w:p>
    <w:p w14:paraId="00F24572" w14:textId="7557986C" w:rsidR="00EF6B95" w:rsidRDefault="00B64E86" w:rsidP="00B64E86">
      <w:pPr>
        <w:spacing w:line="480" w:lineRule="auto"/>
        <w:jc w:val="both"/>
      </w:pPr>
      <w:r w:rsidRPr="006E6FA5">
        <w:t xml:space="preserve">The </w:t>
      </w:r>
      <w:r w:rsidR="00FD22EF">
        <w:t>G</w:t>
      </w:r>
      <w:r w:rsidRPr="006E6FA5">
        <w:t>overnment’s protectionis</w:t>
      </w:r>
      <w:r w:rsidR="008265E5">
        <w:t>t</w:t>
      </w:r>
      <w:r w:rsidRPr="006E6FA5">
        <w:t xml:space="preserve"> </w:t>
      </w:r>
      <w:r w:rsidR="001D114E">
        <w:t>approach</w:t>
      </w:r>
      <w:r w:rsidR="00FD22EF">
        <w:t xml:space="preserve"> </w:t>
      </w:r>
      <w:r w:rsidRPr="006E6FA5">
        <w:t>o</w:t>
      </w:r>
      <w:r w:rsidR="00FD22EF">
        <w:t>ver</w:t>
      </w:r>
      <w:r w:rsidRPr="006E6FA5">
        <w:t xml:space="preserve"> the coal power plants ha</w:t>
      </w:r>
      <w:r w:rsidR="00FD22EF">
        <w:t>s</w:t>
      </w:r>
      <w:r w:rsidRPr="006E6FA5">
        <w:t xml:space="preserve"> made them more dangerous and problematic</w:t>
      </w:r>
      <w:r w:rsidR="00FD22EF">
        <w:t xml:space="preserve"> in 2019</w:t>
      </w:r>
      <w:r w:rsidRPr="006E6FA5">
        <w:t>. None are fully compliant with the EU’s Industrial Emissions Directive, says NGO</w:t>
      </w:r>
      <w:r w:rsidR="00FD22EF">
        <w:t xml:space="preserve"> </w:t>
      </w:r>
      <w:r w:rsidR="00FD22EF" w:rsidRPr="006E6FA5">
        <w:rPr>
          <w:lang w:val="en-US"/>
        </w:rPr>
        <w:t>Bankwatch Network</w:t>
      </w:r>
      <w:r w:rsidRPr="006E6FA5">
        <w:t>, a</w:t>
      </w:r>
      <w:r w:rsidR="00FD22EF">
        <w:t>s</w:t>
      </w:r>
      <w:r w:rsidRPr="006E6FA5">
        <w:t xml:space="preserve"> some are</w:t>
      </w:r>
      <w:r w:rsidR="00FD22EF">
        <w:t xml:space="preserve"> </w:t>
      </w:r>
      <w:r w:rsidRPr="006E6FA5">
        <w:t>operating</w:t>
      </w:r>
      <w:r w:rsidR="00310A49">
        <w:t xml:space="preserve"> </w:t>
      </w:r>
      <w:r w:rsidRPr="006E6FA5">
        <w:t xml:space="preserve">without an environmental permit (IPPC), and </w:t>
      </w:r>
      <w:r w:rsidR="00310A49">
        <w:t>some</w:t>
      </w:r>
      <w:r w:rsidRPr="006E6FA5">
        <w:t xml:space="preserve"> hard coal units have emissions 10-15 time</w:t>
      </w:r>
      <w:r w:rsidR="00310A49">
        <w:t>s</w:t>
      </w:r>
      <w:r w:rsidRPr="006E6FA5">
        <w:t xml:space="preserve"> higher than </w:t>
      </w:r>
      <w:r w:rsidRPr="006E6FA5">
        <w:lastRenderedPageBreak/>
        <w:t xml:space="preserve">the allowed threshold for </w:t>
      </w:r>
      <w:proofErr w:type="spellStart"/>
      <w:r w:rsidRPr="006E6FA5">
        <w:t>SOx</w:t>
      </w:r>
      <w:proofErr w:type="spellEnd"/>
      <w:r w:rsidRPr="006E6FA5">
        <w:t xml:space="preserve"> (sulphur oxides emissions). On top of this, there are new plans for the creation of an additional 600 MW unit at </w:t>
      </w:r>
      <w:proofErr w:type="spellStart"/>
      <w:r w:rsidRPr="006E6FA5">
        <w:t>Rovinari</w:t>
      </w:r>
      <w:proofErr w:type="spellEnd"/>
      <w:r w:rsidRPr="006E6FA5">
        <w:t xml:space="preserve">, where government officials are </w:t>
      </w:r>
      <w:r w:rsidR="00F06890">
        <w:t xml:space="preserve">collaborating </w:t>
      </w:r>
      <w:r w:rsidRPr="006E6FA5">
        <w:t xml:space="preserve">with the Chinese </w:t>
      </w:r>
      <w:r w:rsidR="008265E5">
        <w:t>G</w:t>
      </w:r>
      <w:r w:rsidRPr="006E6FA5">
        <w:t xml:space="preserve">overnment. China’s </w:t>
      </w:r>
      <w:proofErr w:type="spellStart"/>
      <w:r w:rsidRPr="006E6FA5">
        <w:t>Huadian</w:t>
      </w:r>
      <w:proofErr w:type="spellEnd"/>
      <w:r w:rsidRPr="006E6FA5">
        <w:t xml:space="preserve"> Engineering Co. Ltd (CHEC) was selected in 2012 to build the new brownfield unit in </w:t>
      </w:r>
      <w:proofErr w:type="spellStart"/>
      <w:r w:rsidRPr="006E6FA5">
        <w:t>Oltenia</w:t>
      </w:r>
      <w:proofErr w:type="spellEnd"/>
      <w:r w:rsidRPr="006E6FA5">
        <w:t xml:space="preserve"> Energy Complex. The two main coal industries in the country, </w:t>
      </w:r>
      <w:proofErr w:type="spellStart"/>
      <w:r w:rsidRPr="006E6FA5">
        <w:t>Oltenia</w:t>
      </w:r>
      <w:proofErr w:type="spellEnd"/>
      <w:r w:rsidRPr="006E6FA5">
        <w:t xml:space="preserve"> Energy Complex (delivering 80% of the country’s coal-based electricity), and hard coal processing Hunedoara Energy Complex, are overstaffed</w:t>
      </w:r>
      <w:r w:rsidR="008265E5">
        <w:t>,</w:t>
      </w:r>
      <w:r w:rsidRPr="006E6FA5">
        <w:t xml:space="preserve"> and lack transparency</w:t>
      </w:r>
      <w:r w:rsidR="00310A49">
        <w:t xml:space="preserve"> within the</w:t>
      </w:r>
      <w:r w:rsidR="00EF6B95">
        <w:t>ir apparatuses,</w:t>
      </w:r>
      <w:r w:rsidRPr="006E6FA5">
        <w:t xml:space="preserve"> as their finances</w:t>
      </w:r>
      <w:r w:rsidR="008265E5">
        <w:t>,</w:t>
      </w:r>
      <w:r w:rsidRPr="006E6FA5">
        <w:t xml:space="preserve"> very much depend on the success of other corporations. In</w:t>
      </w:r>
      <w:r w:rsidR="00491EE8">
        <w:t xml:space="preserve"> May 2018, Romania was also </w:t>
      </w:r>
      <w:r w:rsidRPr="006E6FA5">
        <w:t>taken to the CJEU (The Court of Justice of the European Union) for repeated failures in tackling air pollution</w:t>
      </w:r>
      <w:r w:rsidR="00EF6B95">
        <w:t xml:space="preserve"> </w:t>
      </w:r>
      <w:r w:rsidR="00EF6B95" w:rsidRPr="006E6FA5">
        <w:rPr>
          <w:lang w:val="en-US"/>
        </w:rPr>
        <w:t>(Bankwatch Network, 2019).</w:t>
      </w:r>
    </w:p>
    <w:p w14:paraId="089387F1" w14:textId="77777777" w:rsidR="00E30FB9" w:rsidRDefault="00E30FB9" w:rsidP="00B64E86">
      <w:pPr>
        <w:spacing w:line="480" w:lineRule="auto"/>
        <w:jc w:val="both"/>
      </w:pPr>
    </w:p>
    <w:p w14:paraId="0804EFEE" w14:textId="46D50775" w:rsidR="00520F10" w:rsidRDefault="007F582A" w:rsidP="00520F10">
      <w:pPr>
        <w:spacing w:line="480" w:lineRule="auto"/>
        <w:jc w:val="both"/>
      </w:pPr>
      <w:r>
        <w:t>In the same year, t</w:t>
      </w:r>
      <w:r w:rsidR="00520F10" w:rsidRPr="006E6FA5">
        <w:t xml:space="preserve">he Academy for Renewable Energy and the Distribution of Electric Energy </w:t>
      </w:r>
      <w:r w:rsidR="00620E57">
        <w:t>announced that as of August 2019, it w</w:t>
      </w:r>
      <w:r w:rsidR="008265E5">
        <w:t>ould</w:t>
      </w:r>
      <w:r w:rsidR="00620E57">
        <w:t xml:space="preserve"> </w:t>
      </w:r>
      <w:r>
        <w:t>start</w:t>
      </w:r>
      <w:r w:rsidR="00520F10" w:rsidRPr="006E6FA5">
        <w:t xml:space="preserve"> recruit</w:t>
      </w:r>
      <w:r w:rsidR="00620E57">
        <w:t>ing</w:t>
      </w:r>
      <w:r w:rsidR="00520F10" w:rsidRPr="006E6FA5">
        <w:t xml:space="preserve"> new staff from the mining sector into the renewables one. The </w:t>
      </w:r>
      <w:r w:rsidR="00802131">
        <w:t xml:space="preserve">initiative was </w:t>
      </w:r>
      <w:r w:rsidR="00520F10" w:rsidRPr="006E6FA5">
        <w:t xml:space="preserve">launched under the aegis of the Ministry of Energy by the Romanian Association for Renewable Energy, the RESS-MONSSON Academy and CEZ Romania, </w:t>
      </w:r>
      <w:r w:rsidR="00802131">
        <w:t xml:space="preserve">and </w:t>
      </w:r>
      <w:r w:rsidR="00520F10" w:rsidRPr="006E6FA5">
        <w:t>aims to provide employees coming from the mining sector with an alternative for professional reconversion. It commences with a portal for the pre-registration of those interested in participating in retraining and training courses. Through the Mining Professionals Mining Project in the Jiu Valley, 5.000 miners will be trained to become employees in the production of wind energy and electricity distribution (Agerpress, 2019).</w:t>
      </w:r>
    </w:p>
    <w:p w14:paraId="09C5E593" w14:textId="77777777" w:rsidR="00520F10" w:rsidRDefault="00520F10" w:rsidP="00B64E86">
      <w:pPr>
        <w:spacing w:line="480" w:lineRule="auto"/>
        <w:jc w:val="both"/>
      </w:pPr>
    </w:p>
    <w:p w14:paraId="3D926FAA" w14:textId="3FC580D9" w:rsidR="00B64E86" w:rsidRPr="006E6FA5" w:rsidRDefault="003E471A" w:rsidP="00B64E86">
      <w:pPr>
        <w:spacing w:line="480" w:lineRule="auto"/>
        <w:jc w:val="both"/>
      </w:pPr>
      <w:r>
        <w:t>On that note</w:t>
      </w:r>
      <w:r w:rsidR="00B64E86" w:rsidRPr="006E6FA5">
        <w:t>,</w:t>
      </w:r>
      <w:r w:rsidR="003A17BB">
        <w:t xml:space="preserve"> the Rom</w:t>
      </w:r>
      <w:r>
        <w:t>anian Executive is also investing</w:t>
      </w:r>
      <w:r w:rsidR="003A17BB">
        <w:t xml:space="preserve"> </w:t>
      </w:r>
      <w:r>
        <w:t>most of its efforts</w:t>
      </w:r>
      <w:r w:rsidR="003A17BB">
        <w:t xml:space="preserve"> towards </w:t>
      </w:r>
      <w:r w:rsidR="00CD0A2F">
        <w:t>RES, in particular</w:t>
      </w:r>
      <w:r w:rsidR="0044529F">
        <w:t xml:space="preserve"> </w:t>
      </w:r>
      <w:r w:rsidR="009303F2">
        <w:t xml:space="preserve">in </w:t>
      </w:r>
      <w:r w:rsidR="003A17BB">
        <w:t>wind power</w:t>
      </w:r>
      <w:r w:rsidR="00CD7F41">
        <w:t xml:space="preserve"> and CSP</w:t>
      </w:r>
      <w:r w:rsidR="003A17BB">
        <w:t>.</w:t>
      </w:r>
      <w:r w:rsidR="008A7E5D">
        <w:t xml:space="preserve"> </w:t>
      </w:r>
      <w:r w:rsidR="003A17BB">
        <w:t>T</w:t>
      </w:r>
      <w:r w:rsidR="00CE3A17">
        <w:t>he</w:t>
      </w:r>
      <w:r w:rsidR="00B64E86" w:rsidRPr="006E6FA5">
        <w:t xml:space="preserve"> electricity production generated from wind sources registered fast growth</w:t>
      </w:r>
      <w:r w:rsidR="0044529F">
        <w:t xml:space="preserve"> in the past years</w:t>
      </w:r>
      <w:r w:rsidR="00B64E86" w:rsidRPr="006E6FA5">
        <w:t xml:space="preserve"> as a result of </w:t>
      </w:r>
      <w:r w:rsidR="0044529F">
        <w:t xml:space="preserve">the </w:t>
      </w:r>
      <w:r w:rsidR="00B64E86" w:rsidRPr="006E6FA5">
        <w:t xml:space="preserve">existing potential and the implementation of policies favourable towards RES-E. The country’s wind energy is seen as </w:t>
      </w:r>
      <w:r w:rsidR="00B64E86" w:rsidRPr="006E6FA5">
        <w:lastRenderedPageBreak/>
        <w:t>the highest in South</w:t>
      </w:r>
      <w:r w:rsidR="008265E5">
        <w:t>-</w:t>
      </w:r>
      <w:r w:rsidR="00B64E86" w:rsidRPr="006E6FA5">
        <w:t xml:space="preserve">Eastern Europe (approximately 14000 MW, generating 23 </w:t>
      </w:r>
      <w:proofErr w:type="spellStart"/>
      <w:r w:rsidR="00B64E86" w:rsidRPr="006E6FA5">
        <w:t>TWh</w:t>
      </w:r>
      <w:proofErr w:type="spellEnd"/>
      <w:r w:rsidR="00B64E86" w:rsidRPr="006E6FA5">
        <w:t>/ year). As important inves</w:t>
      </w:r>
      <w:r w:rsidR="009303F2">
        <w:t>tments were made in this sector</w:t>
      </w:r>
      <w:r w:rsidR="00B64E86" w:rsidRPr="006E6FA5">
        <w:t xml:space="preserve"> in 2016, wind energy reached 12.5% of total national consumption, compared </w:t>
      </w:r>
      <w:r w:rsidR="008265E5">
        <w:t xml:space="preserve">to the </w:t>
      </w:r>
      <w:r w:rsidR="00B64E86" w:rsidRPr="006E6FA5">
        <w:t>EU average of 10.4%. The solar industry</w:t>
      </w:r>
      <w:r w:rsidR="008265E5">
        <w:t>,</w:t>
      </w:r>
      <w:r w:rsidR="00B64E86" w:rsidRPr="006E6FA5">
        <w:t xml:space="preserve"> too</w:t>
      </w:r>
      <w:r w:rsidR="008265E5">
        <w:t>,</w:t>
      </w:r>
      <w:r w:rsidR="00B64E86" w:rsidRPr="006E6FA5">
        <w:t xml:space="preserve"> has great prognostics. According to the National Energy Strategy, the country’s solar potential can </w:t>
      </w:r>
      <w:r w:rsidR="009303F2">
        <w:t>generate 1.2TWh of electricity/</w:t>
      </w:r>
      <w:r w:rsidR="00B64E86" w:rsidRPr="006E6FA5">
        <w:t xml:space="preserve">year, roughly 2.5% of national consumption </w:t>
      </w:r>
      <w:r w:rsidR="00B64E86" w:rsidRPr="006E6FA5">
        <w:rPr>
          <w:lang w:val="en-US"/>
        </w:rPr>
        <w:t>(Bankwatch Network, 2019).</w:t>
      </w:r>
    </w:p>
    <w:p w14:paraId="22F4B420" w14:textId="3ABDF1A0" w:rsidR="007F582A" w:rsidRDefault="007F582A" w:rsidP="00216C69">
      <w:pPr>
        <w:spacing w:line="480" w:lineRule="auto"/>
        <w:jc w:val="both"/>
        <w:rPr>
          <w:b/>
          <w:bCs/>
        </w:rPr>
      </w:pPr>
    </w:p>
    <w:p w14:paraId="18DC8AEE" w14:textId="22B6F7A4" w:rsidR="006D0E12" w:rsidRPr="006E6FA5" w:rsidRDefault="006D0E12" w:rsidP="006D0E12">
      <w:pPr>
        <w:spacing w:line="480" w:lineRule="auto"/>
        <w:jc w:val="both"/>
      </w:pPr>
      <w:r w:rsidRPr="006E6FA5">
        <w:t>Th</w:t>
      </w:r>
      <w:r>
        <w:t xml:space="preserve">is is </w:t>
      </w:r>
      <w:r w:rsidR="002B7340">
        <w:t>particularly</w:t>
      </w:r>
      <w:r>
        <w:t xml:space="preserve"> acclaimed in the South-East </w:t>
      </w:r>
      <w:r w:rsidR="009303F2">
        <w:t xml:space="preserve">region </w:t>
      </w:r>
      <w:r w:rsidR="002B7340">
        <w:t xml:space="preserve">of the country, where there </w:t>
      </w:r>
      <w:r w:rsidR="009303F2">
        <w:t>is an</w:t>
      </w:r>
      <w:r w:rsidR="002B7340">
        <w:t xml:space="preserve"> important wind and solar</w:t>
      </w:r>
      <w:r w:rsidR="005D6D8F">
        <w:t xml:space="preserve"> potential for the proliferation of turbines, wind farms, and the usage of solar power</w:t>
      </w:r>
      <w:r w:rsidR="002B7340">
        <w:t xml:space="preserve">. </w:t>
      </w:r>
      <w:r w:rsidR="005D6D8F">
        <w:t>In this sense, th</w:t>
      </w:r>
      <w:r w:rsidR="009303F2">
        <w:t>e organis</w:t>
      </w:r>
      <w:r w:rsidRPr="006E6FA5">
        <w:t xml:space="preserve">ers of </w:t>
      </w:r>
      <w:r w:rsidR="005D6D8F">
        <w:t>the</w:t>
      </w:r>
      <w:r w:rsidRPr="006E6FA5">
        <w:t xml:space="preserve"> seaside-based </w:t>
      </w:r>
      <w:proofErr w:type="spellStart"/>
      <w:r w:rsidRPr="006E6FA5">
        <w:t>Neversea</w:t>
      </w:r>
      <w:proofErr w:type="spellEnd"/>
      <w:r w:rsidRPr="006E6FA5">
        <w:t xml:space="preserve"> festival announced that in 2020</w:t>
      </w:r>
      <w:r w:rsidR="005D6D8F">
        <w:t>,</w:t>
      </w:r>
      <w:r w:rsidR="009303F2">
        <w:t xml:space="preserve"> they will make </w:t>
      </w:r>
      <w:r w:rsidRPr="006E6FA5">
        <w:t xml:space="preserve">the first green festival in the world. The country manager of the utility company CEZ, </w:t>
      </w:r>
      <w:proofErr w:type="spellStart"/>
      <w:r w:rsidRPr="006E6FA5">
        <w:t>Ondrej</w:t>
      </w:r>
      <w:proofErr w:type="spellEnd"/>
      <w:r w:rsidRPr="006E6FA5">
        <w:t xml:space="preserve"> Safar, stated that </w:t>
      </w:r>
      <w:r w:rsidR="009303F2">
        <w:t>the festival would be the world’</w:t>
      </w:r>
      <w:r w:rsidRPr="006E6FA5">
        <w:t xml:space="preserve">s first fully </w:t>
      </w:r>
      <w:r w:rsidR="009303F2">
        <w:t>RES-E powered one</w:t>
      </w:r>
      <w:r w:rsidRPr="006E6FA5">
        <w:t xml:space="preserve">. </w:t>
      </w:r>
      <w:r w:rsidR="00C237DC">
        <w:t>W</w:t>
      </w:r>
      <w:r w:rsidRPr="006E6FA5">
        <w:t xml:space="preserve">ith its basis in Romania, CEZ owns the largest terrestrial wind park in Europe, and can thus supply power to over one million Romanian households every year. The wind turbines from </w:t>
      </w:r>
      <w:proofErr w:type="spellStart"/>
      <w:r w:rsidRPr="006E6FA5">
        <w:t>Fântânele</w:t>
      </w:r>
      <w:proofErr w:type="spellEnd"/>
      <w:r w:rsidRPr="006E6FA5">
        <w:t xml:space="preserve"> and </w:t>
      </w:r>
      <w:proofErr w:type="spellStart"/>
      <w:r w:rsidRPr="006E6FA5">
        <w:t>Cogealac</w:t>
      </w:r>
      <w:proofErr w:type="spellEnd"/>
      <w:r w:rsidRPr="006E6FA5">
        <w:t xml:space="preserve"> communes in </w:t>
      </w:r>
      <w:proofErr w:type="spellStart"/>
      <w:r w:rsidRPr="006E6FA5">
        <w:t>Constanţa</w:t>
      </w:r>
      <w:proofErr w:type="spellEnd"/>
      <w:r w:rsidRPr="006E6FA5">
        <w:t xml:space="preserve"> County (wher</w:t>
      </w:r>
      <w:r w:rsidR="009303F2">
        <w:t>e the festival takes place), have</w:t>
      </w:r>
      <w:r w:rsidRPr="006E6FA5">
        <w:t xml:space="preserve"> an installed capacity of 600 MW. Last year, the wind turbines generated 1,105 GWh, CEZ being the largest private renewable energy producer in Romania. In 2019, the </w:t>
      </w:r>
      <w:proofErr w:type="spellStart"/>
      <w:r w:rsidRPr="006E6FA5">
        <w:t>Neversea</w:t>
      </w:r>
      <w:proofErr w:type="spellEnd"/>
      <w:r w:rsidRPr="006E6FA5">
        <w:t xml:space="preserve"> Festival took place between 4 and 7 July</w:t>
      </w:r>
      <w:r w:rsidR="00C237DC">
        <w:t xml:space="preserve"> and </w:t>
      </w:r>
      <w:r w:rsidRPr="006E6FA5">
        <w:t>gather</w:t>
      </w:r>
      <w:r w:rsidR="00C237DC">
        <w:t>ed</w:t>
      </w:r>
      <w:r w:rsidRPr="006E6FA5">
        <w:t xml:space="preserve"> over 240.000 spectators (</w:t>
      </w:r>
      <w:proofErr w:type="spellStart"/>
      <w:r w:rsidRPr="006E6FA5">
        <w:t>Jurnalul</w:t>
      </w:r>
      <w:proofErr w:type="spellEnd"/>
      <w:r w:rsidRPr="006E6FA5">
        <w:t xml:space="preserve">, 2019). </w:t>
      </w:r>
    </w:p>
    <w:p w14:paraId="03FA8EB5" w14:textId="77777777" w:rsidR="008D1D2A" w:rsidRDefault="008D1D2A" w:rsidP="00216C69">
      <w:pPr>
        <w:spacing w:line="480" w:lineRule="auto"/>
        <w:jc w:val="both"/>
        <w:rPr>
          <w:b/>
          <w:bCs/>
        </w:rPr>
      </w:pPr>
    </w:p>
    <w:p w14:paraId="00BB9B65" w14:textId="032E3773" w:rsidR="008D6E23" w:rsidRDefault="008A4A34" w:rsidP="00216C69">
      <w:pPr>
        <w:spacing w:line="480" w:lineRule="auto"/>
        <w:jc w:val="both"/>
        <w:rPr>
          <w:b/>
          <w:bCs/>
        </w:rPr>
      </w:pPr>
      <w:r w:rsidRPr="006E6FA5">
        <w:rPr>
          <w:b/>
          <w:bCs/>
        </w:rPr>
        <w:t xml:space="preserve">Current </w:t>
      </w:r>
      <w:r w:rsidR="00FD5425">
        <w:rPr>
          <w:b/>
          <w:bCs/>
        </w:rPr>
        <w:t xml:space="preserve">trends and outlooks </w:t>
      </w:r>
    </w:p>
    <w:p w14:paraId="0BEA6196" w14:textId="08C834AB" w:rsidR="00DD5934" w:rsidRPr="006E6FA5" w:rsidRDefault="004E1E61" w:rsidP="00DD5934">
      <w:pPr>
        <w:spacing w:line="480" w:lineRule="auto"/>
        <w:jc w:val="both"/>
      </w:pPr>
      <w:r>
        <w:rPr>
          <w:lang w:val="en-US"/>
        </w:rPr>
        <w:t>Apart from the national commitment</w:t>
      </w:r>
      <w:r w:rsidR="00BA7790">
        <w:rPr>
          <w:lang w:val="en-US"/>
        </w:rPr>
        <w:t>s within</w:t>
      </w:r>
      <w:r>
        <w:rPr>
          <w:lang w:val="en-US"/>
        </w:rPr>
        <w:t xml:space="preserve"> the EU Directive, </w:t>
      </w:r>
      <w:r w:rsidR="00BA7790">
        <w:rPr>
          <w:lang w:val="en-US"/>
        </w:rPr>
        <w:t xml:space="preserve">MS must also be in line with the </w:t>
      </w:r>
      <w:r w:rsidR="006B1F47">
        <w:rPr>
          <w:lang w:val="en-US"/>
        </w:rPr>
        <w:t>framework</w:t>
      </w:r>
      <w:r w:rsidR="00BA7790">
        <w:rPr>
          <w:lang w:val="en-US"/>
        </w:rPr>
        <w:t xml:space="preserve"> of</w:t>
      </w:r>
      <w:r w:rsidR="006B1F47">
        <w:rPr>
          <w:lang w:val="en-US"/>
        </w:rPr>
        <w:t xml:space="preserve"> the</w:t>
      </w:r>
      <w:r w:rsidR="00BA7790">
        <w:rPr>
          <w:lang w:val="en-US"/>
        </w:rPr>
        <w:t xml:space="preserve"> ETS. </w:t>
      </w:r>
      <w:r w:rsidR="00DD5934" w:rsidRPr="006E6FA5">
        <w:rPr>
          <w:lang w:val="en-US"/>
        </w:rPr>
        <w:t>The EU</w:t>
      </w:r>
      <w:r w:rsidR="00BA7790">
        <w:rPr>
          <w:lang w:val="en-US"/>
        </w:rPr>
        <w:t xml:space="preserve"> </w:t>
      </w:r>
      <w:r w:rsidR="00DD5934" w:rsidRPr="006E6FA5">
        <w:rPr>
          <w:lang w:val="en-US"/>
        </w:rPr>
        <w:t>emissions trading system (ETS) is the Union’s policy in combating climate change</w:t>
      </w:r>
      <w:r w:rsidR="00FB4589">
        <w:rPr>
          <w:lang w:val="en-US"/>
        </w:rPr>
        <w:t xml:space="preserve"> and </w:t>
      </w:r>
      <w:r w:rsidR="00DD5934" w:rsidRPr="006E6FA5">
        <w:rPr>
          <w:lang w:val="en-US"/>
        </w:rPr>
        <w:t>tackling the reduction of GHG cost-effectively. Set around 4 key phases</w:t>
      </w:r>
      <w:r w:rsidR="00EA6AA1">
        <w:rPr>
          <w:lang w:val="en-US"/>
        </w:rPr>
        <w:t>;</w:t>
      </w:r>
      <w:r w:rsidR="00DD5934" w:rsidRPr="006E6FA5">
        <w:rPr>
          <w:lang w:val="en-US"/>
        </w:rPr>
        <w:t xml:space="preserve"> it is the first major carbon market in the world. </w:t>
      </w:r>
      <w:r w:rsidR="00FB4589">
        <w:rPr>
          <w:lang w:val="en-US"/>
        </w:rPr>
        <w:t>In the current phase,</w:t>
      </w:r>
      <w:r w:rsidR="00DD5934" w:rsidRPr="006E6FA5">
        <w:rPr>
          <w:lang w:val="en-US"/>
        </w:rPr>
        <w:t xml:space="preserve"> phase 3</w:t>
      </w:r>
      <w:r w:rsidR="006B1F47">
        <w:rPr>
          <w:lang w:val="en-US"/>
        </w:rPr>
        <w:t>,</w:t>
      </w:r>
      <w:r w:rsidR="00FB4589">
        <w:rPr>
          <w:lang w:val="en-US"/>
        </w:rPr>
        <w:t xml:space="preserve"> which </w:t>
      </w:r>
      <w:r w:rsidR="00FB4589">
        <w:rPr>
          <w:lang w:val="en-US"/>
        </w:rPr>
        <w:lastRenderedPageBreak/>
        <w:t xml:space="preserve">ends in </w:t>
      </w:r>
      <w:r w:rsidR="00DD5934" w:rsidRPr="006E6FA5">
        <w:rPr>
          <w:lang w:val="en-US"/>
        </w:rPr>
        <w:t xml:space="preserve">2020, emissions from sectors covered by the system </w:t>
      </w:r>
      <w:r w:rsidR="006B1F47">
        <w:rPr>
          <w:lang w:val="en-US"/>
        </w:rPr>
        <w:t>will</w:t>
      </w:r>
      <w:r w:rsidR="00DD5934" w:rsidRPr="006E6FA5">
        <w:rPr>
          <w:lang w:val="en-US"/>
        </w:rPr>
        <w:t xml:space="preserve"> be 21% lower than in 2005. In phase 4, these emissions </w:t>
      </w:r>
      <w:r w:rsidR="006B1F47">
        <w:rPr>
          <w:lang w:val="en-US"/>
        </w:rPr>
        <w:t xml:space="preserve">aim to </w:t>
      </w:r>
      <w:r w:rsidR="00DD5934" w:rsidRPr="006E6FA5">
        <w:rPr>
          <w:lang w:val="en-US"/>
        </w:rPr>
        <w:t xml:space="preserve">be by 43% lower </w:t>
      </w:r>
      <w:r w:rsidR="006B1F47">
        <w:rPr>
          <w:lang w:val="en-US"/>
        </w:rPr>
        <w:t>until</w:t>
      </w:r>
      <w:r w:rsidR="00DD5934" w:rsidRPr="006E6FA5">
        <w:rPr>
          <w:lang w:val="en-US"/>
        </w:rPr>
        <w:t xml:space="preserve"> 2030. Within ETS, corporations receive or buy emission allowances to trade with one another as needed </w:t>
      </w:r>
      <w:r w:rsidR="00DD5934" w:rsidRPr="006E6FA5">
        <w:t xml:space="preserve">(European Commission, 2019). Romania participates in the ETS </w:t>
      </w:r>
      <w:r w:rsidR="00056C05">
        <w:t xml:space="preserve">framework </w:t>
      </w:r>
      <w:r w:rsidR="00DD5934" w:rsidRPr="006E6FA5">
        <w:t>from its</w:t>
      </w:r>
      <w:r w:rsidR="00815C23">
        <w:t xml:space="preserve"> very</w:t>
      </w:r>
      <w:r w:rsidR="00DD5934" w:rsidRPr="006E6FA5">
        <w:t xml:space="preserve"> accession </w:t>
      </w:r>
      <w:r w:rsidR="006B1F47">
        <w:t xml:space="preserve">to the Union </w:t>
      </w:r>
      <w:r w:rsidR="00815C23">
        <w:t>in</w:t>
      </w:r>
      <w:r w:rsidR="00DD5934" w:rsidRPr="006E6FA5">
        <w:t xml:space="preserve"> January 2007</w:t>
      </w:r>
      <w:r w:rsidR="006B1F47">
        <w:t xml:space="preserve">. </w:t>
      </w:r>
      <w:r w:rsidR="00056C05">
        <w:t xml:space="preserve">As such, </w:t>
      </w:r>
      <w:r w:rsidR="00C3047D">
        <w:t xml:space="preserve">the state benefits from the </w:t>
      </w:r>
      <w:r w:rsidR="00056C05" w:rsidRPr="00056C05">
        <w:t xml:space="preserve">300 million allowances </w:t>
      </w:r>
      <w:r w:rsidR="00C3047D">
        <w:t>that are</w:t>
      </w:r>
      <w:r w:rsidR="00056C05">
        <w:t xml:space="preserve"> </w:t>
      </w:r>
      <w:r w:rsidR="00056C05" w:rsidRPr="00056C05">
        <w:t>set aside in the New Entrants Reserve to fund the deployment of innovative r</w:t>
      </w:r>
      <w:r w:rsidR="009303F2">
        <w:t>enewable energy technologies for</w:t>
      </w:r>
      <w:r w:rsidR="00056C05" w:rsidRPr="00056C05">
        <w:t xml:space="preserve"> carbon capture and storage through the NER 300 programme</w:t>
      </w:r>
      <w:r w:rsidR="00DD5934" w:rsidRPr="006E6FA5">
        <w:t xml:space="preserve"> (</w:t>
      </w:r>
      <w:proofErr w:type="spellStart"/>
      <w:r w:rsidR="00DD5934" w:rsidRPr="006E6FA5">
        <w:t>Ministerul</w:t>
      </w:r>
      <w:proofErr w:type="spellEnd"/>
      <w:r w:rsidR="00DD5934" w:rsidRPr="006E6FA5">
        <w:t xml:space="preserve"> </w:t>
      </w:r>
      <w:proofErr w:type="spellStart"/>
      <w:r w:rsidR="00DD5934" w:rsidRPr="006E6FA5">
        <w:t>Mediului</w:t>
      </w:r>
      <w:proofErr w:type="spellEnd"/>
      <w:r w:rsidR="00DD5934" w:rsidRPr="006E6FA5">
        <w:t xml:space="preserve">, 2019). Moreover, Romania is committed to fighting climate change and pursuing low carbon development. As a result, the </w:t>
      </w:r>
      <w:r w:rsidR="00C3047D">
        <w:t>E</w:t>
      </w:r>
      <w:r w:rsidR="00DD5934" w:rsidRPr="006E6FA5">
        <w:t>xecutive</w:t>
      </w:r>
      <w:r w:rsidR="009303F2">
        <w:t>,</w:t>
      </w:r>
      <w:r w:rsidR="00DD5934" w:rsidRPr="006E6FA5">
        <w:t xml:space="preserve"> via the Ministry of Environment and Climate Change (MECC), has requested the World Bank to provide advisory services to help meet </w:t>
      </w:r>
      <w:r w:rsidR="00C3047D">
        <w:t>its engagements</w:t>
      </w:r>
      <w:r w:rsidR="00DD5934" w:rsidRPr="006E6FA5">
        <w:t xml:space="preserve">. The joint programme between the World Bank and MECC aims to aid Romania in attaining the </w:t>
      </w:r>
      <w:r w:rsidR="00DD5934" w:rsidRPr="00C3047D">
        <w:rPr>
          <w:i/>
          <w:iCs/>
        </w:rPr>
        <w:t>Europe 2020 Strategy</w:t>
      </w:r>
      <w:r w:rsidR="00DD5934" w:rsidRPr="006E6FA5">
        <w:t xml:space="preserve"> objective through the integration of both mitigation and adaptation actions into Romania’s national strategies</w:t>
      </w:r>
      <w:r w:rsidR="004412DB">
        <w:t xml:space="preserve"> and </w:t>
      </w:r>
      <w:r w:rsidR="00DD5934" w:rsidRPr="006E6FA5">
        <w:t xml:space="preserve">policies (World Bank, 2019). The Government also considers introducing a scheme for offsetting the cost of EU ETS. The scheme would be available to the firms </w:t>
      </w:r>
      <w:r w:rsidR="004412DB">
        <w:t xml:space="preserve">that are </w:t>
      </w:r>
      <w:r w:rsidR="00DD5934" w:rsidRPr="006E6FA5">
        <w:t>already required</w:t>
      </w:r>
      <w:r w:rsidR="009303F2">
        <w:t xml:space="preserve"> to hold emission allowances, and to use some of the already 15 existing</w:t>
      </w:r>
      <w:r w:rsidR="00DD5934" w:rsidRPr="006E6FA5">
        <w:t xml:space="preserve"> schemes i</w:t>
      </w:r>
      <w:r w:rsidR="009303F2">
        <w:t xml:space="preserve">n the EU </w:t>
      </w:r>
      <w:r w:rsidR="00DD5934" w:rsidRPr="006E6FA5">
        <w:t xml:space="preserve">as a model. In this sense, the most affected company would be the </w:t>
      </w:r>
      <w:proofErr w:type="spellStart"/>
      <w:r w:rsidR="00DD5934" w:rsidRPr="006E6FA5">
        <w:t>Oltenia</w:t>
      </w:r>
      <w:proofErr w:type="spellEnd"/>
      <w:r w:rsidR="00DD5934" w:rsidRPr="006E6FA5">
        <w:t xml:space="preserve"> Power Complex. In 2018 alone, the company paid approximately 296 million</w:t>
      </w:r>
      <w:r w:rsidR="004412DB">
        <w:t xml:space="preserve"> </w:t>
      </w:r>
      <w:r w:rsidR="00DD5934" w:rsidRPr="006E6FA5">
        <w:t>€ for its emission allowances. In the same year, the company posted a 233 million</w:t>
      </w:r>
      <w:r w:rsidR="004412DB">
        <w:t xml:space="preserve"> </w:t>
      </w:r>
      <w:r w:rsidR="00DD5934" w:rsidRPr="006E6FA5">
        <w:t>€ loss (Balkan Green Energy News, 2019).</w:t>
      </w:r>
    </w:p>
    <w:p w14:paraId="1F11E0D1" w14:textId="77777777" w:rsidR="00DD5934" w:rsidRPr="006E6FA5" w:rsidRDefault="00DD5934" w:rsidP="00216C69">
      <w:pPr>
        <w:spacing w:line="480" w:lineRule="auto"/>
        <w:jc w:val="both"/>
        <w:rPr>
          <w:b/>
          <w:bCs/>
        </w:rPr>
      </w:pPr>
    </w:p>
    <w:p w14:paraId="3F30DF93" w14:textId="5B9DE307" w:rsidR="00222913" w:rsidRPr="00CE3A17" w:rsidRDefault="00222913" w:rsidP="00216C69">
      <w:pPr>
        <w:spacing w:line="480" w:lineRule="auto"/>
        <w:jc w:val="both"/>
      </w:pPr>
      <w:r w:rsidRPr="006E6FA5">
        <w:t>As of July 2018, Law 220/2008 with regards to the establishment of a system to promote the production of energy from renewable energy sources</w:t>
      </w:r>
      <w:r w:rsidR="005114C4">
        <w:t>,</w:t>
      </w:r>
      <w:r w:rsidRPr="006E6FA5">
        <w:t xml:space="preserve"> has been modified to allow prosumers that produce RES-E to sell and inject electric energy directly to the national network. </w:t>
      </w:r>
      <w:r w:rsidR="004A4C7C">
        <w:t>After being modified by an emergency ordinance</w:t>
      </w:r>
      <w:r w:rsidRPr="006E6FA5">
        <w:t xml:space="preserve">, </w:t>
      </w:r>
      <w:r w:rsidR="004A4C7C">
        <w:t>Law 184/2018</w:t>
      </w:r>
      <w:r w:rsidRPr="006E6FA5">
        <w:t xml:space="preserve"> on the promotion of energy</w:t>
      </w:r>
      <w:r w:rsidR="004A4C7C">
        <w:t>, now</w:t>
      </w:r>
      <w:r w:rsidRPr="006E6FA5">
        <w:t xml:space="preserve"> allows prosumers (end-line customers which own systems that produce electric energy </w:t>
      </w:r>
      <w:r w:rsidRPr="006E6FA5">
        <w:lastRenderedPageBreak/>
        <w:t xml:space="preserve">resulting from renewable sources, including cogeneration CHP, with a maximum power of 27kW) </w:t>
      </w:r>
      <w:r w:rsidR="005114C4">
        <w:t>that</w:t>
      </w:r>
      <w:r w:rsidRPr="006E6FA5">
        <w:t xml:space="preserve"> can stock and sell electric energy produced within their home for own consumption, </w:t>
      </w:r>
      <w:r w:rsidR="004A4C7C">
        <w:t xml:space="preserve">to </w:t>
      </w:r>
      <w:r w:rsidRPr="006E6FA5">
        <w:t xml:space="preserve">inject their surplus directly to the national network. As a novelty to the subject, the </w:t>
      </w:r>
      <w:r w:rsidR="00EA6AA1">
        <w:t>l</w:t>
      </w:r>
      <w:r w:rsidRPr="006E6FA5">
        <w:t xml:space="preserve">aw </w:t>
      </w:r>
      <w:r w:rsidR="004A4C7C">
        <w:t xml:space="preserve">also </w:t>
      </w:r>
      <w:r w:rsidRPr="006E6FA5">
        <w:t>require</w:t>
      </w:r>
      <w:r w:rsidR="005114C4">
        <w:t>s</w:t>
      </w:r>
      <w:r w:rsidRPr="006E6FA5">
        <w:t xml:space="preserve"> </w:t>
      </w:r>
      <w:r w:rsidR="005114C4">
        <w:t xml:space="preserve">the </w:t>
      </w:r>
      <w:r w:rsidRPr="006E6FA5">
        <w:t xml:space="preserve">distributors to connect </w:t>
      </w:r>
      <w:r w:rsidR="005114C4">
        <w:t xml:space="preserve">all </w:t>
      </w:r>
      <w:r w:rsidRPr="006E6FA5">
        <w:t>prosumers within 30 days, and the providers</w:t>
      </w:r>
      <w:r w:rsidR="005114C4">
        <w:t>,</w:t>
      </w:r>
      <w:r w:rsidRPr="006E6FA5">
        <w:t xml:space="preserve"> to purchase the electric energy. Moreover, prosumers are exempted from paying any fiscal obligation</w:t>
      </w:r>
      <w:r w:rsidR="004A4C7C">
        <w:t>s</w:t>
      </w:r>
      <w:r w:rsidRPr="006E6FA5">
        <w:t xml:space="preserve"> resulting </w:t>
      </w:r>
      <w:r w:rsidR="004A4C7C">
        <w:t>in</w:t>
      </w:r>
      <w:r w:rsidRPr="006E6FA5">
        <w:t xml:space="preserve"> their electricity bill</w:t>
      </w:r>
      <w:r w:rsidR="004A4C7C">
        <w:t>,</w:t>
      </w:r>
      <w:r w:rsidRPr="006E6FA5">
        <w:t xml:space="preserve"> and from purchasing any green certificates, as it w</w:t>
      </w:r>
      <w:r w:rsidR="003D2424">
        <w:t xml:space="preserve">as the case </w:t>
      </w:r>
      <w:r w:rsidRPr="006E6FA5">
        <w:t>in the pas</w:t>
      </w:r>
      <w:r w:rsidR="003D2424">
        <w:t>t</w:t>
      </w:r>
      <w:r w:rsidRPr="006E6FA5">
        <w:t xml:space="preserve"> (</w:t>
      </w:r>
      <w:proofErr w:type="spellStart"/>
      <w:r w:rsidRPr="006E6FA5">
        <w:t>Toader-Pasti</w:t>
      </w:r>
      <w:proofErr w:type="spellEnd"/>
      <w:r w:rsidRPr="006E6FA5">
        <w:t>, 2018).</w:t>
      </w:r>
    </w:p>
    <w:p w14:paraId="2051468D" w14:textId="2B37597D" w:rsidR="00500BFB" w:rsidRDefault="004A4C7C" w:rsidP="00500BFB">
      <w:pPr>
        <w:shd w:val="clear" w:color="auto" w:fill="FFFFFF"/>
        <w:spacing w:before="100" w:beforeAutospacing="1" w:after="100" w:afterAutospacing="1" w:line="480" w:lineRule="auto"/>
        <w:jc w:val="both"/>
      </w:pPr>
      <w:r>
        <w:t>The adoption of the L</w:t>
      </w:r>
      <w:r w:rsidR="00500BFB" w:rsidRPr="006E6FA5">
        <w:t xml:space="preserve">aw took over 3 years of lobbying. The selling price for prosumers’ energy is calculated in line with the average weighted price recorded in the Day-Ahead Market (DAM) for the previous year (for 2019, prosumers will receive 223 lei/ MWh, </w:t>
      </w:r>
      <w:r>
        <w:t xml:space="preserve">or </w:t>
      </w:r>
      <w:r w:rsidR="00500BFB" w:rsidRPr="006E6FA5">
        <w:t>approximately 47</w:t>
      </w:r>
      <w:r w:rsidR="00500BFB" w:rsidRPr="006E6FA5">
        <w:rPr>
          <w:shd w:val="clear" w:color="auto" w:fill="FFFFFF"/>
        </w:rPr>
        <w:t xml:space="preserve"> </w:t>
      </w:r>
      <w:r w:rsidR="00500BFB" w:rsidRPr="006E6FA5">
        <w:t xml:space="preserve">€). The strategy was well supported by </w:t>
      </w:r>
      <w:r w:rsidR="001B7238">
        <w:t xml:space="preserve">the </w:t>
      </w:r>
      <w:r w:rsidR="00500BFB" w:rsidRPr="006E6FA5">
        <w:t xml:space="preserve">members of the Parliament, as well as by </w:t>
      </w:r>
      <w:r>
        <w:t xml:space="preserve">the </w:t>
      </w:r>
      <w:r w:rsidR="00500BFB" w:rsidRPr="006E6FA5">
        <w:t xml:space="preserve">NGOs </w:t>
      </w:r>
      <w:proofErr w:type="spellStart"/>
      <w:r w:rsidR="00500BFB" w:rsidRPr="006E6FA5">
        <w:t>energiaTa</w:t>
      </w:r>
      <w:proofErr w:type="spellEnd"/>
      <w:r w:rsidR="00500BFB" w:rsidRPr="006E6FA5">
        <w:t xml:space="preserve">, </w:t>
      </w:r>
      <w:proofErr w:type="spellStart"/>
      <w:r w:rsidR="00500BFB" w:rsidRPr="006E6FA5">
        <w:t>Patres</w:t>
      </w:r>
      <w:proofErr w:type="spellEnd"/>
      <w:r w:rsidR="00500BFB" w:rsidRPr="006E6FA5">
        <w:t xml:space="preserve">, and Greenpeace. Additionally, the </w:t>
      </w:r>
      <w:r w:rsidR="001B7238">
        <w:t>G</w:t>
      </w:r>
      <w:r w:rsidR="00500BFB" w:rsidRPr="006E6FA5">
        <w:t>overnment also offer</w:t>
      </w:r>
      <w:r w:rsidR="001B7238">
        <w:t>s</w:t>
      </w:r>
      <w:r w:rsidR="00500BFB" w:rsidRPr="006E6FA5">
        <w:t xml:space="preserve"> subsidies for purchasing and installing solar panel systems. AFN, the </w:t>
      </w:r>
      <w:r w:rsidR="00500BFB" w:rsidRPr="006E6FA5">
        <w:rPr>
          <w:i/>
          <w:iCs/>
        </w:rPr>
        <w:t>Environment Fund Administration</w:t>
      </w:r>
      <w:r w:rsidR="001B7238">
        <w:rPr>
          <w:i/>
          <w:iCs/>
        </w:rPr>
        <w:t>,</w:t>
      </w:r>
      <w:r w:rsidR="00500BFB" w:rsidRPr="006E6FA5">
        <w:t xml:space="preserve"> offers funding packages</w:t>
      </w:r>
      <w:r w:rsidR="001B7238">
        <w:t xml:space="preserve"> </w:t>
      </w:r>
      <w:r w:rsidR="00500BFB" w:rsidRPr="006E6FA5">
        <w:t>for photovoltaic installations (</w:t>
      </w:r>
      <w:r>
        <w:t xml:space="preserve">basic ones </w:t>
      </w:r>
      <w:r w:rsidR="00500BFB" w:rsidRPr="006E6FA5">
        <w:t xml:space="preserve">of 43000€ and 90% coverage, and </w:t>
      </w:r>
      <w:r w:rsidR="00F50C88">
        <w:t xml:space="preserve">of </w:t>
      </w:r>
      <w:r w:rsidR="00500BFB" w:rsidRPr="006E6FA5">
        <w:t xml:space="preserve">5300€ and 100% coverage for isolated households). Hitherto, Romanians owning installations using RES to generate electricity </w:t>
      </w:r>
      <w:r w:rsidR="00F50C88">
        <w:t>could barely</w:t>
      </w:r>
      <w:r w:rsidR="00500BFB" w:rsidRPr="006E6FA5">
        <w:t xml:space="preserve"> inject the</w:t>
      </w:r>
      <w:r w:rsidR="00F50C88">
        <w:t>ir</w:t>
      </w:r>
      <w:r w:rsidR="00500BFB" w:rsidRPr="006E6FA5">
        <w:t xml:space="preserve"> surplus to the network, </w:t>
      </w:r>
      <w:r w:rsidR="00F50C88">
        <w:t>as they were</w:t>
      </w:r>
      <w:r w:rsidR="00500BFB" w:rsidRPr="006E6FA5">
        <w:t xml:space="preserve"> obliged to procure tedious authorisations (12 in total) that were expensive and lengthy (over 450 days waiting period). </w:t>
      </w:r>
      <w:r>
        <w:t xml:space="preserve">AFN </w:t>
      </w:r>
      <w:r w:rsidR="00500BFB" w:rsidRPr="006E6FA5">
        <w:t>has</w:t>
      </w:r>
      <w:r>
        <w:t xml:space="preserve"> also</w:t>
      </w:r>
      <w:r w:rsidR="00500BFB" w:rsidRPr="006E6FA5">
        <w:t xml:space="preserve"> in plan a 100 million € programme that would subsid</w:t>
      </w:r>
      <w:r w:rsidR="00481AA6">
        <w:t>ise</w:t>
      </w:r>
      <w:r w:rsidR="00500BFB" w:rsidRPr="006E6FA5">
        <w:t xml:space="preserve"> the purchasing of panels, electric systems</w:t>
      </w:r>
      <w:r w:rsidR="00481AA6">
        <w:t>,</w:t>
      </w:r>
      <w:r w:rsidR="00500BFB" w:rsidRPr="006E6FA5">
        <w:t xml:space="preserve"> and inverter</w:t>
      </w:r>
      <w:r w:rsidR="00481AA6">
        <w:t>s</w:t>
      </w:r>
      <w:r w:rsidR="00500BFB" w:rsidRPr="006E6FA5">
        <w:t xml:space="preserve"> needed for solar installations. Around 28.000 citizens might receive up to 3500 € to purchase the needed equipment, </w:t>
      </w:r>
      <w:r>
        <w:t>which will ensure</w:t>
      </w:r>
      <w:r w:rsidR="00500BFB" w:rsidRPr="006E6FA5">
        <w:t xml:space="preserve"> a maximum installed power of 3kW (</w:t>
      </w:r>
      <w:proofErr w:type="spellStart"/>
      <w:r w:rsidR="00500BFB" w:rsidRPr="006E6FA5">
        <w:t>Toader-Pasti</w:t>
      </w:r>
      <w:proofErr w:type="spellEnd"/>
      <w:r w:rsidR="00500BFB" w:rsidRPr="006E6FA5">
        <w:t xml:space="preserve">, 2019). </w:t>
      </w:r>
    </w:p>
    <w:p w14:paraId="581D93B4" w14:textId="24FE42C1" w:rsidR="00DD5934" w:rsidRDefault="006D0E12" w:rsidP="00216C69">
      <w:pPr>
        <w:spacing w:line="480" w:lineRule="auto"/>
        <w:jc w:val="both"/>
      </w:pPr>
      <w:r w:rsidRPr="006E6FA5">
        <w:t xml:space="preserve">Nonetheless, </w:t>
      </w:r>
      <w:r w:rsidR="00F32992">
        <w:t>in</w:t>
      </w:r>
      <w:r w:rsidR="00CA43BD">
        <w:t xml:space="preserve"> the conversion</w:t>
      </w:r>
      <w:r w:rsidR="00F32992">
        <w:t xml:space="preserve"> </w:t>
      </w:r>
      <w:r w:rsidR="00EA6AA1">
        <w:t xml:space="preserve">of </w:t>
      </w:r>
      <w:r w:rsidR="00F32992">
        <w:t xml:space="preserve">solar power, </w:t>
      </w:r>
      <w:r w:rsidRPr="006E6FA5">
        <w:t xml:space="preserve">important questions still need to be </w:t>
      </w:r>
      <w:r w:rsidR="00A30062">
        <w:t>addressed</w:t>
      </w:r>
      <w:r w:rsidRPr="006E6FA5">
        <w:t xml:space="preserve">. </w:t>
      </w:r>
      <w:r w:rsidR="00F32992">
        <w:t>One important</w:t>
      </w:r>
      <w:r w:rsidRPr="006E6FA5">
        <w:t xml:space="preserve"> </w:t>
      </w:r>
      <w:r w:rsidR="00F32992">
        <w:t xml:space="preserve">concern was raised </w:t>
      </w:r>
      <w:r w:rsidRPr="006E6FA5">
        <w:t>by the Romanian Member Committee</w:t>
      </w:r>
      <w:r w:rsidR="00F32992">
        <w:t>,</w:t>
      </w:r>
      <w:r w:rsidRPr="006E6FA5">
        <w:t xml:space="preserve"> w</w:t>
      </w:r>
      <w:r w:rsidR="00F32992">
        <w:t>hich handles</w:t>
      </w:r>
      <w:r w:rsidRPr="006E6FA5">
        <w:t xml:space="preserve"> the integration of the renewables in electricity grids. </w:t>
      </w:r>
      <w:r w:rsidR="00F32992">
        <w:t>T</w:t>
      </w:r>
      <w:r w:rsidRPr="006E6FA5">
        <w:t>he</w:t>
      </w:r>
      <w:r w:rsidR="00F32992">
        <w:t>re has been an</w:t>
      </w:r>
      <w:r w:rsidRPr="006E6FA5">
        <w:t xml:space="preserve"> increase of installed </w:t>
      </w:r>
      <w:r w:rsidRPr="006E6FA5">
        <w:lastRenderedPageBreak/>
        <w:t>photovoltaic power-plants</w:t>
      </w:r>
      <w:r w:rsidR="00285A21">
        <w:t xml:space="preserve"> that, in turn,</w:t>
      </w:r>
      <w:r w:rsidRPr="006E6FA5">
        <w:t xml:space="preserve"> has significantly boosted the country’s potential for RES-E, </w:t>
      </w:r>
      <w:r w:rsidR="00285A21">
        <w:t xml:space="preserve">yet, </w:t>
      </w:r>
      <w:r w:rsidRPr="006E6FA5">
        <w:t xml:space="preserve">the grid integration </w:t>
      </w:r>
      <w:r w:rsidR="00285A21">
        <w:t xml:space="preserve">is </w:t>
      </w:r>
      <w:r w:rsidRPr="006E6FA5">
        <w:t xml:space="preserve">still exposed to losses in the transmission and distribution of networks, </w:t>
      </w:r>
      <w:r w:rsidR="00285A21">
        <w:t xml:space="preserve">and to </w:t>
      </w:r>
      <w:r w:rsidRPr="006E6FA5">
        <w:t xml:space="preserve">the lack of electricity storage systems. In the past five years, the country’s electricity system developed from zero in 2010 to 4,176 MW in 2013, reaching 7,753GWh in 2014. As a result, there is a profound need for RES-oriented technology and the implementation of smart grids for the RES sector to evolve (World Energy Council, 2019). </w:t>
      </w:r>
    </w:p>
    <w:p w14:paraId="4953B443" w14:textId="77777777" w:rsidR="004A4C7C" w:rsidRPr="00DD5934" w:rsidRDefault="004A4C7C" w:rsidP="00216C69">
      <w:pPr>
        <w:spacing w:line="480" w:lineRule="auto"/>
        <w:jc w:val="both"/>
      </w:pPr>
    </w:p>
    <w:p w14:paraId="7A819A90" w14:textId="2F1BB0B5" w:rsidR="00222913" w:rsidRPr="006E6FA5" w:rsidRDefault="00222913" w:rsidP="00216C69">
      <w:pPr>
        <w:spacing w:line="480" w:lineRule="auto"/>
        <w:jc w:val="both"/>
        <w:rPr>
          <w:b/>
          <w:bCs/>
        </w:rPr>
      </w:pPr>
      <w:r>
        <w:rPr>
          <w:b/>
          <w:bCs/>
        </w:rPr>
        <w:t xml:space="preserve">Observations </w:t>
      </w:r>
    </w:p>
    <w:p w14:paraId="588409E2" w14:textId="069EFF04" w:rsidR="00B13975" w:rsidRPr="006E6FA5" w:rsidRDefault="00A9012B" w:rsidP="00216C69">
      <w:pPr>
        <w:spacing w:line="480" w:lineRule="auto"/>
        <w:jc w:val="both"/>
      </w:pPr>
      <w:r w:rsidRPr="006E6FA5">
        <w:t>The EPG (Energy Policy Group), a</w:t>
      </w:r>
      <w:r w:rsidRPr="006E6FA5">
        <w:rPr>
          <w:sz w:val="20"/>
          <w:szCs w:val="20"/>
          <w:shd w:val="clear" w:color="auto" w:fill="FFFFFF"/>
        </w:rPr>
        <w:t xml:space="preserve"> </w:t>
      </w:r>
      <w:r w:rsidRPr="00C9177C">
        <w:rPr>
          <w:szCs w:val="20"/>
          <w:shd w:val="clear" w:color="auto" w:fill="FFFFFF"/>
        </w:rPr>
        <w:t>B</w:t>
      </w:r>
      <w:r w:rsidRPr="006E6FA5">
        <w:t xml:space="preserve">ucharest-based non-profit, independent think-tank specialised in energy policy, market analytics, and energy strategy, made </w:t>
      </w:r>
      <w:r w:rsidR="00C278B1">
        <w:t xml:space="preserve">a </w:t>
      </w:r>
      <w:r w:rsidRPr="006E6FA5">
        <w:t xml:space="preserve">thorough investigation in the draft of the Romanian National Energy-Climate Plan for 2021-2030. </w:t>
      </w:r>
      <w:r w:rsidRPr="006E6FA5">
        <w:rPr>
          <w:lang w:val="en-US"/>
        </w:rPr>
        <w:t>Hitherto,</w:t>
      </w:r>
      <w:r w:rsidRPr="006E6FA5">
        <w:t xml:space="preserve"> the National Energy-Clim</w:t>
      </w:r>
      <w:r w:rsidR="00C722EE">
        <w:t>ate Plan</w:t>
      </w:r>
      <w:r w:rsidRPr="006E6FA5">
        <w:t xml:space="preserve"> (NECP) published by the Romanian Government at the end of November 2018 envisages a comprehensive summary o</w:t>
      </w:r>
      <w:r w:rsidR="00C278B1">
        <w:t>f</w:t>
      </w:r>
      <w:r w:rsidR="00C722EE">
        <w:t xml:space="preserve"> the national energy system (</w:t>
      </w:r>
      <w:r w:rsidRPr="006E6FA5">
        <w:t>includi</w:t>
      </w:r>
      <w:r w:rsidR="00C722EE">
        <w:t>ng the sources of GHG emissions),</w:t>
      </w:r>
      <w:r w:rsidRPr="006E6FA5">
        <w:t xml:space="preserve"> the national targets for 2030 regarding the reduction of GHG emissions, and the increase of energy generated from RES. Notwithstanding, the NECP draft also contains important deficiencies. T</w:t>
      </w:r>
      <w:r w:rsidR="00C722EE">
        <w:t>he RES target of 27.9% for 2030</w:t>
      </w:r>
      <w:r w:rsidRPr="006E6FA5">
        <w:t xml:space="preserve"> falls far below the national potential of cost-efficient development of RES. The analysis carried out in the report reveals that the net increase in electricity generation capacity by 2030 for all means of primary energy (excepting natural gas units)</w:t>
      </w:r>
      <w:r w:rsidR="00323B4F">
        <w:t xml:space="preserve"> is possible, yet not targeted</w:t>
      </w:r>
      <w:r w:rsidR="00C722EE">
        <w:t xml:space="preserve">. Another shortage of </w:t>
      </w:r>
      <w:r w:rsidRPr="006E6FA5">
        <w:t xml:space="preserve">the NECP draft is that </w:t>
      </w:r>
      <w:r w:rsidR="00C722EE">
        <w:t>it</w:t>
      </w:r>
      <w:r w:rsidRPr="006E6FA5">
        <w:t xml:space="preserve"> hinge</w:t>
      </w:r>
      <w:r w:rsidR="00C722EE">
        <w:t>s</w:t>
      </w:r>
      <w:r w:rsidRPr="006E6FA5">
        <w:t xml:space="preserve"> on the results of t</w:t>
      </w:r>
      <w:r w:rsidR="00C722EE">
        <w:t>he PRIMES quantitative model</w:t>
      </w:r>
      <w:r w:rsidRPr="006E6FA5">
        <w:t xml:space="preserve"> made in 2016. The projections made then are not adequately explicated in </w:t>
      </w:r>
      <w:r w:rsidR="00C722EE">
        <w:t>the Climate Plan</w:t>
      </w:r>
      <w:r w:rsidRPr="006E6FA5">
        <w:t xml:space="preserve"> mentioned above. An example of the inconsistencies of the 2016 modelling is the anticipation of electricity consumption. The PRIMES </w:t>
      </w:r>
      <w:r w:rsidR="00323B4F">
        <w:t xml:space="preserve">model </w:t>
      </w:r>
      <w:r w:rsidRPr="006E6FA5">
        <w:t>estimated</w:t>
      </w:r>
      <w:r w:rsidR="00323B4F">
        <w:t xml:space="preserve"> </w:t>
      </w:r>
      <w:r w:rsidR="00323B4F" w:rsidRPr="006E6FA5">
        <w:t>energy consumption</w:t>
      </w:r>
      <w:r w:rsidR="00323B4F">
        <w:t xml:space="preserve"> of</w:t>
      </w:r>
      <w:r w:rsidRPr="006E6FA5">
        <w:t xml:space="preserve"> 51 </w:t>
      </w:r>
      <w:proofErr w:type="spellStart"/>
      <w:r w:rsidRPr="006E6FA5">
        <w:t>TWh</w:t>
      </w:r>
      <w:proofErr w:type="spellEnd"/>
      <w:r w:rsidR="00031EC0">
        <w:t xml:space="preserve"> for 2030</w:t>
      </w:r>
      <w:r w:rsidRPr="006E6FA5">
        <w:t xml:space="preserve">, while the NECP draft anticipates 86.6 </w:t>
      </w:r>
      <w:proofErr w:type="spellStart"/>
      <w:r w:rsidRPr="006E6FA5">
        <w:t>TWh</w:t>
      </w:r>
      <w:proofErr w:type="spellEnd"/>
      <w:r w:rsidRPr="006E6FA5">
        <w:t xml:space="preserve"> in 2030. What is more, there is a clear demand for an assessment of the measures and mechanisms</w:t>
      </w:r>
      <w:r w:rsidR="00031EC0">
        <w:t xml:space="preserve"> of</w:t>
      </w:r>
      <w:r w:rsidRPr="006E6FA5">
        <w:t xml:space="preserve"> the Romanian legislation. Whereas it is </w:t>
      </w:r>
      <w:r w:rsidRPr="006E6FA5">
        <w:lastRenderedPageBreak/>
        <w:t xml:space="preserve">expected that RES-E will be the impetus needed for the introduction of </w:t>
      </w:r>
      <w:r w:rsidRPr="00031EC0">
        <w:rPr>
          <w:i/>
          <w:iCs/>
        </w:rPr>
        <w:t>contracts for difference</w:t>
      </w:r>
      <w:r w:rsidRPr="006E6FA5">
        <w:t xml:space="preserve"> (</w:t>
      </w:r>
      <w:proofErr w:type="spellStart"/>
      <w:r w:rsidRPr="006E6FA5">
        <w:t>CfDs</w:t>
      </w:r>
      <w:proofErr w:type="spellEnd"/>
      <w:r w:rsidRPr="006E6FA5">
        <w:t>), the NECP only mentions ambiguous delay</w:t>
      </w:r>
      <w:r w:rsidR="00031EC0">
        <w:t>s</w:t>
      </w:r>
      <w:r w:rsidRPr="006E6FA5">
        <w:t xml:space="preserve"> until 2025 </w:t>
      </w:r>
      <w:r w:rsidR="00031EC0">
        <w:t>for</w:t>
      </w:r>
      <w:r w:rsidRPr="006E6FA5">
        <w:t xml:space="preserve"> the use of the </w:t>
      </w:r>
      <w:proofErr w:type="spellStart"/>
      <w:r w:rsidRPr="006E6FA5">
        <w:t>CfDs</w:t>
      </w:r>
      <w:proofErr w:type="spellEnd"/>
      <w:r w:rsidRPr="006E6FA5">
        <w:t>. This further articulates that the NECP draft suffers from a lack of transparency and accuracy with regards to analysis and methodolog</w:t>
      </w:r>
      <w:r w:rsidR="00031EC0">
        <w:t>y</w:t>
      </w:r>
      <w:r w:rsidRPr="006E6FA5">
        <w:t>. Additionally, there were no public discussion</w:t>
      </w:r>
      <w:r w:rsidR="00031EC0">
        <w:t>s</w:t>
      </w:r>
      <w:r w:rsidRPr="006E6FA5">
        <w:t xml:space="preserve"> with </w:t>
      </w:r>
      <w:r w:rsidR="00031EC0">
        <w:t xml:space="preserve">field </w:t>
      </w:r>
      <w:r w:rsidRPr="006E6FA5">
        <w:t>experts and relevant stakeholders for the preparation of the draft, nor improvement</w:t>
      </w:r>
      <w:r w:rsidR="00031EC0">
        <w:t xml:space="preserve"> suggestions for</w:t>
      </w:r>
      <w:r w:rsidRPr="006E6FA5">
        <w:t xml:space="preserve"> new modelling techniques. This is important to mention as</w:t>
      </w:r>
      <w:r w:rsidR="009B4183">
        <w:t>,</w:t>
      </w:r>
      <w:r w:rsidRPr="006E6FA5">
        <w:t xml:space="preserve"> from 2018, the EU Directive suffered alterations in terms of national targets and the </w:t>
      </w:r>
      <w:r w:rsidR="00C722EE">
        <w:t xml:space="preserve">overall </w:t>
      </w:r>
      <w:r w:rsidRPr="006E6FA5">
        <w:t>regulatory framework.</w:t>
      </w:r>
      <w:r w:rsidR="001866B9">
        <w:t xml:space="preserve"> </w:t>
      </w:r>
      <w:r w:rsidRPr="006E6FA5">
        <w:t>On their own, such modifications demand a revised, reinvigorated national approach, one that the NECP completely lacks. Last but not least, the NECP document does not contain a comprehensive and transparent methodology annexe (to firmly explain the connections between the scenarios used in the PRIMES 2016 modelling and the recent ones mentioned in the NECP draft). The document is also evasive in terms of the</w:t>
      </w:r>
      <w:r w:rsidR="00C722EE">
        <w:t xml:space="preserve"> used</w:t>
      </w:r>
      <w:r w:rsidRPr="006E6FA5">
        <w:t xml:space="preserve"> calculus metho</w:t>
      </w:r>
      <w:r w:rsidR="001866B9">
        <w:t>ds</w:t>
      </w:r>
      <w:r w:rsidRPr="006E6FA5">
        <w:t xml:space="preserve">. The calculations made </w:t>
      </w:r>
      <w:r w:rsidR="001866B9">
        <w:t xml:space="preserve">in </w:t>
      </w:r>
      <w:r w:rsidRPr="006E6FA5">
        <w:t xml:space="preserve">the PRIMES 2016 modelling gave differed results from those presented in the </w:t>
      </w:r>
      <w:r w:rsidR="001866B9">
        <w:t xml:space="preserve">NECP </w:t>
      </w:r>
      <w:r w:rsidRPr="006E6FA5">
        <w:t>document. For that reason alone, a</w:t>
      </w:r>
      <w:r w:rsidR="001866B9">
        <w:t xml:space="preserve"> clear </w:t>
      </w:r>
      <w:r w:rsidRPr="006E6FA5">
        <w:t xml:space="preserve">annexe is crucial and mandatory. The NECP is presented in a way that depicts energy production and consumption </w:t>
      </w:r>
      <w:r w:rsidR="00C722EE">
        <w:t>more as a matter of political will, than of</w:t>
      </w:r>
      <w:r w:rsidRPr="006E6FA5">
        <w:t xml:space="preserve"> meticulous analysis</w:t>
      </w:r>
      <w:r w:rsidR="00C722EE">
        <w:t xml:space="preserve"> and strategic commitment</w:t>
      </w:r>
      <w:r w:rsidRPr="006E6FA5">
        <w:t xml:space="preserve">. That is why methodological transparency, alongside an improved </w:t>
      </w:r>
      <w:r w:rsidR="00D766C7">
        <w:t>responsibility</w:t>
      </w:r>
      <w:r w:rsidRPr="006E6FA5">
        <w:t xml:space="preserve"> coming from </w:t>
      </w:r>
      <w:r w:rsidR="00D92C1E">
        <w:t xml:space="preserve">the </w:t>
      </w:r>
      <w:r w:rsidRPr="006E6FA5">
        <w:t>relevant stakeholders and experts in the field</w:t>
      </w:r>
      <w:r w:rsidR="009B4183">
        <w:t>,</w:t>
      </w:r>
      <w:r w:rsidRPr="006E6FA5">
        <w:t xml:space="preserve"> is </w:t>
      </w:r>
      <w:r w:rsidR="00D92C1E">
        <w:t xml:space="preserve">so much </w:t>
      </w:r>
      <w:r w:rsidRPr="006E6FA5">
        <w:t xml:space="preserve">required (EPG, 2019). </w:t>
      </w:r>
      <w:r w:rsidR="001364AA" w:rsidRPr="006E6FA5">
        <w:t xml:space="preserve"> </w:t>
      </w:r>
    </w:p>
    <w:p w14:paraId="3421D069" w14:textId="77777777" w:rsidR="003D55F1" w:rsidRPr="006E6FA5" w:rsidRDefault="003D55F1" w:rsidP="003D55F1">
      <w:pPr>
        <w:spacing w:line="480" w:lineRule="auto"/>
        <w:jc w:val="both"/>
      </w:pPr>
    </w:p>
    <w:p w14:paraId="5906C13A" w14:textId="4AFEC7BF" w:rsidR="00E46FDE" w:rsidRDefault="003D55F1" w:rsidP="00AF5CE3">
      <w:pPr>
        <w:spacing w:line="480" w:lineRule="auto"/>
        <w:jc w:val="both"/>
      </w:pPr>
      <w:r w:rsidRPr="006E6FA5">
        <w:t xml:space="preserve">The project submitted by Romania at the end of 2018 necessitates ambitious, specific sources of investment, and </w:t>
      </w:r>
      <w:r w:rsidR="00E6199C">
        <w:t xml:space="preserve">the </w:t>
      </w:r>
      <w:r w:rsidRPr="006E6FA5">
        <w:t xml:space="preserve">explication for how the decarbonisation targets for 2030 will be achieved in the context of fossil fuels </w:t>
      </w:r>
      <w:r w:rsidR="008E32B3">
        <w:t xml:space="preserve">still </w:t>
      </w:r>
      <w:r w:rsidRPr="006E6FA5">
        <w:t>be</w:t>
      </w:r>
      <w:r w:rsidR="008E32B3">
        <w:t>ing</w:t>
      </w:r>
      <w:r w:rsidRPr="006E6FA5">
        <w:t xml:space="preserve"> used. The Commission recommends that the 2030 target </w:t>
      </w:r>
      <w:r w:rsidR="008E32B3">
        <w:t xml:space="preserve">is </w:t>
      </w:r>
      <w:r w:rsidRPr="006E6FA5">
        <w:t xml:space="preserve">of at least 34%, </w:t>
      </w:r>
      <w:r w:rsidR="006B12C6">
        <w:t>for which it</w:t>
      </w:r>
      <w:r w:rsidRPr="006E6FA5">
        <w:t xml:space="preserve"> asked Romania to support </w:t>
      </w:r>
      <w:r w:rsidR="006B12C6">
        <w:t>RES-E investments</w:t>
      </w:r>
      <w:r w:rsidRPr="006E6FA5">
        <w:t xml:space="preserve"> and to put in place measures to simplify the operating environment for prosumers and energy cooperatives (by simplifying licensing and </w:t>
      </w:r>
      <w:r w:rsidR="006B12C6">
        <w:t>authorisation</w:t>
      </w:r>
      <w:r w:rsidRPr="006E6FA5">
        <w:t xml:space="preserve"> procedures). In this sense, the </w:t>
      </w:r>
      <w:r w:rsidR="00415C8A">
        <w:t>E</w:t>
      </w:r>
      <w:r w:rsidRPr="006E6FA5">
        <w:t xml:space="preserve">xecutive’s approach </w:t>
      </w:r>
      <w:r w:rsidRPr="006E6FA5">
        <w:lastRenderedPageBreak/>
        <w:t xml:space="preserve">can be </w:t>
      </w:r>
      <w:r w:rsidR="006B12C6">
        <w:t>at times</w:t>
      </w:r>
      <w:r w:rsidR="009B4183">
        <w:t>,</w:t>
      </w:r>
      <w:r w:rsidR="006B12C6">
        <w:t xml:space="preserve"> </w:t>
      </w:r>
      <w:r w:rsidRPr="006E6FA5">
        <w:t xml:space="preserve">defined as antithetical. On </w:t>
      </w:r>
      <w:r w:rsidR="009B4183">
        <w:t xml:space="preserve">the </w:t>
      </w:r>
      <w:r w:rsidRPr="006E6FA5">
        <w:t xml:space="preserve">one hand, the </w:t>
      </w:r>
      <w:r w:rsidR="00E6199C">
        <w:t xml:space="preserve">Romanian </w:t>
      </w:r>
      <w:r w:rsidR="006B12C6">
        <w:t>G</w:t>
      </w:r>
      <w:r w:rsidRPr="006E6FA5">
        <w:t>overnment praises the definition of a European pro-climate plan for the next decade</w:t>
      </w:r>
      <w:r w:rsidR="006B12C6">
        <w:t xml:space="preserve"> </w:t>
      </w:r>
      <w:r w:rsidRPr="006E6FA5">
        <w:t xml:space="preserve">and acknowledges its responsibilities </w:t>
      </w:r>
      <w:r w:rsidR="006B12C6">
        <w:t>in</w:t>
      </w:r>
      <w:r w:rsidRPr="006E6FA5">
        <w:t xml:space="preserve"> tackl</w:t>
      </w:r>
      <w:r w:rsidR="006B12C6">
        <w:t>ing</w:t>
      </w:r>
      <w:r w:rsidRPr="006E6FA5">
        <w:t xml:space="preserve"> the climate crisis. On the other, it </w:t>
      </w:r>
      <w:r w:rsidR="006B12C6">
        <w:t xml:space="preserve">still </w:t>
      </w:r>
      <w:r w:rsidRPr="006E6FA5">
        <w:t xml:space="preserve">plans to continue producing coal-based energy after 2030. </w:t>
      </w:r>
      <w:r w:rsidR="000B5EC4" w:rsidRPr="006E6FA5">
        <w:t xml:space="preserve">The Commission too points </w:t>
      </w:r>
      <w:r w:rsidR="000B5EC4">
        <w:t xml:space="preserve">out </w:t>
      </w:r>
      <w:r w:rsidR="000B5EC4" w:rsidRPr="006E6FA5">
        <w:t xml:space="preserve">the lack of a clear timetable for phasing out existing, old and polluting capacities, and recommends the implementation of new ones. Another important aspect noted is </w:t>
      </w:r>
      <w:r w:rsidR="009B4183">
        <w:t xml:space="preserve">a </w:t>
      </w:r>
      <w:r w:rsidR="000B5EC4" w:rsidRPr="006E6FA5">
        <w:t>shortage of listing energy subsidies granted by the Romanian Government</w:t>
      </w:r>
      <w:r w:rsidR="000B5EC4">
        <w:t>.</w:t>
      </w:r>
      <w:r w:rsidR="000B5EC4" w:rsidRPr="006E6FA5">
        <w:t xml:space="preserve"> </w:t>
      </w:r>
      <w:r w:rsidRPr="006E6FA5">
        <w:t>In terms of impact, the price increase on carbon certificates</w:t>
      </w:r>
      <w:r w:rsidR="00754D47">
        <w:t>,</w:t>
      </w:r>
      <w:r w:rsidRPr="006E6FA5">
        <w:t xml:space="preserve"> and the low competitiveness of coal, together with the impact of pollution on public health</w:t>
      </w:r>
      <w:r w:rsidR="00754D47">
        <w:t>,</w:t>
      </w:r>
      <w:r w:rsidRPr="006E6FA5">
        <w:t xml:space="preserve"> </w:t>
      </w:r>
      <w:r w:rsidR="00754D47">
        <w:t>are all</w:t>
      </w:r>
      <w:r w:rsidRPr="006E6FA5">
        <w:t xml:space="preserve"> </w:t>
      </w:r>
      <w:r w:rsidR="00754D47">
        <w:t>problematic</w:t>
      </w:r>
      <w:r w:rsidRPr="006E6FA5">
        <w:t xml:space="preserve"> wit</w:t>
      </w:r>
      <w:r w:rsidR="00754D47">
        <w:t>hin</w:t>
      </w:r>
      <w:r w:rsidRPr="006E6FA5">
        <w:t xml:space="preserve"> the direction </w:t>
      </w:r>
      <w:r w:rsidR="00E6199C">
        <w:t>designed under</w:t>
      </w:r>
      <w:r w:rsidRPr="006E6FA5">
        <w:t xml:space="preserve"> the EU Directive. As a consequence, the final </w:t>
      </w:r>
      <w:r w:rsidR="000B5EC4">
        <w:t xml:space="preserve">Romanian </w:t>
      </w:r>
      <w:r w:rsidRPr="006E6FA5">
        <w:t xml:space="preserve">NECP plan must be strongly amended, </w:t>
      </w:r>
      <w:r w:rsidR="00E6199C">
        <w:t xml:space="preserve">with officials </w:t>
      </w:r>
      <w:r w:rsidRPr="006E6FA5">
        <w:t xml:space="preserve">investing in precision and in the containment </w:t>
      </w:r>
      <w:r w:rsidR="000B5EC4">
        <w:t xml:space="preserve">of </w:t>
      </w:r>
      <w:r w:rsidRPr="006E6FA5">
        <w:t>concrete and verifiable information</w:t>
      </w:r>
      <w:r w:rsidR="000B5EC4">
        <w:t xml:space="preserve"> </w:t>
      </w:r>
      <w:r w:rsidRPr="006E6FA5">
        <w:t xml:space="preserve">(Green Report, 2019). </w:t>
      </w:r>
    </w:p>
    <w:p w14:paraId="4B47677F" w14:textId="77777777" w:rsidR="000B5EC4" w:rsidRDefault="000B5EC4" w:rsidP="00AF5CE3">
      <w:pPr>
        <w:spacing w:line="480" w:lineRule="auto"/>
        <w:jc w:val="both"/>
      </w:pPr>
    </w:p>
    <w:p w14:paraId="2E19F9A8" w14:textId="7766BB01" w:rsidR="001C66F6" w:rsidRPr="00EB52FC" w:rsidRDefault="008B3381" w:rsidP="00AF5CE3">
      <w:pPr>
        <w:spacing w:line="480" w:lineRule="auto"/>
        <w:jc w:val="both"/>
        <w:rPr>
          <w:b/>
          <w:bCs/>
        </w:rPr>
      </w:pPr>
      <w:r w:rsidRPr="006E6FA5">
        <w:rPr>
          <w:b/>
          <w:bCs/>
        </w:rPr>
        <w:t>Conclusion</w:t>
      </w:r>
    </w:p>
    <w:p w14:paraId="3B211172" w14:textId="76AEA05B" w:rsidR="00EB52FC" w:rsidRDefault="001C66F6" w:rsidP="00EB52FC">
      <w:pPr>
        <w:spacing w:line="480" w:lineRule="auto"/>
        <w:jc w:val="both"/>
      </w:pPr>
      <w:r>
        <w:t xml:space="preserve">There are </w:t>
      </w:r>
      <w:r w:rsidR="00A922A7">
        <w:t xml:space="preserve">several important </w:t>
      </w:r>
      <w:r>
        <w:t xml:space="preserve">factors which influence Romania’s prospects in terms of RES-E. </w:t>
      </w:r>
      <w:r w:rsidR="00A922A7">
        <w:t>For</w:t>
      </w:r>
      <w:r>
        <w:t xml:space="preserve"> the country </w:t>
      </w:r>
      <w:r w:rsidR="00A922A7">
        <w:t xml:space="preserve">to </w:t>
      </w:r>
      <w:r>
        <w:t xml:space="preserve">continue championing an attractive environment for RES investments, it needs to assure </w:t>
      </w:r>
      <w:r w:rsidR="00F747B6" w:rsidRPr="00F747B6">
        <w:t xml:space="preserve">investors </w:t>
      </w:r>
      <w:r w:rsidR="00AC5843">
        <w:t>(current as well as new</w:t>
      </w:r>
      <w:r w:rsidR="00A922A7">
        <w:t xml:space="preserve"> ones</w:t>
      </w:r>
      <w:r w:rsidR="00AC5843">
        <w:t xml:space="preserve">) that they will gain higher </w:t>
      </w:r>
      <w:r w:rsidR="00F747B6" w:rsidRPr="00F747B6">
        <w:t>returns</w:t>
      </w:r>
      <w:r w:rsidR="00AC5843">
        <w:t xml:space="preserve"> than from the</w:t>
      </w:r>
      <w:r w:rsidR="00F747B6" w:rsidRPr="00F747B6">
        <w:t xml:space="preserve"> more established markets</w:t>
      </w:r>
      <w:r w:rsidR="00AC5843">
        <w:t xml:space="preserve"> </w:t>
      </w:r>
      <w:r w:rsidR="00F747B6" w:rsidRPr="00F747B6">
        <w:t xml:space="preserve">in the Western </w:t>
      </w:r>
      <w:r w:rsidR="00AC5843">
        <w:t>MS</w:t>
      </w:r>
      <w:r w:rsidR="00F747B6" w:rsidRPr="00F747B6">
        <w:t>.</w:t>
      </w:r>
      <w:r w:rsidR="00A922A7">
        <w:t xml:space="preserve"> In the past years, the country recorded </w:t>
      </w:r>
      <w:r w:rsidR="00BD4CA5">
        <w:t xml:space="preserve">encouraging </w:t>
      </w:r>
      <w:r w:rsidR="00A922A7">
        <w:t xml:space="preserve">economic growth, </w:t>
      </w:r>
      <w:r w:rsidR="00853F4B">
        <w:t>and with the economic expansion, so did</w:t>
      </w:r>
      <w:r w:rsidR="00E6199C">
        <w:t xml:space="preserve"> the</w:t>
      </w:r>
      <w:r w:rsidR="00853F4B">
        <w:t xml:space="preserve"> demand. This allowed </w:t>
      </w:r>
      <w:r w:rsidR="00F747B6" w:rsidRPr="00F747B6">
        <w:t xml:space="preserve">Romania to meet its final energy consumption </w:t>
      </w:r>
      <w:r w:rsidR="00853F4B">
        <w:t xml:space="preserve">target </w:t>
      </w:r>
      <w:r w:rsidR="00F747B6" w:rsidRPr="00F747B6">
        <w:t>from renewable</w:t>
      </w:r>
      <w:r w:rsidR="00853F4B">
        <w:t xml:space="preserve">s </w:t>
      </w:r>
      <w:r w:rsidR="00F747B6" w:rsidRPr="00F747B6">
        <w:t>much in advance (2013) of the</w:t>
      </w:r>
      <w:r w:rsidR="00A922A7">
        <w:t xml:space="preserve"> </w:t>
      </w:r>
      <w:r w:rsidR="00F747B6" w:rsidRPr="00F747B6">
        <w:t>2020 deadline</w:t>
      </w:r>
      <w:r w:rsidR="00853F4B">
        <w:t xml:space="preserve">, but it </w:t>
      </w:r>
      <w:r w:rsidR="00913CFD">
        <w:t>still does not</w:t>
      </w:r>
      <w:r w:rsidR="00F747B6" w:rsidRPr="00F747B6">
        <w:t xml:space="preserve"> assume </w:t>
      </w:r>
      <w:r w:rsidR="00913CFD">
        <w:t>the</w:t>
      </w:r>
      <w:r w:rsidR="00F747B6" w:rsidRPr="00F747B6">
        <w:t xml:space="preserve"> RES target for 2030</w:t>
      </w:r>
      <w:r w:rsidR="00913CFD">
        <w:t xml:space="preserve">. If not </w:t>
      </w:r>
      <w:r w:rsidR="00183520">
        <w:t>responsibly managed,</w:t>
      </w:r>
      <w:r w:rsidR="00F747B6" w:rsidRPr="00F747B6">
        <w:t xml:space="preserve"> </w:t>
      </w:r>
      <w:r w:rsidR="00183520">
        <w:t>a steep and</w:t>
      </w:r>
      <w:r w:rsidR="00F747B6" w:rsidRPr="00F747B6">
        <w:t xml:space="preserve"> faster increase in the share of RES could compromise the</w:t>
      </w:r>
      <w:r w:rsidR="00183520">
        <w:t xml:space="preserve"> </w:t>
      </w:r>
      <w:r w:rsidR="00F747B6" w:rsidRPr="00F747B6">
        <w:t xml:space="preserve">objective of </w:t>
      </w:r>
      <w:r w:rsidR="00183520">
        <w:t xml:space="preserve">improving </w:t>
      </w:r>
      <w:r w:rsidR="00F747B6" w:rsidRPr="00F747B6">
        <w:t xml:space="preserve">the quality of life </w:t>
      </w:r>
      <w:r w:rsidR="00E6199C">
        <w:t xml:space="preserve">(especially </w:t>
      </w:r>
      <w:r w:rsidR="00F747B6" w:rsidRPr="00F747B6">
        <w:t>in</w:t>
      </w:r>
      <w:r w:rsidR="00E6199C">
        <w:t xml:space="preserve"> the</w:t>
      </w:r>
      <w:r w:rsidR="00F747B6" w:rsidRPr="00F747B6">
        <w:t xml:space="preserve"> rural areas</w:t>
      </w:r>
      <w:r w:rsidR="00E6199C">
        <w:t>)</w:t>
      </w:r>
      <w:r w:rsidR="00F747B6" w:rsidRPr="00F747B6">
        <w:t>.</w:t>
      </w:r>
      <w:r w:rsidR="00EB52FC">
        <w:t xml:space="preserve"> Options include </w:t>
      </w:r>
      <w:r w:rsidR="00F747B6" w:rsidRPr="00F747B6">
        <w:t>support mechanism</w:t>
      </w:r>
      <w:r w:rsidR="00EB52FC">
        <w:t>s</w:t>
      </w:r>
      <w:r w:rsidR="00F747B6" w:rsidRPr="00F747B6">
        <w:t xml:space="preserve"> </w:t>
      </w:r>
      <w:r w:rsidR="00EB52FC">
        <w:t xml:space="preserve">to </w:t>
      </w:r>
      <w:r w:rsidR="00F747B6" w:rsidRPr="00F747B6">
        <w:t>develop</w:t>
      </w:r>
      <w:r w:rsidR="00EB52FC">
        <w:t xml:space="preserve"> </w:t>
      </w:r>
      <w:r w:rsidR="00F747B6" w:rsidRPr="00F747B6">
        <w:t>the potential of biomass in modern</w:t>
      </w:r>
      <w:r w:rsidR="00EB52FC">
        <w:t xml:space="preserve"> </w:t>
      </w:r>
      <w:r w:rsidR="00F747B6" w:rsidRPr="00F747B6">
        <w:t xml:space="preserve">and efficient </w:t>
      </w:r>
      <w:r w:rsidR="00EB52FC">
        <w:t xml:space="preserve">ways, and the </w:t>
      </w:r>
      <w:r w:rsidR="00F747B6" w:rsidRPr="00F747B6">
        <w:t>development of photovoltaic and solar photovoltaic parks</w:t>
      </w:r>
      <w:r w:rsidR="00EB52FC">
        <w:t>.</w:t>
      </w:r>
      <w:r w:rsidR="004A4C7C">
        <w:t xml:space="preserve"> </w:t>
      </w:r>
      <w:r w:rsidR="00EB52FC" w:rsidRPr="006E6FA5">
        <w:t xml:space="preserve">The country has still important, unexploited potential with regards to RES-E. As Romania registers continuous economic </w:t>
      </w:r>
      <w:r w:rsidR="00EB52FC" w:rsidRPr="006E6FA5">
        <w:lastRenderedPageBreak/>
        <w:t xml:space="preserve">growth, the </w:t>
      </w:r>
      <w:r w:rsidR="00BD4CA5">
        <w:t>need</w:t>
      </w:r>
      <w:r w:rsidR="00EB52FC" w:rsidRPr="006E6FA5">
        <w:t xml:space="preserve"> for electricity is expected to</w:t>
      </w:r>
      <w:r w:rsidR="009B4183">
        <w:t xml:space="preserve"> increase</w:t>
      </w:r>
      <w:r w:rsidR="00EB52FC" w:rsidRPr="006E6FA5">
        <w:t xml:space="preserve"> further, meaning that new mechanisms</w:t>
      </w:r>
      <w:r w:rsidR="00BD4CA5">
        <w:t xml:space="preserve"> and improved technologies</w:t>
      </w:r>
      <w:r w:rsidR="00EB52FC" w:rsidRPr="006E6FA5">
        <w:t xml:space="preserve"> for </w:t>
      </w:r>
      <w:r w:rsidR="00BD4CA5">
        <w:t>boosting</w:t>
      </w:r>
      <w:r w:rsidR="00EB52FC" w:rsidRPr="006E6FA5">
        <w:t xml:space="preserve"> the potential of unexploited existing resources are needed. The results of this paper may henceforth be useful for further research regarding public policies and regulatory frameworks revolving </w:t>
      </w:r>
      <w:r w:rsidR="00E6199C">
        <w:t xml:space="preserve">around </w:t>
      </w:r>
      <w:r w:rsidR="00EB52FC" w:rsidRPr="006E6FA5">
        <w:t xml:space="preserve">the development of renewable energy in Romania. Notwithstanding, this paper can also serve as a useful </w:t>
      </w:r>
      <w:r w:rsidR="003F26D6">
        <w:t>overview to</w:t>
      </w:r>
      <w:r w:rsidR="00EB52FC" w:rsidRPr="006E6FA5">
        <w:t xml:space="preserve"> identify, target, and </w:t>
      </w:r>
      <w:r w:rsidR="00E6199C">
        <w:t xml:space="preserve">analyse </w:t>
      </w:r>
      <w:r w:rsidR="00EB52FC" w:rsidRPr="006E6FA5">
        <w:t xml:space="preserve">current prospects and future outlooks for </w:t>
      </w:r>
      <w:r w:rsidR="00ED33F8">
        <w:t xml:space="preserve">the </w:t>
      </w:r>
      <w:r w:rsidR="00EB52FC" w:rsidRPr="006E6FA5">
        <w:t>renewable energy sector in Romania.</w:t>
      </w:r>
    </w:p>
    <w:p w14:paraId="558D6222" w14:textId="77777777" w:rsidR="00EB52FC" w:rsidRPr="00F747B6" w:rsidRDefault="00EB52FC" w:rsidP="00EB52FC">
      <w:pPr>
        <w:spacing w:line="480" w:lineRule="auto"/>
        <w:jc w:val="both"/>
      </w:pPr>
    </w:p>
    <w:p w14:paraId="1AA92EA5" w14:textId="676F1DDF" w:rsidR="00F64B6D" w:rsidRPr="0098365D" w:rsidRDefault="00B9507A" w:rsidP="0098365D">
      <w:pPr>
        <w:spacing w:line="276" w:lineRule="auto"/>
        <w:jc w:val="both"/>
        <w:rPr>
          <w:b/>
          <w:bCs/>
        </w:rPr>
      </w:pPr>
      <w:r w:rsidRPr="0098365D">
        <w:rPr>
          <w:b/>
          <w:bCs/>
        </w:rPr>
        <w:t xml:space="preserve">Bibliography </w:t>
      </w:r>
    </w:p>
    <w:p w14:paraId="16DA4C0C" w14:textId="7696BC66" w:rsidR="00C86B42" w:rsidRPr="0098365D" w:rsidRDefault="00C86B42" w:rsidP="0098365D">
      <w:pPr>
        <w:pStyle w:val="ListParagraph"/>
        <w:numPr>
          <w:ilvl w:val="0"/>
          <w:numId w:val="35"/>
        </w:numPr>
        <w:spacing w:line="276" w:lineRule="auto"/>
        <w:jc w:val="both"/>
        <w:rPr>
          <w:rFonts w:ascii="Times New Roman" w:hAnsi="Times New Roman"/>
          <w:lang w:val="en-US"/>
        </w:rPr>
      </w:pPr>
      <w:r w:rsidRPr="0098365D">
        <w:rPr>
          <w:rFonts w:ascii="Times New Roman" w:hAnsi="Times New Roman"/>
        </w:rPr>
        <w:t xml:space="preserve">AGERPRESS. (2019) </w:t>
      </w:r>
      <w:r w:rsidRPr="0098365D">
        <w:rPr>
          <w:rFonts w:ascii="Times New Roman" w:hAnsi="Times New Roman"/>
          <w:i/>
          <w:iCs/>
        </w:rPr>
        <w:t xml:space="preserve">Academia </w:t>
      </w:r>
      <w:proofErr w:type="spellStart"/>
      <w:r w:rsidRPr="0098365D">
        <w:rPr>
          <w:rFonts w:ascii="Times New Roman" w:hAnsi="Times New Roman"/>
          <w:i/>
          <w:iCs/>
        </w:rPr>
        <w:t>pentru</w:t>
      </w:r>
      <w:proofErr w:type="spellEnd"/>
      <w:r w:rsidRPr="0098365D">
        <w:rPr>
          <w:rFonts w:ascii="Times New Roman" w:hAnsi="Times New Roman"/>
          <w:i/>
          <w:iCs/>
        </w:rPr>
        <w:t xml:space="preserve"> </w:t>
      </w:r>
      <w:proofErr w:type="spellStart"/>
      <w:r w:rsidRPr="0098365D">
        <w:rPr>
          <w:rFonts w:ascii="Times New Roman" w:hAnsi="Times New Roman"/>
          <w:i/>
          <w:iCs/>
        </w:rPr>
        <w:t>Energiei</w:t>
      </w:r>
      <w:proofErr w:type="spellEnd"/>
      <w:r w:rsidRPr="0098365D">
        <w:rPr>
          <w:rFonts w:ascii="Times New Roman" w:hAnsi="Times New Roman"/>
          <w:i/>
          <w:iCs/>
        </w:rPr>
        <w:t xml:space="preserve"> </w:t>
      </w:r>
      <w:proofErr w:type="spellStart"/>
      <w:r w:rsidRPr="0098365D">
        <w:rPr>
          <w:rFonts w:ascii="Times New Roman" w:hAnsi="Times New Roman"/>
          <w:i/>
          <w:iCs/>
        </w:rPr>
        <w:t>Regenerabilă</w:t>
      </w:r>
      <w:proofErr w:type="spellEnd"/>
      <w:r w:rsidRPr="0098365D">
        <w:rPr>
          <w:rFonts w:ascii="Times New Roman" w:hAnsi="Times New Roman"/>
          <w:i/>
          <w:iCs/>
        </w:rPr>
        <w:t xml:space="preserve"> </w:t>
      </w:r>
      <w:proofErr w:type="spellStart"/>
      <w:r w:rsidRPr="0098365D">
        <w:rPr>
          <w:rFonts w:ascii="Times New Roman" w:hAnsi="Times New Roman"/>
          <w:i/>
          <w:iCs/>
        </w:rPr>
        <w:t>şi</w:t>
      </w:r>
      <w:proofErr w:type="spellEnd"/>
      <w:r w:rsidRPr="0098365D">
        <w:rPr>
          <w:rFonts w:ascii="Times New Roman" w:hAnsi="Times New Roman"/>
          <w:i/>
          <w:iCs/>
        </w:rPr>
        <w:t xml:space="preserve"> </w:t>
      </w:r>
      <w:proofErr w:type="spellStart"/>
      <w:r w:rsidRPr="0098365D">
        <w:rPr>
          <w:rFonts w:ascii="Times New Roman" w:hAnsi="Times New Roman"/>
          <w:i/>
          <w:iCs/>
        </w:rPr>
        <w:t>Distribuţie</w:t>
      </w:r>
      <w:proofErr w:type="spellEnd"/>
      <w:r w:rsidRPr="0098365D">
        <w:rPr>
          <w:rFonts w:ascii="Times New Roman" w:hAnsi="Times New Roman"/>
          <w:i/>
          <w:iCs/>
        </w:rPr>
        <w:t xml:space="preserve"> </w:t>
      </w:r>
      <w:proofErr w:type="gramStart"/>
      <w:r w:rsidRPr="0098365D">
        <w:rPr>
          <w:rFonts w:ascii="Times New Roman" w:hAnsi="Times New Roman"/>
          <w:i/>
          <w:iCs/>
        </w:rPr>
        <w:t>a</w:t>
      </w:r>
      <w:proofErr w:type="gramEnd"/>
      <w:r w:rsidRPr="0098365D">
        <w:rPr>
          <w:rFonts w:ascii="Times New Roman" w:hAnsi="Times New Roman"/>
          <w:i/>
          <w:iCs/>
        </w:rPr>
        <w:t xml:space="preserve"> </w:t>
      </w:r>
      <w:proofErr w:type="spellStart"/>
      <w:r w:rsidRPr="0098365D">
        <w:rPr>
          <w:rFonts w:ascii="Times New Roman" w:hAnsi="Times New Roman"/>
          <w:i/>
          <w:iCs/>
        </w:rPr>
        <w:t>Energiei</w:t>
      </w:r>
      <w:proofErr w:type="spellEnd"/>
      <w:r w:rsidRPr="0098365D">
        <w:rPr>
          <w:rFonts w:ascii="Times New Roman" w:hAnsi="Times New Roman"/>
          <w:i/>
          <w:iCs/>
        </w:rPr>
        <w:t xml:space="preserve"> </w:t>
      </w:r>
      <w:proofErr w:type="spellStart"/>
      <w:r w:rsidRPr="0098365D">
        <w:rPr>
          <w:rFonts w:ascii="Times New Roman" w:hAnsi="Times New Roman"/>
          <w:i/>
          <w:iCs/>
        </w:rPr>
        <w:t>Electrice</w:t>
      </w:r>
      <w:proofErr w:type="spellEnd"/>
      <w:r w:rsidRPr="0098365D">
        <w:rPr>
          <w:rFonts w:ascii="Times New Roman" w:hAnsi="Times New Roman"/>
          <w:i/>
          <w:iCs/>
        </w:rPr>
        <w:t xml:space="preserve"> </w:t>
      </w:r>
      <w:proofErr w:type="spellStart"/>
      <w:r w:rsidRPr="0098365D">
        <w:rPr>
          <w:rFonts w:ascii="Times New Roman" w:hAnsi="Times New Roman"/>
          <w:i/>
          <w:iCs/>
        </w:rPr>
        <w:t>începe</w:t>
      </w:r>
      <w:proofErr w:type="spellEnd"/>
      <w:r w:rsidRPr="0098365D">
        <w:rPr>
          <w:rFonts w:ascii="Times New Roman" w:hAnsi="Times New Roman"/>
          <w:i/>
          <w:iCs/>
        </w:rPr>
        <w:t xml:space="preserve"> </w:t>
      </w:r>
      <w:proofErr w:type="spellStart"/>
      <w:r w:rsidRPr="0098365D">
        <w:rPr>
          <w:rFonts w:ascii="Times New Roman" w:hAnsi="Times New Roman"/>
          <w:i/>
          <w:iCs/>
        </w:rPr>
        <w:t>recrutările</w:t>
      </w:r>
      <w:proofErr w:type="spellEnd"/>
      <w:r w:rsidRPr="0098365D">
        <w:rPr>
          <w:rFonts w:ascii="Times New Roman" w:hAnsi="Times New Roman"/>
          <w:i/>
          <w:iCs/>
        </w:rPr>
        <w:t>.</w:t>
      </w:r>
      <w:r w:rsidRPr="0098365D">
        <w:rPr>
          <w:rFonts w:ascii="Times New Roman" w:hAnsi="Times New Roman"/>
        </w:rPr>
        <w:t xml:space="preserve"> [Online] Available from: </w:t>
      </w:r>
      <w:r w:rsidRPr="00967B4D">
        <w:rPr>
          <w:rFonts w:ascii="Times New Roman" w:hAnsi="Times New Roman"/>
          <w:u w:val="single"/>
        </w:rPr>
        <w:t>https://www.economica.net/academia-pentru-energiei-regenerabila-si-distributie-a-energiei-electrice-incepe-recrutarile_171897.html</w:t>
      </w:r>
      <w:r w:rsidRPr="0098365D">
        <w:rPr>
          <w:rFonts w:ascii="Times New Roman" w:hAnsi="Times New Roman"/>
        </w:rPr>
        <w:t xml:space="preserve"> [</w:t>
      </w:r>
      <w:r w:rsidRPr="0098365D">
        <w:rPr>
          <w:rFonts w:ascii="Times New Roman" w:hAnsi="Times New Roman"/>
          <w:lang w:val="en-US"/>
        </w:rPr>
        <w:t>Accessed: 27</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4FA4360F" w14:textId="77777777" w:rsidR="00C86B42" w:rsidRPr="0098365D" w:rsidRDefault="00C86B42" w:rsidP="0098365D">
      <w:pPr>
        <w:pStyle w:val="ListParagraph"/>
        <w:numPr>
          <w:ilvl w:val="0"/>
          <w:numId w:val="35"/>
        </w:numPr>
        <w:spacing w:line="276" w:lineRule="auto"/>
        <w:jc w:val="both"/>
        <w:rPr>
          <w:rFonts w:ascii="Times New Roman" w:hAnsi="Times New Roman"/>
          <w:lang w:val="ro-RO"/>
        </w:rPr>
      </w:pPr>
      <w:r w:rsidRPr="0098365D">
        <w:rPr>
          <w:rFonts w:ascii="Times New Roman" w:hAnsi="Times New Roman"/>
        </w:rPr>
        <w:t xml:space="preserve">ANRE. (2019) </w:t>
      </w:r>
      <w:proofErr w:type="spellStart"/>
      <w:r w:rsidRPr="0098365D">
        <w:rPr>
          <w:rFonts w:ascii="Times New Roman" w:hAnsi="Times New Roman"/>
          <w:i/>
          <w:iCs/>
        </w:rPr>
        <w:t>Legislație</w:t>
      </w:r>
      <w:proofErr w:type="spellEnd"/>
      <w:r w:rsidRPr="0098365D">
        <w:rPr>
          <w:rFonts w:ascii="Times New Roman" w:hAnsi="Times New Roman"/>
          <w:i/>
          <w:iCs/>
        </w:rPr>
        <w:t xml:space="preserve"> </w:t>
      </w:r>
      <w:proofErr w:type="spellStart"/>
      <w:r w:rsidRPr="0098365D">
        <w:rPr>
          <w:rFonts w:ascii="Times New Roman" w:hAnsi="Times New Roman"/>
          <w:i/>
          <w:iCs/>
        </w:rPr>
        <w:t>primară</w:t>
      </w:r>
      <w:proofErr w:type="spellEnd"/>
      <w:r w:rsidRPr="0098365D">
        <w:rPr>
          <w:rFonts w:ascii="Times New Roman" w:hAnsi="Times New Roman"/>
          <w:i/>
          <w:iCs/>
        </w:rPr>
        <w:t xml:space="preserve"> – ESRE. </w:t>
      </w:r>
      <w:r w:rsidRPr="0098365D">
        <w:rPr>
          <w:rFonts w:ascii="Times New Roman" w:hAnsi="Times New Roman"/>
        </w:rPr>
        <w:t xml:space="preserve">[Online] Available from: </w:t>
      </w:r>
      <w:hyperlink r:id="rId10" w:history="1">
        <w:r w:rsidRPr="0098365D">
          <w:rPr>
            <w:rStyle w:val="Hyperlink"/>
            <w:rFonts w:ascii="Times New Roman" w:hAnsi="Times New Roman"/>
            <w:color w:val="auto"/>
          </w:rPr>
          <w:t>https://www.anre.ro/ro/legislatie/surse-regenerabile/legislatie-primara-esre</w:t>
        </w:r>
      </w:hyperlink>
      <w:r w:rsidRPr="0098365D">
        <w:rPr>
          <w:rFonts w:ascii="Times New Roman" w:hAnsi="Times New Roman"/>
        </w:rPr>
        <w:t xml:space="preserve"> [</w:t>
      </w:r>
      <w:r w:rsidRPr="0098365D">
        <w:rPr>
          <w:rFonts w:ascii="Times New Roman" w:hAnsi="Times New Roman"/>
          <w:lang w:val="en-US"/>
        </w:rPr>
        <w:t>Accessed: 27</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69BAC526" w14:textId="77777777" w:rsidR="00C86B42" w:rsidRPr="0098365D" w:rsidRDefault="00C86B42" w:rsidP="0098365D">
      <w:pPr>
        <w:pStyle w:val="ListParagraph"/>
        <w:numPr>
          <w:ilvl w:val="0"/>
          <w:numId w:val="35"/>
        </w:numPr>
        <w:spacing w:line="276" w:lineRule="auto"/>
        <w:jc w:val="both"/>
        <w:rPr>
          <w:rFonts w:ascii="Times New Roman" w:hAnsi="Times New Roman"/>
        </w:rPr>
      </w:pPr>
      <w:r w:rsidRPr="0098365D">
        <w:rPr>
          <w:rFonts w:ascii="Times New Roman" w:hAnsi="Times New Roman"/>
        </w:rPr>
        <w:t xml:space="preserve">BALKAN GREEN ENERGY NEWS. (2019) </w:t>
      </w:r>
      <w:r w:rsidRPr="0098365D">
        <w:rPr>
          <w:rFonts w:ascii="Times New Roman" w:hAnsi="Times New Roman"/>
          <w:i/>
          <w:iCs/>
        </w:rPr>
        <w:t>The Romanian government is considering introducing a scheme for offsetting the cost of the EU Emission Trading System (EU ETS), but details have not yet been announced, local media reported.</w:t>
      </w:r>
      <w:r w:rsidRPr="0098365D">
        <w:rPr>
          <w:rFonts w:ascii="Times New Roman" w:hAnsi="Times New Roman"/>
        </w:rPr>
        <w:t xml:space="preserve"> [Online] Available from:</w:t>
      </w:r>
      <w:r w:rsidRPr="0098365D">
        <w:rPr>
          <w:rFonts w:ascii="Times New Roman" w:hAnsi="Times New Roman"/>
          <w:i/>
          <w:iCs/>
        </w:rPr>
        <w:t xml:space="preserve"> </w:t>
      </w:r>
      <w:hyperlink r:id="rId11" w:history="1">
        <w:r w:rsidRPr="0098365D">
          <w:rPr>
            <w:rStyle w:val="Hyperlink"/>
            <w:rFonts w:ascii="Times New Roman" w:hAnsi="Times New Roman"/>
            <w:color w:val="auto"/>
          </w:rPr>
          <w:t>https://balkangreenenergynews.com/romania-mulls-carbon-price-compensation-scheme/</w:t>
        </w:r>
      </w:hyperlink>
      <w:r w:rsidRPr="0098365D">
        <w:rPr>
          <w:rFonts w:ascii="Times New Roman" w:hAnsi="Times New Roman"/>
        </w:rPr>
        <w:t xml:space="preserve"> [</w:t>
      </w:r>
      <w:r w:rsidRPr="0098365D">
        <w:rPr>
          <w:rFonts w:ascii="Times New Roman" w:hAnsi="Times New Roman"/>
          <w:lang w:val="en-US"/>
        </w:rPr>
        <w:t>Accessed: 15</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3D2A2BA1" w14:textId="77777777" w:rsidR="00C86B42" w:rsidRPr="0098365D" w:rsidRDefault="00C86B42" w:rsidP="0098365D">
      <w:pPr>
        <w:pStyle w:val="ListParagraph"/>
        <w:numPr>
          <w:ilvl w:val="0"/>
          <w:numId w:val="35"/>
        </w:numPr>
        <w:spacing w:line="276" w:lineRule="auto"/>
        <w:jc w:val="both"/>
        <w:rPr>
          <w:rFonts w:ascii="Times New Roman" w:hAnsi="Times New Roman"/>
          <w:lang w:val="en-US"/>
        </w:rPr>
      </w:pPr>
      <w:r w:rsidRPr="0098365D">
        <w:rPr>
          <w:rFonts w:ascii="Times New Roman" w:hAnsi="Times New Roman"/>
        </w:rPr>
        <w:t>BANKWATCH NETWORK. (2019)</w:t>
      </w:r>
      <w:r w:rsidRPr="0098365D">
        <w:rPr>
          <w:rFonts w:ascii="Times New Roman" w:hAnsi="Times New Roman"/>
          <w:i/>
          <w:iCs/>
        </w:rPr>
        <w:t xml:space="preserve"> The energy sector in Romania</w:t>
      </w:r>
      <w:r w:rsidRPr="0098365D">
        <w:rPr>
          <w:rFonts w:ascii="Times New Roman" w:hAnsi="Times New Roman"/>
        </w:rPr>
        <w:t xml:space="preserve">. [Online] Available from: </w:t>
      </w:r>
      <w:hyperlink r:id="rId12" w:history="1">
        <w:r w:rsidRPr="0098365D">
          <w:rPr>
            <w:rStyle w:val="Hyperlink"/>
            <w:rFonts w:ascii="Times New Roman" w:hAnsi="Times New Roman"/>
            <w:color w:val="auto"/>
          </w:rPr>
          <w:t>https://bankwatch.org/beyond-coal/the-energy-sector-in-romania</w:t>
        </w:r>
      </w:hyperlink>
      <w:r w:rsidRPr="0098365D">
        <w:rPr>
          <w:rFonts w:ascii="Times New Roman" w:hAnsi="Times New Roman"/>
        </w:rPr>
        <w:t xml:space="preserve"> [</w:t>
      </w:r>
      <w:r w:rsidRPr="0098365D">
        <w:rPr>
          <w:rFonts w:ascii="Times New Roman" w:hAnsi="Times New Roman"/>
          <w:lang w:val="en-US"/>
        </w:rPr>
        <w:t>Accessed: 27</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15D89DC0" w14:textId="77777777" w:rsidR="00C86B42" w:rsidRPr="0098365D" w:rsidRDefault="00C86B42" w:rsidP="0098365D">
      <w:pPr>
        <w:pStyle w:val="ListParagraph"/>
        <w:numPr>
          <w:ilvl w:val="0"/>
          <w:numId w:val="35"/>
        </w:numPr>
        <w:spacing w:line="276" w:lineRule="auto"/>
        <w:jc w:val="both"/>
        <w:rPr>
          <w:rFonts w:ascii="Times New Roman" w:hAnsi="Times New Roman"/>
        </w:rPr>
      </w:pPr>
      <w:r w:rsidRPr="0098365D">
        <w:rPr>
          <w:rFonts w:ascii="Times New Roman" w:hAnsi="Times New Roman"/>
        </w:rPr>
        <w:t xml:space="preserve">Cîrstea, Ş., </w:t>
      </w:r>
      <w:proofErr w:type="spellStart"/>
      <w:r w:rsidRPr="0098365D">
        <w:rPr>
          <w:rFonts w:ascii="Times New Roman" w:hAnsi="Times New Roman"/>
        </w:rPr>
        <w:t>Martiş</w:t>
      </w:r>
      <w:proofErr w:type="spellEnd"/>
      <w:r w:rsidRPr="0098365D">
        <w:rPr>
          <w:rFonts w:ascii="Times New Roman" w:hAnsi="Times New Roman"/>
        </w:rPr>
        <w:t xml:space="preserve">, C., Cîrstea, A., Constantinescu-Dobra, A. and </w:t>
      </w:r>
      <w:proofErr w:type="spellStart"/>
      <w:r w:rsidRPr="0098365D">
        <w:rPr>
          <w:rFonts w:ascii="Times New Roman" w:hAnsi="Times New Roman"/>
        </w:rPr>
        <w:t>Fülöp</w:t>
      </w:r>
      <w:proofErr w:type="spellEnd"/>
      <w:r w:rsidRPr="0098365D">
        <w:rPr>
          <w:rFonts w:ascii="Times New Roman" w:hAnsi="Times New Roman"/>
        </w:rPr>
        <w:t xml:space="preserve">, M., 2018. </w:t>
      </w:r>
      <w:r w:rsidRPr="0098365D">
        <w:rPr>
          <w:rFonts w:ascii="Times New Roman" w:hAnsi="Times New Roman"/>
          <w:i/>
          <w:iCs/>
        </w:rPr>
        <w:t>Current Situation and Future Perspectives of the Romanian Renewable Energy</w:t>
      </w:r>
      <w:r w:rsidRPr="0098365D">
        <w:rPr>
          <w:rFonts w:ascii="Times New Roman" w:hAnsi="Times New Roman"/>
        </w:rPr>
        <w:t>. Energies, 11(12), p.3289.</w:t>
      </w:r>
    </w:p>
    <w:p w14:paraId="3228958F" w14:textId="77777777" w:rsidR="00C86B42" w:rsidRPr="0098365D" w:rsidRDefault="00C86B42" w:rsidP="0098365D">
      <w:pPr>
        <w:pStyle w:val="ListParagraph"/>
        <w:numPr>
          <w:ilvl w:val="0"/>
          <w:numId w:val="35"/>
        </w:numPr>
        <w:spacing w:line="276" w:lineRule="auto"/>
        <w:jc w:val="both"/>
        <w:rPr>
          <w:rFonts w:ascii="Times New Roman" w:hAnsi="Times New Roman"/>
        </w:rPr>
      </w:pPr>
      <w:r w:rsidRPr="0098365D">
        <w:rPr>
          <w:rFonts w:ascii="Times New Roman" w:hAnsi="Times New Roman"/>
        </w:rPr>
        <w:t xml:space="preserve">ELECTRICIANUL. (2018). </w:t>
      </w:r>
      <w:proofErr w:type="spellStart"/>
      <w:r w:rsidRPr="0098365D">
        <w:rPr>
          <w:rFonts w:ascii="Times New Roman" w:hAnsi="Times New Roman"/>
          <w:i/>
          <w:iCs/>
        </w:rPr>
        <w:t>Legea</w:t>
      </w:r>
      <w:proofErr w:type="spellEnd"/>
      <w:r w:rsidRPr="0098365D">
        <w:rPr>
          <w:rFonts w:ascii="Times New Roman" w:hAnsi="Times New Roman"/>
          <w:i/>
          <w:iCs/>
        </w:rPr>
        <w:t xml:space="preserve"> 184/2018 </w:t>
      </w:r>
      <w:proofErr w:type="spellStart"/>
      <w:r w:rsidRPr="0098365D">
        <w:rPr>
          <w:rFonts w:ascii="Times New Roman" w:hAnsi="Times New Roman"/>
          <w:i/>
          <w:iCs/>
        </w:rPr>
        <w:t>aduce</w:t>
      </w:r>
      <w:proofErr w:type="spellEnd"/>
      <w:r w:rsidRPr="0098365D">
        <w:rPr>
          <w:rFonts w:ascii="Times New Roman" w:hAnsi="Times New Roman"/>
          <w:i/>
          <w:iCs/>
        </w:rPr>
        <w:t xml:space="preserve"> </w:t>
      </w:r>
      <w:proofErr w:type="spellStart"/>
      <w:r w:rsidRPr="0098365D">
        <w:rPr>
          <w:rFonts w:ascii="Times New Roman" w:hAnsi="Times New Roman"/>
          <w:i/>
          <w:iCs/>
        </w:rPr>
        <w:t>noutăți</w:t>
      </w:r>
      <w:proofErr w:type="spellEnd"/>
      <w:r w:rsidRPr="0098365D">
        <w:rPr>
          <w:rFonts w:ascii="Times New Roman" w:hAnsi="Times New Roman"/>
          <w:i/>
          <w:iCs/>
        </w:rPr>
        <w:t xml:space="preserve"> </w:t>
      </w:r>
      <w:proofErr w:type="spellStart"/>
      <w:r w:rsidRPr="0098365D">
        <w:rPr>
          <w:rFonts w:ascii="Times New Roman" w:hAnsi="Times New Roman"/>
          <w:i/>
          <w:iCs/>
        </w:rPr>
        <w:t>pentru</w:t>
      </w:r>
      <w:proofErr w:type="spellEnd"/>
      <w:r w:rsidRPr="0098365D">
        <w:rPr>
          <w:rFonts w:ascii="Times New Roman" w:hAnsi="Times New Roman"/>
          <w:i/>
          <w:iCs/>
        </w:rPr>
        <w:t xml:space="preserve"> </w:t>
      </w:r>
      <w:proofErr w:type="spellStart"/>
      <w:r w:rsidRPr="0098365D">
        <w:rPr>
          <w:rFonts w:ascii="Times New Roman" w:hAnsi="Times New Roman"/>
          <w:i/>
          <w:iCs/>
        </w:rPr>
        <w:t>producătorii</w:t>
      </w:r>
      <w:proofErr w:type="spellEnd"/>
      <w:r w:rsidRPr="0098365D">
        <w:rPr>
          <w:rFonts w:ascii="Times New Roman" w:hAnsi="Times New Roman"/>
          <w:i/>
          <w:iCs/>
        </w:rPr>
        <w:t xml:space="preserve"> de </w:t>
      </w:r>
      <w:proofErr w:type="spellStart"/>
      <w:r w:rsidRPr="0098365D">
        <w:rPr>
          <w:rFonts w:ascii="Times New Roman" w:hAnsi="Times New Roman"/>
          <w:i/>
          <w:iCs/>
        </w:rPr>
        <w:t>energie</w:t>
      </w:r>
      <w:proofErr w:type="spellEnd"/>
      <w:r w:rsidRPr="0098365D">
        <w:rPr>
          <w:rFonts w:ascii="Times New Roman" w:hAnsi="Times New Roman"/>
          <w:i/>
          <w:iCs/>
        </w:rPr>
        <w:t xml:space="preserve"> </w:t>
      </w:r>
      <w:proofErr w:type="spellStart"/>
      <w:r w:rsidRPr="0098365D">
        <w:rPr>
          <w:rFonts w:ascii="Times New Roman" w:hAnsi="Times New Roman"/>
          <w:i/>
          <w:iCs/>
        </w:rPr>
        <w:t>regenera</w:t>
      </w:r>
      <w:proofErr w:type="spellEnd"/>
      <w:r w:rsidRPr="0098365D">
        <w:rPr>
          <w:rFonts w:ascii="Times New Roman" w:hAnsi="Times New Roman"/>
          <w:i/>
          <w:iCs/>
        </w:rPr>
        <w:t>.</w:t>
      </w:r>
      <w:r w:rsidRPr="0098365D">
        <w:rPr>
          <w:rFonts w:ascii="Times New Roman" w:hAnsi="Times New Roman"/>
        </w:rPr>
        <w:t xml:space="preserve"> [Online] Available from: </w:t>
      </w:r>
      <w:hyperlink r:id="rId13" w:history="1">
        <w:r w:rsidRPr="0098365D">
          <w:rPr>
            <w:rStyle w:val="Hyperlink"/>
            <w:rFonts w:ascii="Times New Roman" w:hAnsi="Times New Roman"/>
            <w:color w:val="auto"/>
          </w:rPr>
          <w:t>https://www.electricianul.ro/legea-184-2018-aduce-noutati-pentru-producatorii-de-energie-regenera/</w:t>
        </w:r>
      </w:hyperlink>
      <w:r w:rsidRPr="0098365D">
        <w:rPr>
          <w:rFonts w:ascii="Times New Roman" w:hAnsi="Times New Roman"/>
        </w:rPr>
        <w:t xml:space="preserve"> [</w:t>
      </w:r>
      <w:r w:rsidRPr="0098365D">
        <w:rPr>
          <w:rFonts w:ascii="Times New Roman" w:hAnsi="Times New Roman"/>
          <w:lang w:val="en-US"/>
        </w:rPr>
        <w:t>Accessed: 27</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59FE5B60" w14:textId="77777777" w:rsidR="00C86B42" w:rsidRPr="0098365D" w:rsidRDefault="00C86B42" w:rsidP="0098365D">
      <w:pPr>
        <w:pStyle w:val="ListParagraph"/>
        <w:numPr>
          <w:ilvl w:val="0"/>
          <w:numId w:val="35"/>
        </w:numPr>
        <w:spacing w:line="276" w:lineRule="auto"/>
        <w:jc w:val="both"/>
        <w:rPr>
          <w:rFonts w:ascii="Times New Roman" w:hAnsi="Times New Roman"/>
        </w:rPr>
      </w:pPr>
      <w:r w:rsidRPr="0098365D">
        <w:rPr>
          <w:rFonts w:ascii="Times New Roman" w:hAnsi="Times New Roman"/>
        </w:rPr>
        <w:t xml:space="preserve">EPG. (2019) </w:t>
      </w:r>
      <w:r w:rsidRPr="0098365D">
        <w:rPr>
          <w:rFonts w:ascii="Times New Roman" w:hAnsi="Times New Roman"/>
          <w:i/>
          <w:iCs/>
        </w:rPr>
        <w:t xml:space="preserve">ANALYSIS: The Draft of the Romanian National Energy-Climate Plan 2021-2030. </w:t>
      </w:r>
      <w:r w:rsidRPr="0098365D">
        <w:rPr>
          <w:rFonts w:ascii="Times New Roman" w:hAnsi="Times New Roman"/>
        </w:rPr>
        <w:t>[Online] Available from:</w:t>
      </w:r>
      <w:r w:rsidRPr="0098365D">
        <w:rPr>
          <w:rFonts w:ascii="Times New Roman" w:hAnsi="Times New Roman"/>
          <w:i/>
          <w:iCs/>
        </w:rPr>
        <w:t xml:space="preserve"> </w:t>
      </w:r>
      <w:hyperlink r:id="rId14" w:history="1">
        <w:r w:rsidRPr="0098365D">
          <w:rPr>
            <w:rStyle w:val="Hyperlink"/>
            <w:rFonts w:ascii="Times New Roman" w:hAnsi="Times New Roman"/>
            <w:color w:val="auto"/>
          </w:rPr>
          <w:t>https://www.enpg.ro/analysis-the-draft-of-the-romanian-national-energy-climate-plan-2021-2030/</w:t>
        </w:r>
      </w:hyperlink>
      <w:r w:rsidRPr="0098365D">
        <w:rPr>
          <w:rFonts w:ascii="Times New Roman" w:hAnsi="Times New Roman"/>
        </w:rPr>
        <w:t xml:space="preserve"> [</w:t>
      </w:r>
      <w:r w:rsidRPr="0098365D">
        <w:rPr>
          <w:rFonts w:ascii="Times New Roman" w:hAnsi="Times New Roman"/>
          <w:lang w:val="en-US"/>
        </w:rPr>
        <w:t>Accessed: 27</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0E045635" w14:textId="77777777" w:rsidR="00C86B42" w:rsidRPr="0098365D" w:rsidRDefault="00C86B42" w:rsidP="0098365D">
      <w:pPr>
        <w:pStyle w:val="ListParagraph"/>
        <w:numPr>
          <w:ilvl w:val="0"/>
          <w:numId w:val="35"/>
        </w:numPr>
        <w:spacing w:line="276" w:lineRule="auto"/>
        <w:jc w:val="both"/>
        <w:rPr>
          <w:rFonts w:ascii="Times New Roman" w:hAnsi="Times New Roman"/>
          <w:lang w:val="en-US"/>
        </w:rPr>
      </w:pPr>
      <w:r w:rsidRPr="0098365D">
        <w:rPr>
          <w:rFonts w:ascii="Times New Roman" w:hAnsi="Times New Roman"/>
        </w:rPr>
        <w:t xml:space="preserve">EUR-LEX. (2019) </w:t>
      </w:r>
      <w:r w:rsidRPr="0098365D">
        <w:rPr>
          <w:rFonts w:ascii="Times New Roman" w:hAnsi="Times New Roman"/>
          <w:i/>
          <w:iCs/>
        </w:rPr>
        <w:t>Governance of the Energy Union.</w:t>
      </w:r>
      <w:r w:rsidRPr="0098365D">
        <w:rPr>
          <w:rFonts w:ascii="Times New Roman" w:hAnsi="Times New Roman"/>
        </w:rPr>
        <w:t xml:space="preserve"> [Online] Available from:</w:t>
      </w:r>
      <w:r w:rsidRPr="0098365D">
        <w:rPr>
          <w:rFonts w:ascii="Times New Roman" w:hAnsi="Times New Roman"/>
          <w:i/>
          <w:iCs/>
        </w:rPr>
        <w:t xml:space="preserve"> </w:t>
      </w:r>
      <w:hyperlink r:id="rId15" w:history="1">
        <w:r w:rsidRPr="0098365D">
          <w:rPr>
            <w:rStyle w:val="Hyperlink"/>
            <w:rFonts w:ascii="Times New Roman" w:hAnsi="Times New Roman"/>
            <w:color w:val="auto"/>
          </w:rPr>
          <w:t>https://eur-lex.europa.eu/legal-content/EN/LSU/?uri=uriserv:OJ.L_.2018.328.01.0001.01.ENG</w:t>
        </w:r>
      </w:hyperlink>
      <w:r w:rsidRPr="0098365D">
        <w:rPr>
          <w:rFonts w:ascii="Times New Roman" w:hAnsi="Times New Roman"/>
        </w:rPr>
        <w:t xml:space="preserve"> [</w:t>
      </w:r>
      <w:r w:rsidRPr="0098365D">
        <w:rPr>
          <w:rFonts w:ascii="Times New Roman" w:hAnsi="Times New Roman"/>
          <w:lang w:val="en-US"/>
        </w:rPr>
        <w:t>Accessed: 27</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576BEB0C" w14:textId="77777777" w:rsidR="00C86B42" w:rsidRPr="0098365D" w:rsidRDefault="00C86B42" w:rsidP="0098365D">
      <w:pPr>
        <w:pStyle w:val="ListParagraph"/>
        <w:numPr>
          <w:ilvl w:val="0"/>
          <w:numId w:val="35"/>
        </w:numPr>
        <w:spacing w:line="276" w:lineRule="auto"/>
        <w:jc w:val="both"/>
        <w:rPr>
          <w:rFonts w:ascii="Times New Roman" w:hAnsi="Times New Roman"/>
          <w:lang w:val="en-US"/>
        </w:rPr>
      </w:pPr>
      <w:r w:rsidRPr="0098365D">
        <w:rPr>
          <w:rFonts w:ascii="Times New Roman" w:hAnsi="Times New Roman"/>
        </w:rPr>
        <w:t xml:space="preserve">EURACTIV. (2019) </w:t>
      </w:r>
      <w:proofErr w:type="spellStart"/>
      <w:r w:rsidRPr="0098365D">
        <w:rPr>
          <w:rFonts w:ascii="Times New Roman" w:hAnsi="Times New Roman"/>
          <w:i/>
          <w:iCs/>
        </w:rPr>
        <w:t>Țintă</w:t>
      </w:r>
      <w:proofErr w:type="spellEnd"/>
      <w:r w:rsidRPr="0098365D">
        <w:rPr>
          <w:rFonts w:ascii="Times New Roman" w:hAnsi="Times New Roman"/>
          <w:i/>
          <w:iCs/>
        </w:rPr>
        <w:t xml:space="preserve"> </w:t>
      </w:r>
      <w:proofErr w:type="spellStart"/>
      <w:r w:rsidRPr="0098365D">
        <w:rPr>
          <w:rFonts w:ascii="Times New Roman" w:hAnsi="Times New Roman"/>
          <w:i/>
          <w:iCs/>
        </w:rPr>
        <w:t>deloc</w:t>
      </w:r>
      <w:proofErr w:type="spellEnd"/>
      <w:r w:rsidRPr="0098365D">
        <w:rPr>
          <w:rFonts w:ascii="Times New Roman" w:hAnsi="Times New Roman"/>
          <w:i/>
          <w:iCs/>
        </w:rPr>
        <w:t xml:space="preserve"> </w:t>
      </w:r>
      <w:proofErr w:type="spellStart"/>
      <w:r w:rsidRPr="0098365D">
        <w:rPr>
          <w:rFonts w:ascii="Times New Roman" w:hAnsi="Times New Roman"/>
          <w:i/>
          <w:iCs/>
        </w:rPr>
        <w:t>ambițioasă</w:t>
      </w:r>
      <w:proofErr w:type="spellEnd"/>
      <w:r w:rsidRPr="0098365D">
        <w:rPr>
          <w:rFonts w:ascii="Times New Roman" w:hAnsi="Times New Roman"/>
          <w:i/>
          <w:iCs/>
        </w:rPr>
        <w:t xml:space="preserve"> </w:t>
      </w:r>
      <w:proofErr w:type="spellStart"/>
      <w:r w:rsidRPr="0098365D">
        <w:rPr>
          <w:rFonts w:ascii="Times New Roman" w:hAnsi="Times New Roman"/>
          <w:i/>
          <w:iCs/>
        </w:rPr>
        <w:t>pentru</w:t>
      </w:r>
      <w:proofErr w:type="spellEnd"/>
      <w:r w:rsidRPr="0098365D">
        <w:rPr>
          <w:rFonts w:ascii="Times New Roman" w:hAnsi="Times New Roman"/>
          <w:i/>
          <w:iCs/>
        </w:rPr>
        <w:t xml:space="preserve"> </w:t>
      </w:r>
      <w:proofErr w:type="spellStart"/>
      <w:r w:rsidRPr="0098365D">
        <w:rPr>
          <w:rFonts w:ascii="Times New Roman" w:hAnsi="Times New Roman"/>
          <w:i/>
          <w:iCs/>
        </w:rPr>
        <w:t>energiile</w:t>
      </w:r>
      <w:proofErr w:type="spellEnd"/>
      <w:r w:rsidRPr="0098365D">
        <w:rPr>
          <w:rFonts w:ascii="Times New Roman" w:hAnsi="Times New Roman"/>
          <w:i/>
          <w:iCs/>
        </w:rPr>
        <w:t xml:space="preserve"> </w:t>
      </w:r>
      <w:proofErr w:type="spellStart"/>
      <w:r w:rsidRPr="0098365D">
        <w:rPr>
          <w:rFonts w:ascii="Times New Roman" w:hAnsi="Times New Roman"/>
          <w:i/>
          <w:iCs/>
        </w:rPr>
        <w:t>regenerabile</w:t>
      </w:r>
      <w:proofErr w:type="spellEnd"/>
      <w:r w:rsidRPr="0098365D">
        <w:rPr>
          <w:rFonts w:ascii="Times New Roman" w:hAnsi="Times New Roman"/>
          <w:i/>
          <w:iCs/>
        </w:rPr>
        <w:t xml:space="preserve">. România nu </w:t>
      </w:r>
      <w:proofErr w:type="spellStart"/>
      <w:r w:rsidRPr="0098365D">
        <w:rPr>
          <w:rFonts w:ascii="Times New Roman" w:hAnsi="Times New Roman"/>
          <w:i/>
          <w:iCs/>
        </w:rPr>
        <w:t>vrea</w:t>
      </w:r>
      <w:proofErr w:type="spellEnd"/>
      <w:r w:rsidRPr="0098365D">
        <w:rPr>
          <w:rFonts w:ascii="Times New Roman" w:hAnsi="Times New Roman"/>
          <w:i/>
          <w:iCs/>
        </w:rPr>
        <w:t xml:space="preserve"> </w:t>
      </w:r>
      <w:proofErr w:type="spellStart"/>
      <w:r w:rsidRPr="0098365D">
        <w:rPr>
          <w:rFonts w:ascii="Times New Roman" w:hAnsi="Times New Roman"/>
          <w:i/>
          <w:iCs/>
        </w:rPr>
        <w:t>să</w:t>
      </w:r>
      <w:proofErr w:type="spellEnd"/>
      <w:r w:rsidRPr="0098365D">
        <w:rPr>
          <w:rFonts w:ascii="Times New Roman" w:hAnsi="Times New Roman"/>
          <w:i/>
          <w:iCs/>
        </w:rPr>
        <w:t xml:space="preserve"> fie „</w:t>
      </w:r>
      <w:proofErr w:type="spellStart"/>
      <w:r w:rsidRPr="0098365D">
        <w:rPr>
          <w:rFonts w:ascii="Times New Roman" w:hAnsi="Times New Roman"/>
          <w:i/>
          <w:iCs/>
        </w:rPr>
        <w:t>prea</w:t>
      </w:r>
      <w:proofErr w:type="spellEnd"/>
      <w:r w:rsidRPr="0098365D">
        <w:rPr>
          <w:rFonts w:ascii="Times New Roman" w:hAnsi="Times New Roman"/>
          <w:i/>
          <w:iCs/>
        </w:rPr>
        <w:t xml:space="preserve"> </w:t>
      </w:r>
      <w:proofErr w:type="spellStart"/>
      <w:r w:rsidRPr="0098365D">
        <w:rPr>
          <w:rFonts w:ascii="Times New Roman" w:hAnsi="Times New Roman"/>
          <w:i/>
          <w:iCs/>
        </w:rPr>
        <w:t>verde</w:t>
      </w:r>
      <w:proofErr w:type="spellEnd"/>
      <w:r w:rsidRPr="0098365D">
        <w:rPr>
          <w:rFonts w:ascii="Times New Roman" w:hAnsi="Times New Roman"/>
          <w:i/>
          <w:iCs/>
        </w:rPr>
        <w:t>”.</w:t>
      </w:r>
      <w:r w:rsidRPr="0098365D">
        <w:rPr>
          <w:rFonts w:ascii="Times New Roman" w:hAnsi="Times New Roman"/>
        </w:rPr>
        <w:t xml:space="preserve"> [Online] Available from:</w:t>
      </w:r>
      <w:r w:rsidRPr="0098365D">
        <w:rPr>
          <w:rFonts w:ascii="Times New Roman" w:hAnsi="Times New Roman"/>
          <w:b/>
          <w:bCs/>
        </w:rPr>
        <w:t xml:space="preserve"> </w:t>
      </w:r>
      <w:hyperlink r:id="rId16" w:history="1">
        <w:r w:rsidRPr="0098365D">
          <w:rPr>
            <w:rStyle w:val="Hyperlink"/>
            <w:rFonts w:ascii="Times New Roman" w:hAnsi="Times New Roman"/>
            <w:color w:val="auto"/>
          </w:rPr>
          <w:t>https://www.euractiv.ro/economic/tinta-deloc-ambitioasa-pentru-energiile-regenerabile.-romania-nu-vrea-sa-fie-e2-80-9eprea-verde-13899</w:t>
        </w:r>
      </w:hyperlink>
      <w:r w:rsidRPr="0098365D">
        <w:rPr>
          <w:rFonts w:ascii="Times New Roman" w:hAnsi="Times New Roman"/>
        </w:rPr>
        <w:t xml:space="preserve"> [</w:t>
      </w:r>
      <w:r w:rsidRPr="0098365D">
        <w:rPr>
          <w:rFonts w:ascii="Times New Roman" w:hAnsi="Times New Roman"/>
          <w:lang w:val="en-US"/>
        </w:rPr>
        <w:t>Accessed: 27</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62250340" w14:textId="77777777" w:rsidR="00C86B42" w:rsidRPr="0098365D" w:rsidRDefault="00C86B42" w:rsidP="0098365D">
      <w:pPr>
        <w:pStyle w:val="ListParagraph"/>
        <w:numPr>
          <w:ilvl w:val="0"/>
          <w:numId w:val="35"/>
        </w:numPr>
        <w:spacing w:line="276" w:lineRule="auto"/>
        <w:jc w:val="both"/>
        <w:rPr>
          <w:rFonts w:ascii="Times New Roman" w:hAnsi="Times New Roman"/>
          <w:lang w:val="en-US"/>
        </w:rPr>
      </w:pPr>
      <w:r w:rsidRPr="0098365D">
        <w:rPr>
          <w:rFonts w:ascii="Times New Roman" w:hAnsi="Times New Roman"/>
          <w:lang w:val="fr-FR"/>
        </w:rPr>
        <w:t xml:space="preserve">EUROPEAN COMMISSION. (2019) </w:t>
      </w:r>
      <w:r w:rsidRPr="0098365D">
        <w:rPr>
          <w:rFonts w:ascii="Times New Roman" w:hAnsi="Times New Roman"/>
          <w:i/>
          <w:iCs/>
          <w:lang w:val="fr-FR"/>
        </w:rPr>
        <w:t>EU Emissions Trading System (EU ETS).</w:t>
      </w:r>
      <w:r w:rsidRPr="0098365D">
        <w:rPr>
          <w:rFonts w:ascii="Times New Roman" w:hAnsi="Times New Roman"/>
          <w:lang w:val="fr-FR"/>
        </w:rPr>
        <w:t xml:space="preserve"> </w:t>
      </w:r>
      <w:r w:rsidRPr="0098365D">
        <w:rPr>
          <w:rFonts w:ascii="Times New Roman" w:hAnsi="Times New Roman"/>
        </w:rPr>
        <w:t>[Online] Available from:</w:t>
      </w:r>
      <w:r w:rsidRPr="0098365D">
        <w:rPr>
          <w:rFonts w:ascii="Times New Roman" w:hAnsi="Times New Roman"/>
          <w:i/>
          <w:iCs/>
        </w:rPr>
        <w:t xml:space="preserve"> </w:t>
      </w:r>
      <w:hyperlink r:id="rId17" w:history="1">
        <w:r w:rsidRPr="0098365D">
          <w:rPr>
            <w:rStyle w:val="Hyperlink"/>
            <w:rFonts w:ascii="Times New Roman" w:hAnsi="Times New Roman"/>
            <w:color w:val="auto"/>
          </w:rPr>
          <w:t>https://ec.europa.eu/clima/policies/ets_en</w:t>
        </w:r>
      </w:hyperlink>
      <w:r w:rsidRPr="0098365D">
        <w:rPr>
          <w:rFonts w:ascii="Times New Roman" w:hAnsi="Times New Roman"/>
          <w:lang w:val="en-US"/>
        </w:rPr>
        <w:t xml:space="preserve"> </w:t>
      </w:r>
      <w:r w:rsidRPr="0098365D">
        <w:rPr>
          <w:rFonts w:ascii="Times New Roman" w:hAnsi="Times New Roman"/>
        </w:rPr>
        <w:t>[</w:t>
      </w:r>
      <w:r w:rsidRPr="0098365D">
        <w:rPr>
          <w:rFonts w:ascii="Times New Roman" w:hAnsi="Times New Roman"/>
          <w:lang w:val="en-US"/>
        </w:rPr>
        <w:t>Accessed: 15</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40FA8A90" w14:textId="77777777" w:rsidR="00C86B42" w:rsidRPr="0098365D" w:rsidRDefault="00C86B42" w:rsidP="0098365D">
      <w:pPr>
        <w:pStyle w:val="ListParagraph"/>
        <w:numPr>
          <w:ilvl w:val="0"/>
          <w:numId w:val="35"/>
        </w:numPr>
        <w:spacing w:line="276" w:lineRule="auto"/>
        <w:jc w:val="both"/>
        <w:rPr>
          <w:rFonts w:ascii="Times New Roman" w:hAnsi="Times New Roman"/>
        </w:rPr>
      </w:pPr>
      <w:r w:rsidRPr="0098365D">
        <w:rPr>
          <w:rFonts w:ascii="Times New Roman" w:hAnsi="Times New Roman"/>
        </w:rPr>
        <w:t xml:space="preserve">EUROPEAN COMMISSION. (2019) </w:t>
      </w:r>
      <w:r w:rsidRPr="0098365D">
        <w:rPr>
          <w:rFonts w:ascii="Times New Roman" w:hAnsi="Times New Roman"/>
          <w:i/>
          <w:iCs/>
        </w:rPr>
        <w:t>Renewable energy directive</w:t>
      </w:r>
      <w:r w:rsidRPr="0098365D">
        <w:rPr>
          <w:rFonts w:ascii="Times New Roman" w:hAnsi="Times New Roman"/>
        </w:rPr>
        <w:t xml:space="preserve">. [Online] Available from: </w:t>
      </w:r>
      <w:hyperlink r:id="rId18" w:history="1">
        <w:r w:rsidRPr="0098365D">
          <w:rPr>
            <w:rStyle w:val="Hyperlink"/>
            <w:rFonts w:ascii="Times New Roman" w:hAnsi="Times New Roman"/>
            <w:color w:val="auto"/>
          </w:rPr>
          <w:t>https://ec.europa.eu/energy/en/topics/renewable-energy/renewable-energy-directive</w:t>
        </w:r>
      </w:hyperlink>
      <w:r w:rsidRPr="0098365D">
        <w:rPr>
          <w:rFonts w:ascii="Times New Roman" w:hAnsi="Times New Roman"/>
        </w:rPr>
        <w:t xml:space="preserve"> [</w:t>
      </w:r>
      <w:r w:rsidRPr="0098365D">
        <w:rPr>
          <w:rFonts w:ascii="Times New Roman" w:hAnsi="Times New Roman"/>
          <w:lang w:val="en-US"/>
        </w:rPr>
        <w:t>Accessed: 18th July 2019].</w:t>
      </w:r>
    </w:p>
    <w:p w14:paraId="66A287C2" w14:textId="36EAD7FD" w:rsidR="00C86B42" w:rsidRPr="0098365D" w:rsidRDefault="00C86B42" w:rsidP="0098365D">
      <w:pPr>
        <w:pStyle w:val="ListParagraph"/>
        <w:numPr>
          <w:ilvl w:val="0"/>
          <w:numId w:val="35"/>
        </w:numPr>
        <w:spacing w:line="276" w:lineRule="auto"/>
        <w:jc w:val="both"/>
        <w:rPr>
          <w:rFonts w:ascii="Times New Roman" w:hAnsi="Times New Roman"/>
          <w:lang w:val="en-US"/>
        </w:rPr>
      </w:pPr>
      <w:r w:rsidRPr="0098365D">
        <w:rPr>
          <w:rFonts w:ascii="Times New Roman" w:hAnsi="Times New Roman"/>
        </w:rPr>
        <w:t xml:space="preserve">EUROPEAN UNION. (2019) </w:t>
      </w:r>
      <w:r w:rsidRPr="0098365D">
        <w:rPr>
          <w:rFonts w:ascii="Times New Roman" w:hAnsi="Times New Roman"/>
          <w:i/>
          <w:iCs/>
        </w:rPr>
        <w:t>Romania</w:t>
      </w:r>
      <w:r w:rsidRPr="0098365D">
        <w:rPr>
          <w:rFonts w:ascii="Times New Roman" w:hAnsi="Times New Roman"/>
        </w:rPr>
        <w:t xml:space="preserve">. [Online] Available from: </w:t>
      </w:r>
      <w:r w:rsidRPr="004E2B3D">
        <w:rPr>
          <w:rFonts w:ascii="Times New Roman" w:hAnsi="Times New Roman"/>
          <w:u w:val="single"/>
        </w:rPr>
        <w:t xml:space="preserve">https://europa.eu/european-union/about-eu/countries/member-countries/romania_en </w:t>
      </w:r>
      <w:r w:rsidRPr="0098365D">
        <w:rPr>
          <w:rFonts w:ascii="Times New Roman" w:hAnsi="Times New Roman"/>
        </w:rPr>
        <w:t>[</w:t>
      </w:r>
      <w:r w:rsidRPr="0098365D">
        <w:rPr>
          <w:rFonts w:ascii="Times New Roman" w:hAnsi="Times New Roman"/>
          <w:lang w:val="en-US"/>
        </w:rPr>
        <w:t>Accessed: 18th July 2019].</w:t>
      </w:r>
    </w:p>
    <w:p w14:paraId="043F0854" w14:textId="77777777" w:rsidR="00C86B42" w:rsidRPr="0098365D" w:rsidRDefault="00C86B42" w:rsidP="0098365D">
      <w:pPr>
        <w:pStyle w:val="ListParagraph"/>
        <w:numPr>
          <w:ilvl w:val="0"/>
          <w:numId w:val="35"/>
        </w:numPr>
        <w:spacing w:line="276" w:lineRule="auto"/>
        <w:jc w:val="both"/>
        <w:rPr>
          <w:rFonts w:ascii="Times New Roman" w:hAnsi="Times New Roman"/>
          <w:lang w:val="en-US"/>
        </w:rPr>
      </w:pPr>
      <w:r w:rsidRPr="0098365D">
        <w:rPr>
          <w:rFonts w:ascii="Times New Roman" w:hAnsi="Times New Roman"/>
        </w:rPr>
        <w:t xml:space="preserve">GREEN REPORT. (2019) </w:t>
      </w:r>
      <w:r w:rsidRPr="0098365D">
        <w:rPr>
          <w:rFonts w:ascii="Times New Roman" w:hAnsi="Times New Roman"/>
          <w:i/>
          <w:iCs/>
        </w:rPr>
        <w:t xml:space="preserve">Greenpeace România: </w:t>
      </w:r>
      <w:proofErr w:type="spellStart"/>
      <w:r w:rsidRPr="0098365D">
        <w:rPr>
          <w:rFonts w:ascii="Times New Roman" w:hAnsi="Times New Roman"/>
          <w:i/>
          <w:iCs/>
        </w:rPr>
        <w:t>Planul</w:t>
      </w:r>
      <w:proofErr w:type="spellEnd"/>
      <w:r w:rsidRPr="0098365D">
        <w:rPr>
          <w:rFonts w:ascii="Times New Roman" w:hAnsi="Times New Roman"/>
          <w:i/>
          <w:iCs/>
        </w:rPr>
        <w:t xml:space="preserve"> </w:t>
      </w:r>
      <w:proofErr w:type="spellStart"/>
      <w:r w:rsidRPr="0098365D">
        <w:rPr>
          <w:rFonts w:ascii="Times New Roman" w:hAnsi="Times New Roman"/>
          <w:i/>
          <w:iCs/>
        </w:rPr>
        <w:t>propus</w:t>
      </w:r>
      <w:proofErr w:type="spellEnd"/>
      <w:r w:rsidRPr="0098365D">
        <w:rPr>
          <w:rFonts w:ascii="Times New Roman" w:hAnsi="Times New Roman"/>
          <w:i/>
          <w:iCs/>
        </w:rPr>
        <w:t xml:space="preserve"> de România </w:t>
      </w:r>
      <w:proofErr w:type="spellStart"/>
      <w:r w:rsidRPr="0098365D">
        <w:rPr>
          <w:rFonts w:ascii="Times New Roman" w:hAnsi="Times New Roman"/>
          <w:i/>
          <w:iCs/>
        </w:rPr>
        <w:t>referitor</w:t>
      </w:r>
      <w:proofErr w:type="spellEnd"/>
      <w:r w:rsidRPr="0098365D">
        <w:rPr>
          <w:rFonts w:ascii="Times New Roman" w:hAnsi="Times New Roman"/>
          <w:i/>
          <w:iCs/>
        </w:rPr>
        <w:t xml:space="preserve"> la </w:t>
      </w:r>
      <w:proofErr w:type="spellStart"/>
      <w:r w:rsidRPr="0098365D">
        <w:rPr>
          <w:rFonts w:ascii="Times New Roman" w:hAnsi="Times New Roman"/>
          <w:i/>
          <w:iCs/>
        </w:rPr>
        <w:t>energie</w:t>
      </w:r>
      <w:proofErr w:type="spellEnd"/>
      <w:r w:rsidRPr="0098365D">
        <w:rPr>
          <w:rFonts w:ascii="Times New Roman" w:hAnsi="Times New Roman"/>
          <w:i/>
          <w:iCs/>
        </w:rPr>
        <w:t xml:space="preserve"> </w:t>
      </w:r>
      <w:proofErr w:type="spellStart"/>
      <w:r w:rsidRPr="0098365D">
        <w:rPr>
          <w:rFonts w:ascii="Times New Roman" w:hAnsi="Times New Roman"/>
          <w:i/>
          <w:iCs/>
        </w:rPr>
        <w:t>și</w:t>
      </w:r>
      <w:proofErr w:type="spellEnd"/>
      <w:r w:rsidRPr="0098365D">
        <w:rPr>
          <w:rFonts w:ascii="Times New Roman" w:hAnsi="Times New Roman"/>
          <w:i/>
          <w:iCs/>
        </w:rPr>
        <w:t xml:space="preserve"> </w:t>
      </w:r>
      <w:proofErr w:type="spellStart"/>
      <w:r w:rsidRPr="0098365D">
        <w:rPr>
          <w:rFonts w:ascii="Times New Roman" w:hAnsi="Times New Roman"/>
          <w:i/>
          <w:iCs/>
        </w:rPr>
        <w:t>climă</w:t>
      </w:r>
      <w:proofErr w:type="spellEnd"/>
      <w:r w:rsidRPr="0098365D">
        <w:rPr>
          <w:rFonts w:ascii="Times New Roman" w:hAnsi="Times New Roman"/>
          <w:i/>
          <w:iCs/>
        </w:rPr>
        <w:t xml:space="preserve">, </w:t>
      </w:r>
      <w:proofErr w:type="spellStart"/>
      <w:r w:rsidRPr="0098365D">
        <w:rPr>
          <w:rFonts w:ascii="Times New Roman" w:hAnsi="Times New Roman"/>
          <w:i/>
          <w:iCs/>
        </w:rPr>
        <w:t>dăunător</w:t>
      </w:r>
      <w:proofErr w:type="spellEnd"/>
      <w:r w:rsidRPr="0098365D">
        <w:rPr>
          <w:rFonts w:ascii="Times New Roman" w:hAnsi="Times New Roman"/>
          <w:i/>
          <w:iCs/>
        </w:rPr>
        <w:t xml:space="preserve">, </w:t>
      </w:r>
      <w:proofErr w:type="spellStart"/>
      <w:r w:rsidRPr="0098365D">
        <w:rPr>
          <w:rFonts w:ascii="Times New Roman" w:hAnsi="Times New Roman"/>
          <w:i/>
          <w:iCs/>
        </w:rPr>
        <w:t>lipsit</w:t>
      </w:r>
      <w:proofErr w:type="spellEnd"/>
      <w:r w:rsidRPr="0098365D">
        <w:rPr>
          <w:rFonts w:ascii="Times New Roman" w:hAnsi="Times New Roman"/>
          <w:i/>
          <w:iCs/>
        </w:rPr>
        <w:t xml:space="preserve"> de </w:t>
      </w:r>
      <w:proofErr w:type="spellStart"/>
      <w:r w:rsidRPr="0098365D">
        <w:rPr>
          <w:rFonts w:ascii="Times New Roman" w:hAnsi="Times New Roman"/>
          <w:i/>
          <w:iCs/>
        </w:rPr>
        <w:t>ambiție</w:t>
      </w:r>
      <w:proofErr w:type="spellEnd"/>
      <w:r w:rsidRPr="0098365D">
        <w:rPr>
          <w:rFonts w:ascii="Times New Roman" w:hAnsi="Times New Roman"/>
          <w:i/>
          <w:iCs/>
        </w:rPr>
        <w:t xml:space="preserve"> </w:t>
      </w:r>
      <w:proofErr w:type="spellStart"/>
      <w:r w:rsidRPr="0098365D">
        <w:rPr>
          <w:rFonts w:ascii="Times New Roman" w:hAnsi="Times New Roman"/>
          <w:i/>
          <w:iCs/>
        </w:rPr>
        <w:t>și</w:t>
      </w:r>
      <w:proofErr w:type="spellEnd"/>
      <w:r w:rsidRPr="0098365D">
        <w:rPr>
          <w:rFonts w:ascii="Times New Roman" w:hAnsi="Times New Roman"/>
          <w:i/>
          <w:iCs/>
        </w:rPr>
        <w:t xml:space="preserve"> </w:t>
      </w:r>
      <w:proofErr w:type="spellStart"/>
      <w:r w:rsidRPr="0098365D">
        <w:rPr>
          <w:rFonts w:ascii="Times New Roman" w:hAnsi="Times New Roman"/>
          <w:i/>
          <w:iCs/>
        </w:rPr>
        <w:t>penalizat</w:t>
      </w:r>
      <w:proofErr w:type="spellEnd"/>
      <w:r w:rsidRPr="0098365D">
        <w:rPr>
          <w:rFonts w:ascii="Times New Roman" w:hAnsi="Times New Roman"/>
          <w:i/>
          <w:iCs/>
        </w:rPr>
        <w:t xml:space="preserve"> de Comisia Europeană.</w:t>
      </w:r>
      <w:r w:rsidRPr="0098365D">
        <w:rPr>
          <w:rFonts w:ascii="Times New Roman" w:hAnsi="Times New Roman"/>
        </w:rPr>
        <w:t xml:space="preserve"> [Online] Available from: </w:t>
      </w:r>
      <w:hyperlink r:id="rId19" w:history="1">
        <w:r w:rsidRPr="0098365D">
          <w:rPr>
            <w:rStyle w:val="Hyperlink"/>
            <w:rFonts w:ascii="Times New Roman" w:hAnsi="Times New Roman"/>
            <w:color w:val="auto"/>
          </w:rPr>
          <w:t>https://www.green-report.ro/greenpeace-romania-planul-propus-de-romania-referitor-la-energie-si-clima-daunator-lipsit-de-ambitie-si-penalizat-de-comisia-europeana/</w:t>
        </w:r>
      </w:hyperlink>
      <w:r w:rsidRPr="0098365D">
        <w:rPr>
          <w:rFonts w:ascii="Times New Roman" w:hAnsi="Times New Roman"/>
          <w:lang w:val="en-US"/>
        </w:rPr>
        <w:t xml:space="preserve"> </w:t>
      </w:r>
      <w:r w:rsidRPr="0098365D">
        <w:rPr>
          <w:rFonts w:ascii="Times New Roman" w:hAnsi="Times New Roman"/>
        </w:rPr>
        <w:t>[</w:t>
      </w:r>
      <w:r w:rsidRPr="0098365D">
        <w:rPr>
          <w:rFonts w:ascii="Times New Roman" w:hAnsi="Times New Roman"/>
          <w:lang w:val="en-US"/>
        </w:rPr>
        <w:t>Accessed: 27</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012F32BF" w14:textId="77777777" w:rsidR="00C86B42" w:rsidRPr="0098365D" w:rsidRDefault="00C86B42" w:rsidP="0098365D">
      <w:pPr>
        <w:pStyle w:val="ListParagraph"/>
        <w:numPr>
          <w:ilvl w:val="0"/>
          <w:numId w:val="35"/>
        </w:numPr>
        <w:spacing w:line="276" w:lineRule="auto"/>
        <w:jc w:val="both"/>
        <w:rPr>
          <w:rFonts w:ascii="Times New Roman" w:hAnsi="Times New Roman"/>
          <w:lang w:val="en-US"/>
        </w:rPr>
      </w:pPr>
      <w:r w:rsidRPr="0098365D">
        <w:rPr>
          <w:rFonts w:ascii="Times New Roman" w:hAnsi="Times New Roman"/>
        </w:rPr>
        <w:t xml:space="preserve">JURNALUL. (2019) </w:t>
      </w:r>
      <w:proofErr w:type="spellStart"/>
      <w:r w:rsidRPr="0098365D">
        <w:rPr>
          <w:rFonts w:ascii="Times New Roman" w:hAnsi="Times New Roman"/>
          <w:i/>
          <w:iCs/>
        </w:rPr>
        <w:t>Neversea</w:t>
      </w:r>
      <w:proofErr w:type="spellEnd"/>
      <w:r w:rsidRPr="0098365D">
        <w:rPr>
          <w:rFonts w:ascii="Times New Roman" w:hAnsi="Times New Roman"/>
          <w:i/>
          <w:iCs/>
        </w:rPr>
        <w:t xml:space="preserve"> </w:t>
      </w:r>
      <w:proofErr w:type="spellStart"/>
      <w:r w:rsidRPr="0098365D">
        <w:rPr>
          <w:rFonts w:ascii="Times New Roman" w:hAnsi="Times New Roman"/>
          <w:i/>
          <w:iCs/>
        </w:rPr>
        <w:t>ar</w:t>
      </w:r>
      <w:proofErr w:type="spellEnd"/>
      <w:r w:rsidRPr="0098365D">
        <w:rPr>
          <w:rFonts w:ascii="Times New Roman" w:hAnsi="Times New Roman"/>
          <w:i/>
          <w:iCs/>
        </w:rPr>
        <w:t xml:space="preserve"> </w:t>
      </w:r>
      <w:proofErr w:type="spellStart"/>
      <w:r w:rsidRPr="0098365D">
        <w:rPr>
          <w:rFonts w:ascii="Times New Roman" w:hAnsi="Times New Roman"/>
          <w:i/>
          <w:iCs/>
        </w:rPr>
        <w:t>putea</w:t>
      </w:r>
      <w:proofErr w:type="spellEnd"/>
      <w:r w:rsidRPr="0098365D">
        <w:rPr>
          <w:rFonts w:ascii="Times New Roman" w:hAnsi="Times New Roman"/>
          <w:i/>
          <w:iCs/>
        </w:rPr>
        <w:t xml:space="preserve"> fi </w:t>
      </w:r>
      <w:proofErr w:type="spellStart"/>
      <w:r w:rsidRPr="0098365D">
        <w:rPr>
          <w:rFonts w:ascii="Times New Roman" w:hAnsi="Times New Roman"/>
          <w:i/>
          <w:iCs/>
        </w:rPr>
        <w:t>primul</w:t>
      </w:r>
      <w:proofErr w:type="spellEnd"/>
      <w:r w:rsidRPr="0098365D">
        <w:rPr>
          <w:rFonts w:ascii="Times New Roman" w:hAnsi="Times New Roman"/>
          <w:i/>
          <w:iCs/>
        </w:rPr>
        <w:t xml:space="preserve"> festival din </w:t>
      </w:r>
      <w:proofErr w:type="spellStart"/>
      <w:r w:rsidRPr="0098365D">
        <w:rPr>
          <w:rFonts w:ascii="Times New Roman" w:hAnsi="Times New Roman"/>
          <w:i/>
          <w:iCs/>
        </w:rPr>
        <w:t>lume</w:t>
      </w:r>
      <w:proofErr w:type="spellEnd"/>
      <w:r w:rsidRPr="0098365D">
        <w:rPr>
          <w:rFonts w:ascii="Times New Roman" w:hAnsi="Times New Roman"/>
          <w:i/>
          <w:iCs/>
        </w:rPr>
        <w:t xml:space="preserve"> </w:t>
      </w:r>
      <w:proofErr w:type="spellStart"/>
      <w:r w:rsidRPr="0098365D">
        <w:rPr>
          <w:rFonts w:ascii="Times New Roman" w:hAnsi="Times New Roman"/>
          <w:i/>
          <w:iCs/>
        </w:rPr>
        <w:t>alimentat</w:t>
      </w:r>
      <w:proofErr w:type="spellEnd"/>
      <w:r w:rsidRPr="0098365D">
        <w:rPr>
          <w:rFonts w:ascii="Times New Roman" w:hAnsi="Times New Roman"/>
          <w:i/>
          <w:iCs/>
        </w:rPr>
        <w:t xml:space="preserve"> </w:t>
      </w:r>
      <w:proofErr w:type="spellStart"/>
      <w:r w:rsidRPr="0098365D">
        <w:rPr>
          <w:rFonts w:ascii="Times New Roman" w:hAnsi="Times New Roman"/>
          <w:i/>
          <w:iCs/>
        </w:rPr>
        <w:t>exclusiv</w:t>
      </w:r>
      <w:proofErr w:type="spellEnd"/>
      <w:r w:rsidRPr="0098365D">
        <w:rPr>
          <w:rFonts w:ascii="Times New Roman" w:hAnsi="Times New Roman"/>
          <w:i/>
          <w:iCs/>
        </w:rPr>
        <w:t xml:space="preserve"> cu </w:t>
      </w:r>
      <w:proofErr w:type="spellStart"/>
      <w:r w:rsidRPr="0098365D">
        <w:rPr>
          <w:rFonts w:ascii="Times New Roman" w:hAnsi="Times New Roman"/>
          <w:i/>
          <w:iCs/>
        </w:rPr>
        <w:t>energie</w:t>
      </w:r>
      <w:proofErr w:type="spellEnd"/>
      <w:r w:rsidRPr="0098365D">
        <w:rPr>
          <w:rFonts w:ascii="Times New Roman" w:hAnsi="Times New Roman"/>
          <w:i/>
          <w:iCs/>
        </w:rPr>
        <w:t xml:space="preserve"> </w:t>
      </w:r>
      <w:proofErr w:type="spellStart"/>
      <w:r w:rsidRPr="0098365D">
        <w:rPr>
          <w:rFonts w:ascii="Times New Roman" w:hAnsi="Times New Roman"/>
          <w:i/>
          <w:iCs/>
        </w:rPr>
        <w:t>regenerabilă</w:t>
      </w:r>
      <w:proofErr w:type="spellEnd"/>
      <w:r w:rsidRPr="0098365D">
        <w:rPr>
          <w:rFonts w:ascii="Times New Roman" w:hAnsi="Times New Roman"/>
          <w:i/>
          <w:iCs/>
        </w:rPr>
        <w:t xml:space="preserve">. </w:t>
      </w:r>
      <w:r w:rsidRPr="0098365D">
        <w:rPr>
          <w:rFonts w:ascii="Times New Roman" w:hAnsi="Times New Roman"/>
        </w:rPr>
        <w:t>[Online] Available from:</w:t>
      </w:r>
      <w:r w:rsidRPr="0098365D">
        <w:rPr>
          <w:rFonts w:ascii="Times New Roman" w:hAnsi="Times New Roman"/>
          <w:b/>
          <w:bCs/>
        </w:rPr>
        <w:t xml:space="preserve"> </w:t>
      </w:r>
      <w:hyperlink r:id="rId20" w:history="1">
        <w:r w:rsidRPr="0098365D">
          <w:rPr>
            <w:rStyle w:val="Hyperlink"/>
            <w:rFonts w:ascii="Times New Roman" w:hAnsi="Times New Roman"/>
            <w:color w:val="auto"/>
          </w:rPr>
          <w:t>https://jurnalul.antena3.ro/stiri/observator/neversea-ar-putea-fi-primul-festival-din-lume-alimentat-exclusiv-cu-energie-regenerabila-815385.html</w:t>
        </w:r>
      </w:hyperlink>
      <w:r w:rsidRPr="0098365D">
        <w:rPr>
          <w:rFonts w:ascii="Times New Roman" w:hAnsi="Times New Roman"/>
        </w:rPr>
        <w:t xml:space="preserve"> [</w:t>
      </w:r>
      <w:r w:rsidRPr="0098365D">
        <w:rPr>
          <w:rFonts w:ascii="Times New Roman" w:hAnsi="Times New Roman"/>
          <w:lang w:val="en-US"/>
        </w:rPr>
        <w:t>Accessed: 27</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0ABA6DA8" w14:textId="77777777" w:rsidR="00C86B42" w:rsidRPr="0098365D" w:rsidRDefault="00C86B42" w:rsidP="0098365D">
      <w:pPr>
        <w:pStyle w:val="ListParagraph"/>
        <w:numPr>
          <w:ilvl w:val="0"/>
          <w:numId w:val="35"/>
        </w:numPr>
        <w:spacing w:line="276" w:lineRule="auto"/>
        <w:jc w:val="both"/>
        <w:rPr>
          <w:rFonts w:ascii="Times New Roman" w:hAnsi="Times New Roman"/>
        </w:rPr>
      </w:pPr>
      <w:r w:rsidRPr="0098365D">
        <w:rPr>
          <w:rFonts w:ascii="Times New Roman" w:hAnsi="Times New Roman"/>
        </w:rPr>
        <w:t xml:space="preserve">MINISTERUL MEDIULUI (2019). </w:t>
      </w:r>
      <w:r w:rsidRPr="0098365D">
        <w:rPr>
          <w:rFonts w:ascii="Times New Roman" w:hAnsi="Times New Roman"/>
          <w:i/>
          <w:iCs/>
        </w:rPr>
        <w:t>EU ETS</w:t>
      </w:r>
      <w:r w:rsidRPr="0098365D">
        <w:rPr>
          <w:rFonts w:ascii="Times New Roman" w:hAnsi="Times New Roman"/>
        </w:rPr>
        <w:t>. [Online] Available from:</w:t>
      </w:r>
      <w:r w:rsidRPr="0098365D">
        <w:rPr>
          <w:rFonts w:ascii="Times New Roman" w:hAnsi="Times New Roman"/>
          <w:i/>
          <w:iCs/>
        </w:rPr>
        <w:t xml:space="preserve"> </w:t>
      </w:r>
      <w:hyperlink r:id="rId21" w:history="1">
        <w:r w:rsidRPr="0098365D">
          <w:rPr>
            <w:rStyle w:val="Hyperlink"/>
            <w:rFonts w:ascii="Times New Roman" w:hAnsi="Times New Roman"/>
            <w:color w:val="auto"/>
          </w:rPr>
          <w:t>http://www.mmediu.ro/categorie/eu-ets/89</w:t>
        </w:r>
      </w:hyperlink>
      <w:r w:rsidRPr="0098365D">
        <w:rPr>
          <w:rFonts w:ascii="Times New Roman" w:hAnsi="Times New Roman"/>
          <w:lang w:val="en-US"/>
        </w:rPr>
        <w:t xml:space="preserve"> </w:t>
      </w:r>
      <w:r w:rsidRPr="0098365D">
        <w:rPr>
          <w:rFonts w:ascii="Times New Roman" w:hAnsi="Times New Roman"/>
        </w:rPr>
        <w:t>[</w:t>
      </w:r>
      <w:r w:rsidRPr="0098365D">
        <w:rPr>
          <w:rFonts w:ascii="Times New Roman" w:hAnsi="Times New Roman"/>
          <w:lang w:val="en-US"/>
        </w:rPr>
        <w:t>Accessed: 15</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2D0D7636" w14:textId="77777777" w:rsidR="00C86B42" w:rsidRPr="0098365D" w:rsidRDefault="00C86B42" w:rsidP="0098365D">
      <w:pPr>
        <w:pStyle w:val="ListParagraph"/>
        <w:numPr>
          <w:ilvl w:val="0"/>
          <w:numId w:val="35"/>
        </w:numPr>
        <w:spacing w:line="276" w:lineRule="auto"/>
        <w:jc w:val="both"/>
        <w:rPr>
          <w:rFonts w:ascii="Times New Roman" w:hAnsi="Times New Roman"/>
        </w:rPr>
      </w:pPr>
      <w:r w:rsidRPr="0098365D">
        <w:rPr>
          <w:rFonts w:ascii="Times New Roman" w:hAnsi="Times New Roman"/>
        </w:rPr>
        <w:t xml:space="preserve">RES LEGAL EUROPE. (2019) </w:t>
      </w:r>
      <w:r w:rsidRPr="0098365D">
        <w:rPr>
          <w:rFonts w:ascii="Times New Roman" w:hAnsi="Times New Roman"/>
          <w:i/>
          <w:iCs/>
        </w:rPr>
        <w:t>Quota System. Romania.</w:t>
      </w:r>
      <w:r w:rsidRPr="0098365D">
        <w:rPr>
          <w:rFonts w:ascii="Times New Roman" w:hAnsi="Times New Roman"/>
        </w:rPr>
        <w:t xml:space="preserve"> [Online] Available from: </w:t>
      </w:r>
      <w:hyperlink r:id="rId22" w:history="1">
        <w:r w:rsidRPr="0098365D">
          <w:rPr>
            <w:rStyle w:val="Hyperlink"/>
            <w:rFonts w:ascii="Times New Roman" w:hAnsi="Times New Roman"/>
            <w:color w:val="auto"/>
          </w:rPr>
          <w:t>http://www.res-legal.eu/search-by-country/romania/single/s/res-e/t/promotion/aid/quota-system-4/lastp/183/</w:t>
        </w:r>
      </w:hyperlink>
      <w:r w:rsidRPr="0098365D">
        <w:rPr>
          <w:rFonts w:ascii="Times New Roman" w:hAnsi="Times New Roman"/>
        </w:rPr>
        <w:t xml:space="preserve"> [</w:t>
      </w:r>
      <w:r w:rsidRPr="0098365D">
        <w:rPr>
          <w:rFonts w:ascii="Times New Roman" w:hAnsi="Times New Roman"/>
          <w:lang w:val="en-US"/>
        </w:rPr>
        <w:t>Accessed: 18th July 2019].</w:t>
      </w:r>
    </w:p>
    <w:p w14:paraId="787CD316" w14:textId="77777777" w:rsidR="00C86B42" w:rsidRPr="0098365D" w:rsidRDefault="00C86B42" w:rsidP="0098365D">
      <w:pPr>
        <w:pStyle w:val="ListParagraph"/>
        <w:numPr>
          <w:ilvl w:val="0"/>
          <w:numId w:val="35"/>
        </w:numPr>
        <w:spacing w:line="276" w:lineRule="auto"/>
        <w:jc w:val="both"/>
        <w:rPr>
          <w:rFonts w:ascii="Times New Roman" w:hAnsi="Times New Roman"/>
          <w:lang w:val="en-US"/>
        </w:rPr>
      </w:pPr>
      <w:r w:rsidRPr="0098365D">
        <w:rPr>
          <w:rFonts w:ascii="Times New Roman" w:hAnsi="Times New Roman"/>
        </w:rPr>
        <w:t xml:space="preserve">ROMANIA-INSIDER. (2019) </w:t>
      </w:r>
      <w:r w:rsidRPr="0098365D">
        <w:rPr>
          <w:rFonts w:ascii="Times New Roman" w:hAnsi="Times New Roman"/>
          <w:i/>
          <w:iCs/>
        </w:rPr>
        <w:t>EC urges Romania to set higher 2030 renewable energy share.</w:t>
      </w:r>
      <w:r w:rsidRPr="0098365D">
        <w:rPr>
          <w:rFonts w:ascii="Times New Roman" w:hAnsi="Times New Roman"/>
        </w:rPr>
        <w:t xml:space="preserve"> [Online] Available from:</w:t>
      </w:r>
      <w:r w:rsidRPr="0098365D">
        <w:rPr>
          <w:rFonts w:ascii="Times New Roman" w:hAnsi="Times New Roman"/>
          <w:i/>
          <w:iCs/>
        </w:rPr>
        <w:t xml:space="preserve"> </w:t>
      </w:r>
      <w:hyperlink r:id="rId23" w:history="1">
        <w:r w:rsidRPr="0098365D">
          <w:rPr>
            <w:rStyle w:val="Hyperlink"/>
            <w:rFonts w:ascii="Times New Roman" w:hAnsi="Times New Roman"/>
            <w:color w:val="auto"/>
          </w:rPr>
          <w:t>https://www.romania-insider.com/ec-romania-renewable-energy</w:t>
        </w:r>
      </w:hyperlink>
      <w:r w:rsidRPr="0098365D">
        <w:rPr>
          <w:rFonts w:ascii="Times New Roman" w:hAnsi="Times New Roman"/>
        </w:rPr>
        <w:t xml:space="preserve"> [</w:t>
      </w:r>
      <w:r w:rsidRPr="0098365D">
        <w:rPr>
          <w:rFonts w:ascii="Times New Roman" w:hAnsi="Times New Roman"/>
          <w:lang w:val="en-US"/>
        </w:rPr>
        <w:t>Accessed: 15</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67BAF6E7" w14:textId="1EBC3364" w:rsidR="00C86B42" w:rsidRPr="0098365D" w:rsidRDefault="00C86B42" w:rsidP="0098365D">
      <w:pPr>
        <w:pStyle w:val="ListParagraph"/>
        <w:numPr>
          <w:ilvl w:val="0"/>
          <w:numId w:val="35"/>
        </w:numPr>
        <w:spacing w:line="276" w:lineRule="auto"/>
        <w:jc w:val="both"/>
        <w:rPr>
          <w:rFonts w:ascii="Times New Roman" w:hAnsi="Times New Roman"/>
          <w:lang w:val="en-US"/>
        </w:rPr>
      </w:pPr>
      <w:r w:rsidRPr="0098365D">
        <w:rPr>
          <w:rFonts w:ascii="Times New Roman" w:hAnsi="Times New Roman"/>
          <w:lang w:val="it-IT"/>
        </w:rPr>
        <w:t xml:space="preserve">STOIAN, D. (2019) Comisia Europeană obligă România la o țintă de 34% pentru regenerabile pentru 2030. </w:t>
      </w:r>
      <w:r w:rsidRPr="0098365D">
        <w:rPr>
          <w:rFonts w:ascii="Times New Roman" w:hAnsi="Times New Roman"/>
          <w:i/>
          <w:iCs/>
          <w:lang w:val="it-IT"/>
        </w:rPr>
        <w:t>energiaTa</w:t>
      </w:r>
      <w:r w:rsidRPr="0098365D">
        <w:rPr>
          <w:rFonts w:ascii="Times New Roman" w:hAnsi="Times New Roman"/>
          <w:lang w:val="it-IT"/>
        </w:rPr>
        <w:t xml:space="preserve"> [Online] 18</w:t>
      </w:r>
      <w:r w:rsidRPr="0098365D">
        <w:rPr>
          <w:rFonts w:ascii="Times New Roman" w:hAnsi="Times New Roman"/>
          <w:vertAlign w:val="superscript"/>
          <w:lang w:val="it-IT"/>
        </w:rPr>
        <w:t>th</w:t>
      </w:r>
      <w:r w:rsidRPr="0098365D">
        <w:rPr>
          <w:rFonts w:ascii="Times New Roman" w:hAnsi="Times New Roman"/>
          <w:lang w:val="it-IT"/>
        </w:rPr>
        <w:t xml:space="preserve"> July. </w:t>
      </w:r>
      <w:r w:rsidRPr="0098365D">
        <w:rPr>
          <w:rFonts w:ascii="Times New Roman" w:hAnsi="Times New Roman"/>
          <w:lang w:val="en-US"/>
        </w:rPr>
        <w:t xml:space="preserve">Available from: </w:t>
      </w:r>
      <w:r w:rsidRPr="004E2B3D">
        <w:rPr>
          <w:rFonts w:ascii="Times New Roman" w:hAnsi="Times New Roman"/>
          <w:u w:val="single"/>
        </w:rPr>
        <w:t>https://energiata.org/comisia-europeana-obliga-romania-la-o-tinta-de-34-pentru-regenerabile-pentru-2030/</w:t>
      </w:r>
      <w:r w:rsidRPr="0098365D">
        <w:rPr>
          <w:rStyle w:val="Hyperlink"/>
          <w:rFonts w:ascii="Times New Roman" w:hAnsi="Times New Roman"/>
          <w:color w:val="auto"/>
        </w:rPr>
        <w:t xml:space="preserve"> </w:t>
      </w:r>
      <w:r w:rsidRPr="0098365D">
        <w:rPr>
          <w:rFonts w:ascii="Times New Roman" w:hAnsi="Times New Roman"/>
        </w:rPr>
        <w:t>[</w:t>
      </w:r>
      <w:r w:rsidRPr="0098365D">
        <w:rPr>
          <w:rFonts w:ascii="Times New Roman" w:hAnsi="Times New Roman"/>
          <w:lang w:val="en-US"/>
        </w:rPr>
        <w:t>Accessed: 19</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0A9EE08D" w14:textId="77777777" w:rsidR="00C86B42" w:rsidRPr="0098365D" w:rsidRDefault="00C86B42" w:rsidP="0098365D">
      <w:pPr>
        <w:pStyle w:val="ListParagraph"/>
        <w:numPr>
          <w:ilvl w:val="0"/>
          <w:numId w:val="35"/>
        </w:numPr>
        <w:spacing w:line="276" w:lineRule="auto"/>
        <w:jc w:val="both"/>
        <w:rPr>
          <w:rFonts w:ascii="Times New Roman" w:hAnsi="Times New Roman"/>
          <w:lang w:val="en-US"/>
        </w:rPr>
      </w:pPr>
      <w:r w:rsidRPr="0098365D">
        <w:rPr>
          <w:rFonts w:ascii="Times New Roman" w:hAnsi="Times New Roman"/>
          <w:lang w:val="en-US"/>
        </w:rPr>
        <w:t xml:space="preserve">TOADER-PASTI, M. (2018) </w:t>
      </w:r>
      <w:proofErr w:type="spellStart"/>
      <w:r w:rsidRPr="0098365D">
        <w:rPr>
          <w:rFonts w:ascii="Times New Roman" w:hAnsi="Times New Roman"/>
          <w:lang w:val="en-US"/>
        </w:rPr>
        <w:t>Legea</w:t>
      </w:r>
      <w:proofErr w:type="spellEnd"/>
      <w:r w:rsidRPr="0098365D">
        <w:rPr>
          <w:rFonts w:ascii="Times New Roman" w:hAnsi="Times New Roman"/>
          <w:lang w:val="en-US"/>
        </w:rPr>
        <w:t xml:space="preserve"> </w:t>
      </w:r>
      <w:proofErr w:type="spellStart"/>
      <w:r w:rsidRPr="0098365D">
        <w:rPr>
          <w:rFonts w:ascii="Times New Roman" w:hAnsi="Times New Roman"/>
          <w:lang w:val="en-US"/>
        </w:rPr>
        <w:t>prosumatorilor</w:t>
      </w:r>
      <w:proofErr w:type="spellEnd"/>
      <w:r w:rsidRPr="0098365D">
        <w:rPr>
          <w:rFonts w:ascii="Times New Roman" w:hAnsi="Times New Roman"/>
          <w:lang w:val="en-US"/>
        </w:rPr>
        <w:t xml:space="preserve"> a </w:t>
      </w:r>
      <w:proofErr w:type="spellStart"/>
      <w:r w:rsidRPr="0098365D">
        <w:rPr>
          <w:rFonts w:ascii="Times New Roman" w:hAnsi="Times New Roman"/>
          <w:lang w:val="en-US"/>
        </w:rPr>
        <w:t>fost</w:t>
      </w:r>
      <w:proofErr w:type="spellEnd"/>
      <w:r w:rsidRPr="0098365D">
        <w:rPr>
          <w:rFonts w:ascii="Times New Roman" w:hAnsi="Times New Roman"/>
          <w:lang w:val="en-US"/>
        </w:rPr>
        <w:t xml:space="preserve"> </w:t>
      </w:r>
      <w:proofErr w:type="spellStart"/>
      <w:r w:rsidRPr="0098365D">
        <w:rPr>
          <w:rFonts w:ascii="Times New Roman" w:hAnsi="Times New Roman"/>
          <w:lang w:val="en-US"/>
        </w:rPr>
        <w:t>promulgată</w:t>
      </w:r>
      <w:proofErr w:type="spellEnd"/>
      <w:r w:rsidRPr="0098365D">
        <w:rPr>
          <w:rFonts w:ascii="Times New Roman" w:hAnsi="Times New Roman"/>
          <w:lang w:val="en-US"/>
        </w:rPr>
        <w:t xml:space="preserve"> de </w:t>
      </w:r>
      <w:proofErr w:type="spellStart"/>
      <w:r w:rsidRPr="0098365D">
        <w:rPr>
          <w:rFonts w:ascii="Times New Roman" w:hAnsi="Times New Roman"/>
          <w:lang w:val="en-US"/>
        </w:rPr>
        <w:t>Președintele</w:t>
      </w:r>
      <w:proofErr w:type="spellEnd"/>
      <w:r w:rsidRPr="0098365D">
        <w:rPr>
          <w:rFonts w:ascii="Times New Roman" w:hAnsi="Times New Roman"/>
          <w:lang w:val="en-US"/>
        </w:rPr>
        <w:t xml:space="preserve"> </w:t>
      </w:r>
      <w:proofErr w:type="spellStart"/>
      <w:r w:rsidRPr="0098365D">
        <w:rPr>
          <w:rFonts w:ascii="Times New Roman" w:hAnsi="Times New Roman"/>
          <w:lang w:val="en-US"/>
        </w:rPr>
        <w:t>României</w:t>
      </w:r>
      <w:proofErr w:type="spellEnd"/>
      <w:r w:rsidRPr="0098365D">
        <w:rPr>
          <w:rFonts w:ascii="Times New Roman" w:hAnsi="Times New Roman"/>
          <w:lang w:val="en-US"/>
        </w:rPr>
        <w:t xml:space="preserve">. </w:t>
      </w:r>
      <w:proofErr w:type="spellStart"/>
      <w:r w:rsidRPr="0098365D">
        <w:rPr>
          <w:rFonts w:ascii="Times New Roman" w:hAnsi="Times New Roman"/>
          <w:i/>
          <w:iCs/>
          <w:lang w:val="en-US"/>
        </w:rPr>
        <w:t>energiaTa</w:t>
      </w:r>
      <w:proofErr w:type="spellEnd"/>
      <w:r w:rsidRPr="0098365D">
        <w:rPr>
          <w:rFonts w:ascii="Times New Roman" w:hAnsi="Times New Roman"/>
          <w:i/>
          <w:iCs/>
          <w:lang w:val="en-US"/>
        </w:rPr>
        <w:t xml:space="preserve"> </w:t>
      </w:r>
      <w:r w:rsidRPr="0098365D">
        <w:rPr>
          <w:rFonts w:ascii="Times New Roman" w:hAnsi="Times New Roman"/>
          <w:lang w:val="en-US"/>
        </w:rPr>
        <w:t>[Online] 18</w:t>
      </w:r>
      <w:r w:rsidRPr="0098365D">
        <w:rPr>
          <w:rFonts w:ascii="Times New Roman" w:hAnsi="Times New Roman"/>
          <w:vertAlign w:val="superscript"/>
          <w:lang w:val="en-US"/>
        </w:rPr>
        <w:t>th</w:t>
      </w:r>
      <w:r w:rsidRPr="0098365D">
        <w:rPr>
          <w:rFonts w:ascii="Times New Roman" w:hAnsi="Times New Roman"/>
          <w:lang w:val="en-US"/>
        </w:rPr>
        <w:t xml:space="preserve"> July. Available from: </w:t>
      </w:r>
      <w:hyperlink r:id="rId24" w:history="1">
        <w:r w:rsidRPr="0098365D">
          <w:rPr>
            <w:rStyle w:val="Hyperlink"/>
            <w:rFonts w:ascii="Times New Roman" w:hAnsi="Times New Roman"/>
            <w:color w:val="auto"/>
          </w:rPr>
          <w:t>https://energiata.org/legea-prosumatorilor-promulgata-de-presedintele-romaniei/</w:t>
        </w:r>
      </w:hyperlink>
      <w:r w:rsidRPr="0098365D">
        <w:rPr>
          <w:rFonts w:ascii="Times New Roman" w:hAnsi="Times New Roman"/>
        </w:rPr>
        <w:t xml:space="preserve"> [</w:t>
      </w:r>
      <w:r w:rsidRPr="0098365D">
        <w:rPr>
          <w:rFonts w:ascii="Times New Roman" w:hAnsi="Times New Roman"/>
          <w:lang w:val="en-US"/>
        </w:rPr>
        <w:t>Accessed: 15</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0C193287" w14:textId="77777777" w:rsidR="00C86B42" w:rsidRPr="0098365D" w:rsidRDefault="00C86B42" w:rsidP="0098365D">
      <w:pPr>
        <w:pStyle w:val="ListParagraph"/>
        <w:numPr>
          <w:ilvl w:val="0"/>
          <w:numId w:val="35"/>
        </w:numPr>
        <w:spacing w:line="276" w:lineRule="auto"/>
        <w:jc w:val="both"/>
        <w:rPr>
          <w:rFonts w:ascii="Times New Roman" w:hAnsi="Times New Roman"/>
          <w:lang w:val="en-US"/>
        </w:rPr>
      </w:pPr>
      <w:r w:rsidRPr="0098365D">
        <w:rPr>
          <w:rFonts w:ascii="Times New Roman" w:hAnsi="Times New Roman"/>
          <w:lang w:val="it-IT"/>
        </w:rPr>
        <w:t xml:space="preserve">TOADER-PASTI, M. (2019) Legea prosumatorilor și normele de aplicare. </w:t>
      </w:r>
      <w:proofErr w:type="spellStart"/>
      <w:r w:rsidRPr="0098365D">
        <w:rPr>
          <w:rFonts w:ascii="Times New Roman" w:hAnsi="Times New Roman"/>
          <w:i/>
          <w:iCs/>
        </w:rPr>
        <w:t>EnergiaTa</w:t>
      </w:r>
      <w:proofErr w:type="spellEnd"/>
      <w:r w:rsidRPr="0098365D">
        <w:rPr>
          <w:rFonts w:ascii="Times New Roman" w:hAnsi="Times New Roman"/>
          <w:i/>
          <w:iCs/>
        </w:rPr>
        <w:t>.</w:t>
      </w:r>
      <w:r w:rsidRPr="0098365D">
        <w:rPr>
          <w:rFonts w:ascii="Times New Roman" w:hAnsi="Times New Roman"/>
        </w:rPr>
        <w:t xml:space="preserve"> </w:t>
      </w:r>
      <w:r w:rsidRPr="0098365D">
        <w:rPr>
          <w:rFonts w:ascii="Times New Roman" w:hAnsi="Times New Roman"/>
          <w:lang w:val="en-US"/>
        </w:rPr>
        <w:t>[Online] 17</w:t>
      </w:r>
      <w:r w:rsidRPr="0098365D">
        <w:rPr>
          <w:rFonts w:ascii="Times New Roman" w:hAnsi="Times New Roman"/>
          <w:vertAlign w:val="superscript"/>
          <w:lang w:val="en-US"/>
        </w:rPr>
        <w:t>th</w:t>
      </w:r>
      <w:r w:rsidRPr="0098365D">
        <w:rPr>
          <w:rFonts w:ascii="Times New Roman" w:hAnsi="Times New Roman"/>
          <w:lang w:val="en-US"/>
        </w:rPr>
        <w:t xml:space="preserve"> February. Available from: </w:t>
      </w:r>
      <w:hyperlink r:id="rId25" w:history="1">
        <w:r w:rsidRPr="0098365D">
          <w:rPr>
            <w:rStyle w:val="Hyperlink"/>
            <w:rFonts w:ascii="Times New Roman" w:hAnsi="Times New Roman"/>
            <w:color w:val="auto"/>
          </w:rPr>
          <w:t>https://energiata.org/legea-prosumatorului-normele-aplicare/</w:t>
        </w:r>
      </w:hyperlink>
      <w:r w:rsidRPr="0098365D">
        <w:rPr>
          <w:rFonts w:ascii="Times New Roman" w:hAnsi="Times New Roman"/>
        </w:rPr>
        <w:t xml:space="preserve"> [</w:t>
      </w:r>
      <w:r w:rsidRPr="0098365D">
        <w:rPr>
          <w:rFonts w:ascii="Times New Roman" w:hAnsi="Times New Roman"/>
          <w:lang w:val="en-US"/>
        </w:rPr>
        <w:t>Accessed: 15</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3DB42C73" w14:textId="77777777" w:rsidR="00C86B42" w:rsidRPr="0098365D" w:rsidRDefault="00C86B42" w:rsidP="0098365D">
      <w:pPr>
        <w:pStyle w:val="ListParagraph"/>
        <w:numPr>
          <w:ilvl w:val="0"/>
          <w:numId w:val="35"/>
        </w:numPr>
        <w:spacing w:line="276" w:lineRule="auto"/>
        <w:jc w:val="both"/>
        <w:rPr>
          <w:rFonts w:ascii="Times New Roman" w:hAnsi="Times New Roman"/>
        </w:rPr>
      </w:pPr>
      <w:r w:rsidRPr="0098365D">
        <w:rPr>
          <w:rFonts w:ascii="Times New Roman" w:hAnsi="Times New Roman"/>
        </w:rPr>
        <w:t>WORLD BANK. (2019)</w:t>
      </w:r>
      <w:r w:rsidRPr="0098365D">
        <w:rPr>
          <w:rFonts w:ascii="Times New Roman" w:hAnsi="Times New Roman"/>
          <w:i/>
          <w:iCs/>
        </w:rPr>
        <w:t xml:space="preserve"> Romania: Climate Change and Low Carbon Green Growth Program.</w:t>
      </w:r>
      <w:r w:rsidRPr="0098365D">
        <w:rPr>
          <w:rFonts w:ascii="Times New Roman" w:hAnsi="Times New Roman"/>
        </w:rPr>
        <w:t xml:space="preserve"> [Online] Available from:</w:t>
      </w:r>
      <w:r w:rsidRPr="0098365D">
        <w:rPr>
          <w:rFonts w:ascii="Times New Roman" w:hAnsi="Times New Roman"/>
          <w:i/>
          <w:iCs/>
        </w:rPr>
        <w:t xml:space="preserve"> </w:t>
      </w:r>
      <w:hyperlink r:id="rId26" w:history="1">
        <w:r w:rsidRPr="0098365D">
          <w:rPr>
            <w:rStyle w:val="Hyperlink"/>
            <w:rFonts w:ascii="Times New Roman" w:hAnsi="Times New Roman"/>
            <w:color w:val="auto"/>
          </w:rPr>
          <w:t>https://www.worldbank.org/en/country/romania/brief/romania-climate-change-and-low-carbon-green-growth-program</w:t>
        </w:r>
      </w:hyperlink>
      <w:r w:rsidRPr="0098365D">
        <w:rPr>
          <w:rFonts w:ascii="Times New Roman" w:hAnsi="Times New Roman"/>
        </w:rPr>
        <w:t xml:space="preserve"> [</w:t>
      </w:r>
      <w:r w:rsidRPr="0098365D">
        <w:rPr>
          <w:rFonts w:ascii="Times New Roman" w:hAnsi="Times New Roman"/>
          <w:lang w:val="en-US"/>
        </w:rPr>
        <w:t>Accessed: 15</w:t>
      </w:r>
      <w:r w:rsidRPr="0098365D">
        <w:rPr>
          <w:rFonts w:ascii="Times New Roman" w:hAnsi="Times New Roman"/>
          <w:vertAlign w:val="superscript"/>
          <w:lang w:val="en-US"/>
        </w:rPr>
        <w:t>th</w:t>
      </w:r>
      <w:r w:rsidRPr="0098365D">
        <w:rPr>
          <w:rFonts w:ascii="Times New Roman" w:hAnsi="Times New Roman"/>
          <w:lang w:val="en-US"/>
        </w:rPr>
        <w:t xml:space="preserve"> July 2019].</w:t>
      </w:r>
    </w:p>
    <w:p w14:paraId="6E9114D7" w14:textId="6BAB9E79" w:rsidR="00705D40" w:rsidRPr="004A4C7C" w:rsidRDefault="00C86B42" w:rsidP="0098365D">
      <w:pPr>
        <w:pStyle w:val="ListParagraph"/>
        <w:numPr>
          <w:ilvl w:val="0"/>
          <w:numId w:val="35"/>
        </w:numPr>
        <w:spacing w:line="276" w:lineRule="auto"/>
        <w:jc w:val="both"/>
        <w:rPr>
          <w:rFonts w:ascii="Times New Roman" w:hAnsi="Times New Roman"/>
          <w:lang w:val="en-US"/>
        </w:rPr>
      </w:pPr>
      <w:r w:rsidRPr="0098365D">
        <w:rPr>
          <w:rFonts w:ascii="Times New Roman" w:hAnsi="Times New Roman"/>
        </w:rPr>
        <w:t xml:space="preserve">WORLD ENERGY COUNCIL. (2019) </w:t>
      </w:r>
      <w:r w:rsidRPr="0098365D">
        <w:rPr>
          <w:rFonts w:ascii="Times New Roman" w:hAnsi="Times New Roman"/>
          <w:i/>
          <w:iCs/>
        </w:rPr>
        <w:t xml:space="preserve">Romania ahead of Europe on renewable targets. </w:t>
      </w:r>
      <w:r w:rsidRPr="0098365D">
        <w:rPr>
          <w:rFonts w:ascii="Times New Roman" w:hAnsi="Times New Roman"/>
        </w:rPr>
        <w:t>[Online] Available from:</w:t>
      </w:r>
      <w:r w:rsidRPr="0098365D">
        <w:rPr>
          <w:rFonts w:ascii="Times New Roman" w:hAnsi="Times New Roman"/>
          <w:i/>
          <w:iCs/>
        </w:rPr>
        <w:t xml:space="preserve"> </w:t>
      </w:r>
      <w:hyperlink r:id="rId27" w:history="1">
        <w:r w:rsidRPr="0098365D">
          <w:rPr>
            <w:rStyle w:val="Hyperlink"/>
            <w:rFonts w:ascii="Times New Roman" w:hAnsi="Times New Roman"/>
            <w:color w:val="auto"/>
          </w:rPr>
          <w:t>https://www.worldenergy.org/news-and-media/local-news/romania-ahead-of-europe-on-renewable-targets/</w:t>
        </w:r>
      </w:hyperlink>
      <w:r w:rsidRPr="0098365D">
        <w:rPr>
          <w:rFonts w:ascii="Times New Roman" w:hAnsi="Times New Roman"/>
        </w:rPr>
        <w:t xml:space="preserve"> [</w:t>
      </w:r>
      <w:r w:rsidRPr="0098365D">
        <w:rPr>
          <w:rFonts w:ascii="Times New Roman" w:hAnsi="Times New Roman"/>
          <w:lang w:val="en-US"/>
        </w:rPr>
        <w:t>Accessed: 15</w:t>
      </w:r>
      <w:r w:rsidRPr="0098365D">
        <w:rPr>
          <w:rFonts w:ascii="Times New Roman" w:hAnsi="Times New Roman"/>
          <w:vertAlign w:val="superscript"/>
          <w:lang w:val="en-US"/>
        </w:rPr>
        <w:t>th</w:t>
      </w:r>
      <w:r w:rsidRPr="0098365D">
        <w:rPr>
          <w:rFonts w:ascii="Times New Roman" w:hAnsi="Times New Roman"/>
          <w:lang w:val="en-US"/>
        </w:rPr>
        <w:t xml:space="preserve"> July 2019].</w:t>
      </w:r>
    </w:p>
    <w:sectPr w:rsidR="00705D40" w:rsidRPr="004A4C7C" w:rsidSect="001A594E">
      <w:footerReference w:type="even" r:id="rId28"/>
      <w:footerReference w:type="default" r:id="rId29"/>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5D2F27" w14:textId="77777777" w:rsidR="002D624F" w:rsidRDefault="002D624F" w:rsidP="001A594E">
      <w:r>
        <w:separator/>
      </w:r>
    </w:p>
  </w:endnote>
  <w:endnote w:type="continuationSeparator" w:id="0">
    <w:p w14:paraId="55A7F4D4" w14:textId="77777777" w:rsidR="002D624F" w:rsidRDefault="002D624F" w:rsidP="001A5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82563635"/>
      <w:docPartObj>
        <w:docPartGallery w:val="Page Numbers (Bottom of Page)"/>
        <w:docPartUnique/>
      </w:docPartObj>
    </w:sdtPr>
    <w:sdtEndPr>
      <w:rPr>
        <w:rStyle w:val="PageNumber"/>
      </w:rPr>
    </w:sdtEndPr>
    <w:sdtContent>
      <w:p w14:paraId="476451C0" w14:textId="31C92169" w:rsidR="00F747B6" w:rsidRDefault="00F747B6" w:rsidP="004A12C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F31473" w14:textId="77777777" w:rsidR="00F747B6" w:rsidRDefault="00F747B6" w:rsidP="001A59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49962441"/>
      <w:docPartObj>
        <w:docPartGallery w:val="Page Numbers (Bottom of Page)"/>
        <w:docPartUnique/>
      </w:docPartObj>
    </w:sdtPr>
    <w:sdtEndPr>
      <w:rPr>
        <w:rStyle w:val="PageNumber"/>
      </w:rPr>
    </w:sdtEndPr>
    <w:sdtContent>
      <w:p w14:paraId="5B215CDE" w14:textId="77F32AAA" w:rsidR="00F747B6" w:rsidRDefault="00F747B6" w:rsidP="004A12C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6199C">
          <w:rPr>
            <w:rStyle w:val="PageNumber"/>
            <w:noProof/>
          </w:rPr>
          <w:t>20</w:t>
        </w:r>
        <w:r>
          <w:rPr>
            <w:rStyle w:val="PageNumber"/>
          </w:rPr>
          <w:fldChar w:fldCharType="end"/>
        </w:r>
      </w:p>
    </w:sdtContent>
  </w:sdt>
  <w:p w14:paraId="0786D837" w14:textId="77777777" w:rsidR="00F747B6" w:rsidRDefault="00F747B6" w:rsidP="001A594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DC1761" w14:textId="77777777" w:rsidR="002D624F" w:rsidRDefault="002D624F" w:rsidP="001A594E">
      <w:r>
        <w:separator/>
      </w:r>
    </w:p>
  </w:footnote>
  <w:footnote w:type="continuationSeparator" w:id="0">
    <w:p w14:paraId="295598C0" w14:textId="77777777" w:rsidR="002D624F" w:rsidRDefault="002D624F" w:rsidP="001A59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44117"/>
    <w:multiLevelType w:val="multilevel"/>
    <w:tmpl w:val="A9F24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874915"/>
    <w:multiLevelType w:val="multilevel"/>
    <w:tmpl w:val="03981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A91950"/>
    <w:multiLevelType w:val="hybridMultilevel"/>
    <w:tmpl w:val="6F8CED58"/>
    <w:lvl w:ilvl="0" w:tplc="0EFC3038">
      <w:start w:val="1"/>
      <w:numFmt w:val="decimal"/>
      <w:lvlText w:val="%1."/>
      <w:lvlJc w:val="left"/>
      <w:pPr>
        <w:tabs>
          <w:tab w:val="num" w:pos="720"/>
        </w:tabs>
        <w:ind w:left="720" w:hanging="360"/>
      </w:pPr>
    </w:lvl>
    <w:lvl w:ilvl="1" w:tplc="53043460" w:tentative="1">
      <w:start w:val="1"/>
      <w:numFmt w:val="decimal"/>
      <w:lvlText w:val="%2."/>
      <w:lvlJc w:val="left"/>
      <w:pPr>
        <w:tabs>
          <w:tab w:val="num" w:pos="1440"/>
        </w:tabs>
        <w:ind w:left="1440" w:hanging="360"/>
      </w:pPr>
    </w:lvl>
    <w:lvl w:ilvl="2" w:tplc="A9360490" w:tentative="1">
      <w:start w:val="1"/>
      <w:numFmt w:val="decimal"/>
      <w:lvlText w:val="%3."/>
      <w:lvlJc w:val="left"/>
      <w:pPr>
        <w:tabs>
          <w:tab w:val="num" w:pos="2160"/>
        </w:tabs>
        <w:ind w:left="2160" w:hanging="360"/>
      </w:pPr>
    </w:lvl>
    <w:lvl w:ilvl="3" w:tplc="431C0A7A" w:tentative="1">
      <w:start w:val="1"/>
      <w:numFmt w:val="decimal"/>
      <w:lvlText w:val="%4."/>
      <w:lvlJc w:val="left"/>
      <w:pPr>
        <w:tabs>
          <w:tab w:val="num" w:pos="2880"/>
        </w:tabs>
        <w:ind w:left="2880" w:hanging="360"/>
      </w:pPr>
    </w:lvl>
    <w:lvl w:ilvl="4" w:tplc="318648A8" w:tentative="1">
      <w:start w:val="1"/>
      <w:numFmt w:val="decimal"/>
      <w:lvlText w:val="%5."/>
      <w:lvlJc w:val="left"/>
      <w:pPr>
        <w:tabs>
          <w:tab w:val="num" w:pos="3600"/>
        </w:tabs>
        <w:ind w:left="3600" w:hanging="360"/>
      </w:pPr>
    </w:lvl>
    <w:lvl w:ilvl="5" w:tplc="A2E23178" w:tentative="1">
      <w:start w:val="1"/>
      <w:numFmt w:val="decimal"/>
      <w:lvlText w:val="%6."/>
      <w:lvlJc w:val="left"/>
      <w:pPr>
        <w:tabs>
          <w:tab w:val="num" w:pos="4320"/>
        </w:tabs>
        <w:ind w:left="4320" w:hanging="360"/>
      </w:pPr>
    </w:lvl>
    <w:lvl w:ilvl="6" w:tplc="3DE60FEA" w:tentative="1">
      <w:start w:val="1"/>
      <w:numFmt w:val="decimal"/>
      <w:lvlText w:val="%7."/>
      <w:lvlJc w:val="left"/>
      <w:pPr>
        <w:tabs>
          <w:tab w:val="num" w:pos="5040"/>
        </w:tabs>
        <w:ind w:left="5040" w:hanging="360"/>
      </w:pPr>
    </w:lvl>
    <w:lvl w:ilvl="7" w:tplc="E23468F2" w:tentative="1">
      <w:start w:val="1"/>
      <w:numFmt w:val="decimal"/>
      <w:lvlText w:val="%8."/>
      <w:lvlJc w:val="left"/>
      <w:pPr>
        <w:tabs>
          <w:tab w:val="num" w:pos="5760"/>
        </w:tabs>
        <w:ind w:left="5760" w:hanging="360"/>
      </w:pPr>
    </w:lvl>
    <w:lvl w:ilvl="8" w:tplc="A5D69994" w:tentative="1">
      <w:start w:val="1"/>
      <w:numFmt w:val="decimal"/>
      <w:lvlText w:val="%9."/>
      <w:lvlJc w:val="left"/>
      <w:pPr>
        <w:tabs>
          <w:tab w:val="num" w:pos="6480"/>
        </w:tabs>
        <w:ind w:left="6480" w:hanging="360"/>
      </w:pPr>
    </w:lvl>
  </w:abstractNum>
  <w:abstractNum w:abstractNumId="3" w15:restartNumberingAfterBreak="0">
    <w:nsid w:val="0B9D49FB"/>
    <w:multiLevelType w:val="multilevel"/>
    <w:tmpl w:val="C0C4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22592C"/>
    <w:multiLevelType w:val="multilevel"/>
    <w:tmpl w:val="6D829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CB1695"/>
    <w:multiLevelType w:val="multilevel"/>
    <w:tmpl w:val="32A44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A37ED5"/>
    <w:multiLevelType w:val="hybridMultilevel"/>
    <w:tmpl w:val="8FA67B56"/>
    <w:lvl w:ilvl="0" w:tplc="373075B2">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573599"/>
    <w:multiLevelType w:val="hybridMultilevel"/>
    <w:tmpl w:val="ED78CF00"/>
    <w:lvl w:ilvl="0" w:tplc="E92E32FA">
      <w:start w:val="1"/>
      <w:numFmt w:val="bullet"/>
      <w:lvlText w:val="•"/>
      <w:lvlJc w:val="left"/>
      <w:pPr>
        <w:tabs>
          <w:tab w:val="num" w:pos="720"/>
        </w:tabs>
        <w:ind w:left="720" w:hanging="360"/>
      </w:pPr>
      <w:rPr>
        <w:rFonts w:ascii="Arial" w:hAnsi="Arial" w:hint="default"/>
      </w:rPr>
    </w:lvl>
    <w:lvl w:ilvl="1" w:tplc="27DA3442" w:tentative="1">
      <w:start w:val="1"/>
      <w:numFmt w:val="bullet"/>
      <w:lvlText w:val="•"/>
      <w:lvlJc w:val="left"/>
      <w:pPr>
        <w:tabs>
          <w:tab w:val="num" w:pos="1440"/>
        </w:tabs>
        <w:ind w:left="1440" w:hanging="360"/>
      </w:pPr>
      <w:rPr>
        <w:rFonts w:ascii="Arial" w:hAnsi="Arial" w:hint="default"/>
      </w:rPr>
    </w:lvl>
    <w:lvl w:ilvl="2" w:tplc="2E4A115A" w:tentative="1">
      <w:start w:val="1"/>
      <w:numFmt w:val="bullet"/>
      <w:lvlText w:val="•"/>
      <w:lvlJc w:val="left"/>
      <w:pPr>
        <w:tabs>
          <w:tab w:val="num" w:pos="2160"/>
        </w:tabs>
        <w:ind w:left="2160" w:hanging="360"/>
      </w:pPr>
      <w:rPr>
        <w:rFonts w:ascii="Arial" w:hAnsi="Arial" w:hint="default"/>
      </w:rPr>
    </w:lvl>
    <w:lvl w:ilvl="3" w:tplc="00367FD4" w:tentative="1">
      <w:start w:val="1"/>
      <w:numFmt w:val="bullet"/>
      <w:lvlText w:val="•"/>
      <w:lvlJc w:val="left"/>
      <w:pPr>
        <w:tabs>
          <w:tab w:val="num" w:pos="2880"/>
        </w:tabs>
        <w:ind w:left="2880" w:hanging="360"/>
      </w:pPr>
      <w:rPr>
        <w:rFonts w:ascii="Arial" w:hAnsi="Arial" w:hint="default"/>
      </w:rPr>
    </w:lvl>
    <w:lvl w:ilvl="4" w:tplc="8438FA60" w:tentative="1">
      <w:start w:val="1"/>
      <w:numFmt w:val="bullet"/>
      <w:lvlText w:val="•"/>
      <w:lvlJc w:val="left"/>
      <w:pPr>
        <w:tabs>
          <w:tab w:val="num" w:pos="3600"/>
        </w:tabs>
        <w:ind w:left="3600" w:hanging="360"/>
      </w:pPr>
      <w:rPr>
        <w:rFonts w:ascii="Arial" w:hAnsi="Arial" w:hint="default"/>
      </w:rPr>
    </w:lvl>
    <w:lvl w:ilvl="5" w:tplc="0134A968" w:tentative="1">
      <w:start w:val="1"/>
      <w:numFmt w:val="bullet"/>
      <w:lvlText w:val="•"/>
      <w:lvlJc w:val="left"/>
      <w:pPr>
        <w:tabs>
          <w:tab w:val="num" w:pos="4320"/>
        </w:tabs>
        <w:ind w:left="4320" w:hanging="360"/>
      </w:pPr>
      <w:rPr>
        <w:rFonts w:ascii="Arial" w:hAnsi="Arial" w:hint="default"/>
      </w:rPr>
    </w:lvl>
    <w:lvl w:ilvl="6" w:tplc="90FA69BA" w:tentative="1">
      <w:start w:val="1"/>
      <w:numFmt w:val="bullet"/>
      <w:lvlText w:val="•"/>
      <w:lvlJc w:val="left"/>
      <w:pPr>
        <w:tabs>
          <w:tab w:val="num" w:pos="5040"/>
        </w:tabs>
        <w:ind w:left="5040" w:hanging="360"/>
      </w:pPr>
      <w:rPr>
        <w:rFonts w:ascii="Arial" w:hAnsi="Arial" w:hint="default"/>
      </w:rPr>
    </w:lvl>
    <w:lvl w:ilvl="7" w:tplc="8E7CCDBE" w:tentative="1">
      <w:start w:val="1"/>
      <w:numFmt w:val="bullet"/>
      <w:lvlText w:val="•"/>
      <w:lvlJc w:val="left"/>
      <w:pPr>
        <w:tabs>
          <w:tab w:val="num" w:pos="5760"/>
        </w:tabs>
        <w:ind w:left="5760" w:hanging="360"/>
      </w:pPr>
      <w:rPr>
        <w:rFonts w:ascii="Arial" w:hAnsi="Arial" w:hint="default"/>
      </w:rPr>
    </w:lvl>
    <w:lvl w:ilvl="8" w:tplc="96C21FE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DD34E7F"/>
    <w:multiLevelType w:val="hybridMultilevel"/>
    <w:tmpl w:val="5FDA9D76"/>
    <w:lvl w:ilvl="0" w:tplc="5D8C4FE2">
      <w:start w:val="1"/>
      <w:numFmt w:val="bullet"/>
      <w:lvlText w:val="•"/>
      <w:lvlJc w:val="left"/>
      <w:pPr>
        <w:tabs>
          <w:tab w:val="num" w:pos="720"/>
        </w:tabs>
        <w:ind w:left="720" w:hanging="360"/>
      </w:pPr>
      <w:rPr>
        <w:rFonts w:ascii="Arial" w:hAnsi="Arial" w:hint="default"/>
      </w:rPr>
    </w:lvl>
    <w:lvl w:ilvl="1" w:tplc="283CF9EC" w:tentative="1">
      <w:start w:val="1"/>
      <w:numFmt w:val="bullet"/>
      <w:lvlText w:val="•"/>
      <w:lvlJc w:val="left"/>
      <w:pPr>
        <w:tabs>
          <w:tab w:val="num" w:pos="1440"/>
        </w:tabs>
        <w:ind w:left="1440" w:hanging="360"/>
      </w:pPr>
      <w:rPr>
        <w:rFonts w:ascii="Arial" w:hAnsi="Arial" w:hint="default"/>
      </w:rPr>
    </w:lvl>
    <w:lvl w:ilvl="2" w:tplc="70D6558C" w:tentative="1">
      <w:start w:val="1"/>
      <w:numFmt w:val="bullet"/>
      <w:lvlText w:val="•"/>
      <w:lvlJc w:val="left"/>
      <w:pPr>
        <w:tabs>
          <w:tab w:val="num" w:pos="2160"/>
        </w:tabs>
        <w:ind w:left="2160" w:hanging="360"/>
      </w:pPr>
      <w:rPr>
        <w:rFonts w:ascii="Arial" w:hAnsi="Arial" w:hint="default"/>
      </w:rPr>
    </w:lvl>
    <w:lvl w:ilvl="3" w:tplc="4FC23F76" w:tentative="1">
      <w:start w:val="1"/>
      <w:numFmt w:val="bullet"/>
      <w:lvlText w:val="•"/>
      <w:lvlJc w:val="left"/>
      <w:pPr>
        <w:tabs>
          <w:tab w:val="num" w:pos="2880"/>
        </w:tabs>
        <w:ind w:left="2880" w:hanging="360"/>
      </w:pPr>
      <w:rPr>
        <w:rFonts w:ascii="Arial" w:hAnsi="Arial" w:hint="default"/>
      </w:rPr>
    </w:lvl>
    <w:lvl w:ilvl="4" w:tplc="E1E012EA" w:tentative="1">
      <w:start w:val="1"/>
      <w:numFmt w:val="bullet"/>
      <w:lvlText w:val="•"/>
      <w:lvlJc w:val="left"/>
      <w:pPr>
        <w:tabs>
          <w:tab w:val="num" w:pos="3600"/>
        </w:tabs>
        <w:ind w:left="3600" w:hanging="360"/>
      </w:pPr>
      <w:rPr>
        <w:rFonts w:ascii="Arial" w:hAnsi="Arial" w:hint="default"/>
      </w:rPr>
    </w:lvl>
    <w:lvl w:ilvl="5" w:tplc="01AEED2E" w:tentative="1">
      <w:start w:val="1"/>
      <w:numFmt w:val="bullet"/>
      <w:lvlText w:val="•"/>
      <w:lvlJc w:val="left"/>
      <w:pPr>
        <w:tabs>
          <w:tab w:val="num" w:pos="4320"/>
        </w:tabs>
        <w:ind w:left="4320" w:hanging="360"/>
      </w:pPr>
      <w:rPr>
        <w:rFonts w:ascii="Arial" w:hAnsi="Arial" w:hint="default"/>
      </w:rPr>
    </w:lvl>
    <w:lvl w:ilvl="6" w:tplc="BA803FD2" w:tentative="1">
      <w:start w:val="1"/>
      <w:numFmt w:val="bullet"/>
      <w:lvlText w:val="•"/>
      <w:lvlJc w:val="left"/>
      <w:pPr>
        <w:tabs>
          <w:tab w:val="num" w:pos="5040"/>
        </w:tabs>
        <w:ind w:left="5040" w:hanging="360"/>
      </w:pPr>
      <w:rPr>
        <w:rFonts w:ascii="Arial" w:hAnsi="Arial" w:hint="default"/>
      </w:rPr>
    </w:lvl>
    <w:lvl w:ilvl="7" w:tplc="D2BC1518" w:tentative="1">
      <w:start w:val="1"/>
      <w:numFmt w:val="bullet"/>
      <w:lvlText w:val="•"/>
      <w:lvlJc w:val="left"/>
      <w:pPr>
        <w:tabs>
          <w:tab w:val="num" w:pos="5760"/>
        </w:tabs>
        <w:ind w:left="5760" w:hanging="360"/>
      </w:pPr>
      <w:rPr>
        <w:rFonts w:ascii="Arial" w:hAnsi="Arial" w:hint="default"/>
      </w:rPr>
    </w:lvl>
    <w:lvl w:ilvl="8" w:tplc="B576F16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FA370D6"/>
    <w:multiLevelType w:val="hybridMultilevel"/>
    <w:tmpl w:val="27D0B740"/>
    <w:lvl w:ilvl="0" w:tplc="BD4ECF38">
      <w:start w:val="1"/>
      <w:numFmt w:val="bullet"/>
      <w:lvlText w:val="•"/>
      <w:lvlJc w:val="left"/>
      <w:pPr>
        <w:tabs>
          <w:tab w:val="num" w:pos="720"/>
        </w:tabs>
        <w:ind w:left="720" w:hanging="360"/>
      </w:pPr>
      <w:rPr>
        <w:rFonts w:ascii="Arial" w:hAnsi="Arial" w:hint="default"/>
      </w:rPr>
    </w:lvl>
    <w:lvl w:ilvl="1" w:tplc="12BAEE92" w:tentative="1">
      <w:start w:val="1"/>
      <w:numFmt w:val="bullet"/>
      <w:lvlText w:val="•"/>
      <w:lvlJc w:val="left"/>
      <w:pPr>
        <w:tabs>
          <w:tab w:val="num" w:pos="1440"/>
        </w:tabs>
        <w:ind w:left="1440" w:hanging="360"/>
      </w:pPr>
      <w:rPr>
        <w:rFonts w:ascii="Arial" w:hAnsi="Arial" w:hint="default"/>
      </w:rPr>
    </w:lvl>
    <w:lvl w:ilvl="2" w:tplc="F3AA5534" w:tentative="1">
      <w:start w:val="1"/>
      <w:numFmt w:val="bullet"/>
      <w:lvlText w:val="•"/>
      <w:lvlJc w:val="left"/>
      <w:pPr>
        <w:tabs>
          <w:tab w:val="num" w:pos="2160"/>
        </w:tabs>
        <w:ind w:left="2160" w:hanging="360"/>
      </w:pPr>
      <w:rPr>
        <w:rFonts w:ascii="Arial" w:hAnsi="Arial" w:hint="default"/>
      </w:rPr>
    </w:lvl>
    <w:lvl w:ilvl="3" w:tplc="123E504C" w:tentative="1">
      <w:start w:val="1"/>
      <w:numFmt w:val="bullet"/>
      <w:lvlText w:val="•"/>
      <w:lvlJc w:val="left"/>
      <w:pPr>
        <w:tabs>
          <w:tab w:val="num" w:pos="2880"/>
        </w:tabs>
        <w:ind w:left="2880" w:hanging="360"/>
      </w:pPr>
      <w:rPr>
        <w:rFonts w:ascii="Arial" w:hAnsi="Arial" w:hint="default"/>
      </w:rPr>
    </w:lvl>
    <w:lvl w:ilvl="4" w:tplc="0D5264AE" w:tentative="1">
      <w:start w:val="1"/>
      <w:numFmt w:val="bullet"/>
      <w:lvlText w:val="•"/>
      <w:lvlJc w:val="left"/>
      <w:pPr>
        <w:tabs>
          <w:tab w:val="num" w:pos="3600"/>
        </w:tabs>
        <w:ind w:left="3600" w:hanging="360"/>
      </w:pPr>
      <w:rPr>
        <w:rFonts w:ascii="Arial" w:hAnsi="Arial" w:hint="default"/>
      </w:rPr>
    </w:lvl>
    <w:lvl w:ilvl="5" w:tplc="E53A71A4" w:tentative="1">
      <w:start w:val="1"/>
      <w:numFmt w:val="bullet"/>
      <w:lvlText w:val="•"/>
      <w:lvlJc w:val="left"/>
      <w:pPr>
        <w:tabs>
          <w:tab w:val="num" w:pos="4320"/>
        </w:tabs>
        <w:ind w:left="4320" w:hanging="360"/>
      </w:pPr>
      <w:rPr>
        <w:rFonts w:ascii="Arial" w:hAnsi="Arial" w:hint="default"/>
      </w:rPr>
    </w:lvl>
    <w:lvl w:ilvl="6" w:tplc="3B6E3DBA" w:tentative="1">
      <w:start w:val="1"/>
      <w:numFmt w:val="bullet"/>
      <w:lvlText w:val="•"/>
      <w:lvlJc w:val="left"/>
      <w:pPr>
        <w:tabs>
          <w:tab w:val="num" w:pos="5040"/>
        </w:tabs>
        <w:ind w:left="5040" w:hanging="360"/>
      </w:pPr>
      <w:rPr>
        <w:rFonts w:ascii="Arial" w:hAnsi="Arial" w:hint="default"/>
      </w:rPr>
    </w:lvl>
    <w:lvl w:ilvl="7" w:tplc="67849A52" w:tentative="1">
      <w:start w:val="1"/>
      <w:numFmt w:val="bullet"/>
      <w:lvlText w:val="•"/>
      <w:lvlJc w:val="left"/>
      <w:pPr>
        <w:tabs>
          <w:tab w:val="num" w:pos="5760"/>
        </w:tabs>
        <w:ind w:left="5760" w:hanging="360"/>
      </w:pPr>
      <w:rPr>
        <w:rFonts w:ascii="Arial" w:hAnsi="Arial" w:hint="default"/>
      </w:rPr>
    </w:lvl>
    <w:lvl w:ilvl="8" w:tplc="AB80FBA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31F231E"/>
    <w:multiLevelType w:val="multilevel"/>
    <w:tmpl w:val="FB58E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805833"/>
    <w:multiLevelType w:val="hybridMultilevel"/>
    <w:tmpl w:val="56C88FAA"/>
    <w:lvl w:ilvl="0" w:tplc="082A9FF8">
      <w:start w:val="1"/>
      <w:numFmt w:val="decimal"/>
      <w:lvlText w:val="%1."/>
      <w:lvlJc w:val="left"/>
      <w:pPr>
        <w:ind w:left="720" w:hanging="360"/>
      </w:pPr>
      <w:rPr>
        <w:i w: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29420C18"/>
    <w:multiLevelType w:val="hybridMultilevel"/>
    <w:tmpl w:val="F5043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6A5C4F"/>
    <w:multiLevelType w:val="hybridMultilevel"/>
    <w:tmpl w:val="377E6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95520C"/>
    <w:multiLevelType w:val="hybridMultilevel"/>
    <w:tmpl w:val="C19C1AD6"/>
    <w:lvl w:ilvl="0" w:tplc="004848FC">
      <w:start w:val="1"/>
      <w:numFmt w:val="bullet"/>
      <w:lvlText w:val="•"/>
      <w:lvlJc w:val="left"/>
      <w:pPr>
        <w:tabs>
          <w:tab w:val="num" w:pos="720"/>
        </w:tabs>
        <w:ind w:left="720" w:hanging="360"/>
      </w:pPr>
      <w:rPr>
        <w:rFonts w:ascii="Arial" w:hAnsi="Arial" w:hint="default"/>
      </w:rPr>
    </w:lvl>
    <w:lvl w:ilvl="1" w:tplc="83B082BA" w:tentative="1">
      <w:start w:val="1"/>
      <w:numFmt w:val="bullet"/>
      <w:lvlText w:val="•"/>
      <w:lvlJc w:val="left"/>
      <w:pPr>
        <w:tabs>
          <w:tab w:val="num" w:pos="1440"/>
        </w:tabs>
        <w:ind w:left="1440" w:hanging="360"/>
      </w:pPr>
      <w:rPr>
        <w:rFonts w:ascii="Arial" w:hAnsi="Arial" w:hint="default"/>
      </w:rPr>
    </w:lvl>
    <w:lvl w:ilvl="2" w:tplc="90F80A84" w:tentative="1">
      <w:start w:val="1"/>
      <w:numFmt w:val="bullet"/>
      <w:lvlText w:val="•"/>
      <w:lvlJc w:val="left"/>
      <w:pPr>
        <w:tabs>
          <w:tab w:val="num" w:pos="2160"/>
        </w:tabs>
        <w:ind w:left="2160" w:hanging="360"/>
      </w:pPr>
      <w:rPr>
        <w:rFonts w:ascii="Arial" w:hAnsi="Arial" w:hint="default"/>
      </w:rPr>
    </w:lvl>
    <w:lvl w:ilvl="3" w:tplc="A6BE352A" w:tentative="1">
      <w:start w:val="1"/>
      <w:numFmt w:val="bullet"/>
      <w:lvlText w:val="•"/>
      <w:lvlJc w:val="left"/>
      <w:pPr>
        <w:tabs>
          <w:tab w:val="num" w:pos="2880"/>
        </w:tabs>
        <w:ind w:left="2880" w:hanging="360"/>
      </w:pPr>
      <w:rPr>
        <w:rFonts w:ascii="Arial" w:hAnsi="Arial" w:hint="default"/>
      </w:rPr>
    </w:lvl>
    <w:lvl w:ilvl="4" w:tplc="1102D86C" w:tentative="1">
      <w:start w:val="1"/>
      <w:numFmt w:val="bullet"/>
      <w:lvlText w:val="•"/>
      <w:lvlJc w:val="left"/>
      <w:pPr>
        <w:tabs>
          <w:tab w:val="num" w:pos="3600"/>
        </w:tabs>
        <w:ind w:left="3600" w:hanging="360"/>
      </w:pPr>
      <w:rPr>
        <w:rFonts w:ascii="Arial" w:hAnsi="Arial" w:hint="default"/>
      </w:rPr>
    </w:lvl>
    <w:lvl w:ilvl="5" w:tplc="28801E7E" w:tentative="1">
      <w:start w:val="1"/>
      <w:numFmt w:val="bullet"/>
      <w:lvlText w:val="•"/>
      <w:lvlJc w:val="left"/>
      <w:pPr>
        <w:tabs>
          <w:tab w:val="num" w:pos="4320"/>
        </w:tabs>
        <w:ind w:left="4320" w:hanging="360"/>
      </w:pPr>
      <w:rPr>
        <w:rFonts w:ascii="Arial" w:hAnsi="Arial" w:hint="default"/>
      </w:rPr>
    </w:lvl>
    <w:lvl w:ilvl="6" w:tplc="160E6904" w:tentative="1">
      <w:start w:val="1"/>
      <w:numFmt w:val="bullet"/>
      <w:lvlText w:val="•"/>
      <w:lvlJc w:val="left"/>
      <w:pPr>
        <w:tabs>
          <w:tab w:val="num" w:pos="5040"/>
        </w:tabs>
        <w:ind w:left="5040" w:hanging="360"/>
      </w:pPr>
      <w:rPr>
        <w:rFonts w:ascii="Arial" w:hAnsi="Arial" w:hint="default"/>
      </w:rPr>
    </w:lvl>
    <w:lvl w:ilvl="7" w:tplc="4D4255FA" w:tentative="1">
      <w:start w:val="1"/>
      <w:numFmt w:val="bullet"/>
      <w:lvlText w:val="•"/>
      <w:lvlJc w:val="left"/>
      <w:pPr>
        <w:tabs>
          <w:tab w:val="num" w:pos="5760"/>
        </w:tabs>
        <w:ind w:left="5760" w:hanging="360"/>
      </w:pPr>
      <w:rPr>
        <w:rFonts w:ascii="Arial" w:hAnsi="Arial" w:hint="default"/>
      </w:rPr>
    </w:lvl>
    <w:lvl w:ilvl="8" w:tplc="DD186EC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FF01725"/>
    <w:multiLevelType w:val="hybridMultilevel"/>
    <w:tmpl w:val="536A5F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1D95F27"/>
    <w:multiLevelType w:val="multilevel"/>
    <w:tmpl w:val="6D4ED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7674BA"/>
    <w:multiLevelType w:val="hybridMultilevel"/>
    <w:tmpl w:val="96D86B9C"/>
    <w:lvl w:ilvl="0" w:tplc="CF84780C">
      <w:start w:val="1"/>
      <w:numFmt w:val="bullet"/>
      <w:lvlText w:val="•"/>
      <w:lvlJc w:val="left"/>
      <w:pPr>
        <w:tabs>
          <w:tab w:val="num" w:pos="720"/>
        </w:tabs>
        <w:ind w:left="720" w:hanging="360"/>
      </w:pPr>
      <w:rPr>
        <w:rFonts w:ascii="Arial" w:hAnsi="Arial" w:hint="default"/>
      </w:rPr>
    </w:lvl>
    <w:lvl w:ilvl="1" w:tplc="CAFCDA5C" w:tentative="1">
      <w:start w:val="1"/>
      <w:numFmt w:val="bullet"/>
      <w:lvlText w:val="•"/>
      <w:lvlJc w:val="left"/>
      <w:pPr>
        <w:tabs>
          <w:tab w:val="num" w:pos="1440"/>
        </w:tabs>
        <w:ind w:left="1440" w:hanging="360"/>
      </w:pPr>
      <w:rPr>
        <w:rFonts w:ascii="Arial" w:hAnsi="Arial" w:hint="default"/>
      </w:rPr>
    </w:lvl>
    <w:lvl w:ilvl="2" w:tplc="A3185D46" w:tentative="1">
      <w:start w:val="1"/>
      <w:numFmt w:val="bullet"/>
      <w:lvlText w:val="•"/>
      <w:lvlJc w:val="left"/>
      <w:pPr>
        <w:tabs>
          <w:tab w:val="num" w:pos="2160"/>
        </w:tabs>
        <w:ind w:left="2160" w:hanging="360"/>
      </w:pPr>
      <w:rPr>
        <w:rFonts w:ascii="Arial" w:hAnsi="Arial" w:hint="default"/>
      </w:rPr>
    </w:lvl>
    <w:lvl w:ilvl="3" w:tplc="A1223E5C" w:tentative="1">
      <w:start w:val="1"/>
      <w:numFmt w:val="bullet"/>
      <w:lvlText w:val="•"/>
      <w:lvlJc w:val="left"/>
      <w:pPr>
        <w:tabs>
          <w:tab w:val="num" w:pos="2880"/>
        </w:tabs>
        <w:ind w:left="2880" w:hanging="360"/>
      </w:pPr>
      <w:rPr>
        <w:rFonts w:ascii="Arial" w:hAnsi="Arial" w:hint="default"/>
      </w:rPr>
    </w:lvl>
    <w:lvl w:ilvl="4" w:tplc="C7DE338C" w:tentative="1">
      <w:start w:val="1"/>
      <w:numFmt w:val="bullet"/>
      <w:lvlText w:val="•"/>
      <w:lvlJc w:val="left"/>
      <w:pPr>
        <w:tabs>
          <w:tab w:val="num" w:pos="3600"/>
        </w:tabs>
        <w:ind w:left="3600" w:hanging="360"/>
      </w:pPr>
      <w:rPr>
        <w:rFonts w:ascii="Arial" w:hAnsi="Arial" w:hint="default"/>
      </w:rPr>
    </w:lvl>
    <w:lvl w:ilvl="5" w:tplc="FA5E697E" w:tentative="1">
      <w:start w:val="1"/>
      <w:numFmt w:val="bullet"/>
      <w:lvlText w:val="•"/>
      <w:lvlJc w:val="left"/>
      <w:pPr>
        <w:tabs>
          <w:tab w:val="num" w:pos="4320"/>
        </w:tabs>
        <w:ind w:left="4320" w:hanging="360"/>
      </w:pPr>
      <w:rPr>
        <w:rFonts w:ascii="Arial" w:hAnsi="Arial" w:hint="default"/>
      </w:rPr>
    </w:lvl>
    <w:lvl w:ilvl="6" w:tplc="69C08404" w:tentative="1">
      <w:start w:val="1"/>
      <w:numFmt w:val="bullet"/>
      <w:lvlText w:val="•"/>
      <w:lvlJc w:val="left"/>
      <w:pPr>
        <w:tabs>
          <w:tab w:val="num" w:pos="5040"/>
        </w:tabs>
        <w:ind w:left="5040" w:hanging="360"/>
      </w:pPr>
      <w:rPr>
        <w:rFonts w:ascii="Arial" w:hAnsi="Arial" w:hint="default"/>
      </w:rPr>
    </w:lvl>
    <w:lvl w:ilvl="7" w:tplc="37C61B8C" w:tentative="1">
      <w:start w:val="1"/>
      <w:numFmt w:val="bullet"/>
      <w:lvlText w:val="•"/>
      <w:lvlJc w:val="left"/>
      <w:pPr>
        <w:tabs>
          <w:tab w:val="num" w:pos="5760"/>
        </w:tabs>
        <w:ind w:left="5760" w:hanging="360"/>
      </w:pPr>
      <w:rPr>
        <w:rFonts w:ascii="Arial" w:hAnsi="Arial" w:hint="default"/>
      </w:rPr>
    </w:lvl>
    <w:lvl w:ilvl="8" w:tplc="16FE5BC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2EF0B75"/>
    <w:multiLevelType w:val="hybridMultilevel"/>
    <w:tmpl w:val="84342022"/>
    <w:lvl w:ilvl="0" w:tplc="1EB8EEAE">
      <w:start w:val="1"/>
      <w:numFmt w:val="bullet"/>
      <w:lvlText w:val="•"/>
      <w:lvlJc w:val="left"/>
      <w:pPr>
        <w:tabs>
          <w:tab w:val="num" w:pos="720"/>
        </w:tabs>
        <w:ind w:left="720" w:hanging="360"/>
      </w:pPr>
      <w:rPr>
        <w:rFonts w:ascii="Arial" w:hAnsi="Arial" w:hint="default"/>
      </w:rPr>
    </w:lvl>
    <w:lvl w:ilvl="1" w:tplc="4D9E1568" w:tentative="1">
      <w:start w:val="1"/>
      <w:numFmt w:val="bullet"/>
      <w:lvlText w:val="•"/>
      <w:lvlJc w:val="left"/>
      <w:pPr>
        <w:tabs>
          <w:tab w:val="num" w:pos="1440"/>
        </w:tabs>
        <w:ind w:left="1440" w:hanging="360"/>
      </w:pPr>
      <w:rPr>
        <w:rFonts w:ascii="Arial" w:hAnsi="Arial" w:hint="default"/>
      </w:rPr>
    </w:lvl>
    <w:lvl w:ilvl="2" w:tplc="B608EC12" w:tentative="1">
      <w:start w:val="1"/>
      <w:numFmt w:val="bullet"/>
      <w:lvlText w:val="•"/>
      <w:lvlJc w:val="left"/>
      <w:pPr>
        <w:tabs>
          <w:tab w:val="num" w:pos="2160"/>
        </w:tabs>
        <w:ind w:left="2160" w:hanging="360"/>
      </w:pPr>
      <w:rPr>
        <w:rFonts w:ascii="Arial" w:hAnsi="Arial" w:hint="default"/>
      </w:rPr>
    </w:lvl>
    <w:lvl w:ilvl="3" w:tplc="EF10F256" w:tentative="1">
      <w:start w:val="1"/>
      <w:numFmt w:val="bullet"/>
      <w:lvlText w:val="•"/>
      <w:lvlJc w:val="left"/>
      <w:pPr>
        <w:tabs>
          <w:tab w:val="num" w:pos="2880"/>
        </w:tabs>
        <w:ind w:left="2880" w:hanging="360"/>
      </w:pPr>
      <w:rPr>
        <w:rFonts w:ascii="Arial" w:hAnsi="Arial" w:hint="default"/>
      </w:rPr>
    </w:lvl>
    <w:lvl w:ilvl="4" w:tplc="85C2E53A" w:tentative="1">
      <w:start w:val="1"/>
      <w:numFmt w:val="bullet"/>
      <w:lvlText w:val="•"/>
      <w:lvlJc w:val="left"/>
      <w:pPr>
        <w:tabs>
          <w:tab w:val="num" w:pos="3600"/>
        </w:tabs>
        <w:ind w:left="3600" w:hanging="360"/>
      </w:pPr>
      <w:rPr>
        <w:rFonts w:ascii="Arial" w:hAnsi="Arial" w:hint="default"/>
      </w:rPr>
    </w:lvl>
    <w:lvl w:ilvl="5" w:tplc="816230AA" w:tentative="1">
      <w:start w:val="1"/>
      <w:numFmt w:val="bullet"/>
      <w:lvlText w:val="•"/>
      <w:lvlJc w:val="left"/>
      <w:pPr>
        <w:tabs>
          <w:tab w:val="num" w:pos="4320"/>
        </w:tabs>
        <w:ind w:left="4320" w:hanging="360"/>
      </w:pPr>
      <w:rPr>
        <w:rFonts w:ascii="Arial" w:hAnsi="Arial" w:hint="default"/>
      </w:rPr>
    </w:lvl>
    <w:lvl w:ilvl="6" w:tplc="5C26707C" w:tentative="1">
      <w:start w:val="1"/>
      <w:numFmt w:val="bullet"/>
      <w:lvlText w:val="•"/>
      <w:lvlJc w:val="left"/>
      <w:pPr>
        <w:tabs>
          <w:tab w:val="num" w:pos="5040"/>
        </w:tabs>
        <w:ind w:left="5040" w:hanging="360"/>
      </w:pPr>
      <w:rPr>
        <w:rFonts w:ascii="Arial" w:hAnsi="Arial" w:hint="default"/>
      </w:rPr>
    </w:lvl>
    <w:lvl w:ilvl="7" w:tplc="A85679FA" w:tentative="1">
      <w:start w:val="1"/>
      <w:numFmt w:val="bullet"/>
      <w:lvlText w:val="•"/>
      <w:lvlJc w:val="left"/>
      <w:pPr>
        <w:tabs>
          <w:tab w:val="num" w:pos="5760"/>
        </w:tabs>
        <w:ind w:left="5760" w:hanging="360"/>
      </w:pPr>
      <w:rPr>
        <w:rFonts w:ascii="Arial" w:hAnsi="Arial" w:hint="default"/>
      </w:rPr>
    </w:lvl>
    <w:lvl w:ilvl="8" w:tplc="087E440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C730CE3"/>
    <w:multiLevelType w:val="hybridMultilevel"/>
    <w:tmpl w:val="2AE02C86"/>
    <w:lvl w:ilvl="0" w:tplc="63204824">
      <w:start w:val="1"/>
      <w:numFmt w:val="bullet"/>
      <w:lvlText w:val="•"/>
      <w:lvlJc w:val="left"/>
      <w:pPr>
        <w:tabs>
          <w:tab w:val="num" w:pos="720"/>
        </w:tabs>
        <w:ind w:left="720" w:hanging="360"/>
      </w:pPr>
      <w:rPr>
        <w:rFonts w:ascii="Arial" w:hAnsi="Arial" w:hint="default"/>
      </w:rPr>
    </w:lvl>
    <w:lvl w:ilvl="1" w:tplc="09660A6A" w:tentative="1">
      <w:start w:val="1"/>
      <w:numFmt w:val="bullet"/>
      <w:lvlText w:val="•"/>
      <w:lvlJc w:val="left"/>
      <w:pPr>
        <w:tabs>
          <w:tab w:val="num" w:pos="1440"/>
        </w:tabs>
        <w:ind w:left="1440" w:hanging="360"/>
      </w:pPr>
      <w:rPr>
        <w:rFonts w:ascii="Arial" w:hAnsi="Arial" w:hint="default"/>
      </w:rPr>
    </w:lvl>
    <w:lvl w:ilvl="2" w:tplc="E3C21A96" w:tentative="1">
      <w:start w:val="1"/>
      <w:numFmt w:val="bullet"/>
      <w:lvlText w:val="•"/>
      <w:lvlJc w:val="left"/>
      <w:pPr>
        <w:tabs>
          <w:tab w:val="num" w:pos="2160"/>
        </w:tabs>
        <w:ind w:left="2160" w:hanging="360"/>
      </w:pPr>
      <w:rPr>
        <w:rFonts w:ascii="Arial" w:hAnsi="Arial" w:hint="default"/>
      </w:rPr>
    </w:lvl>
    <w:lvl w:ilvl="3" w:tplc="35A2194C" w:tentative="1">
      <w:start w:val="1"/>
      <w:numFmt w:val="bullet"/>
      <w:lvlText w:val="•"/>
      <w:lvlJc w:val="left"/>
      <w:pPr>
        <w:tabs>
          <w:tab w:val="num" w:pos="2880"/>
        </w:tabs>
        <w:ind w:left="2880" w:hanging="360"/>
      </w:pPr>
      <w:rPr>
        <w:rFonts w:ascii="Arial" w:hAnsi="Arial" w:hint="default"/>
      </w:rPr>
    </w:lvl>
    <w:lvl w:ilvl="4" w:tplc="C64AA418" w:tentative="1">
      <w:start w:val="1"/>
      <w:numFmt w:val="bullet"/>
      <w:lvlText w:val="•"/>
      <w:lvlJc w:val="left"/>
      <w:pPr>
        <w:tabs>
          <w:tab w:val="num" w:pos="3600"/>
        </w:tabs>
        <w:ind w:left="3600" w:hanging="360"/>
      </w:pPr>
      <w:rPr>
        <w:rFonts w:ascii="Arial" w:hAnsi="Arial" w:hint="default"/>
      </w:rPr>
    </w:lvl>
    <w:lvl w:ilvl="5" w:tplc="AB461134" w:tentative="1">
      <w:start w:val="1"/>
      <w:numFmt w:val="bullet"/>
      <w:lvlText w:val="•"/>
      <w:lvlJc w:val="left"/>
      <w:pPr>
        <w:tabs>
          <w:tab w:val="num" w:pos="4320"/>
        </w:tabs>
        <w:ind w:left="4320" w:hanging="360"/>
      </w:pPr>
      <w:rPr>
        <w:rFonts w:ascii="Arial" w:hAnsi="Arial" w:hint="default"/>
      </w:rPr>
    </w:lvl>
    <w:lvl w:ilvl="6" w:tplc="6D14388E" w:tentative="1">
      <w:start w:val="1"/>
      <w:numFmt w:val="bullet"/>
      <w:lvlText w:val="•"/>
      <w:lvlJc w:val="left"/>
      <w:pPr>
        <w:tabs>
          <w:tab w:val="num" w:pos="5040"/>
        </w:tabs>
        <w:ind w:left="5040" w:hanging="360"/>
      </w:pPr>
      <w:rPr>
        <w:rFonts w:ascii="Arial" w:hAnsi="Arial" w:hint="default"/>
      </w:rPr>
    </w:lvl>
    <w:lvl w:ilvl="7" w:tplc="27265A04" w:tentative="1">
      <w:start w:val="1"/>
      <w:numFmt w:val="bullet"/>
      <w:lvlText w:val="•"/>
      <w:lvlJc w:val="left"/>
      <w:pPr>
        <w:tabs>
          <w:tab w:val="num" w:pos="5760"/>
        </w:tabs>
        <w:ind w:left="5760" w:hanging="360"/>
      </w:pPr>
      <w:rPr>
        <w:rFonts w:ascii="Arial" w:hAnsi="Arial" w:hint="default"/>
      </w:rPr>
    </w:lvl>
    <w:lvl w:ilvl="8" w:tplc="D2DE301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3CF6CDC"/>
    <w:multiLevelType w:val="multilevel"/>
    <w:tmpl w:val="EF20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B5587B"/>
    <w:multiLevelType w:val="hybridMultilevel"/>
    <w:tmpl w:val="59B014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6C225AD"/>
    <w:multiLevelType w:val="hybridMultilevel"/>
    <w:tmpl w:val="237CCB50"/>
    <w:lvl w:ilvl="0" w:tplc="5C8CCEB6">
      <w:start w:val="1"/>
      <w:numFmt w:val="bullet"/>
      <w:lvlText w:val="•"/>
      <w:lvlJc w:val="left"/>
      <w:pPr>
        <w:tabs>
          <w:tab w:val="num" w:pos="720"/>
        </w:tabs>
        <w:ind w:left="720" w:hanging="360"/>
      </w:pPr>
      <w:rPr>
        <w:rFonts w:ascii="Arial" w:hAnsi="Arial" w:hint="default"/>
      </w:rPr>
    </w:lvl>
    <w:lvl w:ilvl="1" w:tplc="A7CA5A3E" w:tentative="1">
      <w:start w:val="1"/>
      <w:numFmt w:val="bullet"/>
      <w:lvlText w:val="•"/>
      <w:lvlJc w:val="left"/>
      <w:pPr>
        <w:tabs>
          <w:tab w:val="num" w:pos="1440"/>
        </w:tabs>
        <w:ind w:left="1440" w:hanging="360"/>
      </w:pPr>
      <w:rPr>
        <w:rFonts w:ascii="Arial" w:hAnsi="Arial" w:hint="default"/>
      </w:rPr>
    </w:lvl>
    <w:lvl w:ilvl="2" w:tplc="7580469A" w:tentative="1">
      <w:start w:val="1"/>
      <w:numFmt w:val="bullet"/>
      <w:lvlText w:val="•"/>
      <w:lvlJc w:val="left"/>
      <w:pPr>
        <w:tabs>
          <w:tab w:val="num" w:pos="2160"/>
        </w:tabs>
        <w:ind w:left="2160" w:hanging="360"/>
      </w:pPr>
      <w:rPr>
        <w:rFonts w:ascii="Arial" w:hAnsi="Arial" w:hint="default"/>
      </w:rPr>
    </w:lvl>
    <w:lvl w:ilvl="3" w:tplc="FDEAB328" w:tentative="1">
      <w:start w:val="1"/>
      <w:numFmt w:val="bullet"/>
      <w:lvlText w:val="•"/>
      <w:lvlJc w:val="left"/>
      <w:pPr>
        <w:tabs>
          <w:tab w:val="num" w:pos="2880"/>
        </w:tabs>
        <w:ind w:left="2880" w:hanging="360"/>
      </w:pPr>
      <w:rPr>
        <w:rFonts w:ascii="Arial" w:hAnsi="Arial" w:hint="default"/>
      </w:rPr>
    </w:lvl>
    <w:lvl w:ilvl="4" w:tplc="7BFA913C" w:tentative="1">
      <w:start w:val="1"/>
      <w:numFmt w:val="bullet"/>
      <w:lvlText w:val="•"/>
      <w:lvlJc w:val="left"/>
      <w:pPr>
        <w:tabs>
          <w:tab w:val="num" w:pos="3600"/>
        </w:tabs>
        <w:ind w:left="3600" w:hanging="360"/>
      </w:pPr>
      <w:rPr>
        <w:rFonts w:ascii="Arial" w:hAnsi="Arial" w:hint="default"/>
      </w:rPr>
    </w:lvl>
    <w:lvl w:ilvl="5" w:tplc="102A7660" w:tentative="1">
      <w:start w:val="1"/>
      <w:numFmt w:val="bullet"/>
      <w:lvlText w:val="•"/>
      <w:lvlJc w:val="left"/>
      <w:pPr>
        <w:tabs>
          <w:tab w:val="num" w:pos="4320"/>
        </w:tabs>
        <w:ind w:left="4320" w:hanging="360"/>
      </w:pPr>
      <w:rPr>
        <w:rFonts w:ascii="Arial" w:hAnsi="Arial" w:hint="default"/>
      </w:rPr>
    </w:lvl>
    <w:lvl w:ilvl="6" w:tplc="B128EE0A" w:tentative="1">
      <w:start w:val="1"/>
      <w:numFmt w:val="bullet"/>
      <w:lvlText w:val="•"/>
      <w:lvlJc w:val="left"/>
      <w:pPr>
        <w:tabs>
          <w:tab w:val="num" w:pos="5040"/>
        </w:tabs>
        <w:ind w:left="5040" w:hanging="360"/>
      </w:pPr>
      <w:rPr>
        <w:rFonts w:ascii="Arial" w:hAnsi="Arial" w:hint="default"/>
      </w:rPr>
    </w:lvl>
    <w:lvl w:ilvl="7" w:tplc="AD262D80" w:tentative="1">
      <w:start w:val="1"/>
      <w:numFmt w:val="bullet"/>
      <w:lvlText w:val="•"/>
      <w:lvlJc w:val="left"/>
      <w:pPr>
        <w:tabs>
          <w:tab w:val="num" w:pos="5760"/>
        </w:tabs>
        <w:ind w:left="5760" w:hanging="360"/>
      </w:pPr>
      <w:rPr>
        <w:rFonts w:ascii="Arial" w:hAnsi="Arial" w:hint="default"/>
      </w:rPr>
    </w:lvl>
    <w:lvl w:ilvl="8" w:tplc="FB929D2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AB064BF"/>
    <w:multiLevelType w:val="hybridMultilevel"/>
    <w:tmpl w:val="A5DC82B0"/>
    <w:lvl w:ilvl="0" w:tplc="F7D8C804">
      <w:start w:val="1"/>
      <w:numFmt w:val="bullet"/>
      <w:lvlText w:val="•"/>
      <w:lvlJc w:val="left"/>
      <w:pPr>
        <w:tabs>
          <w:tab w:val="num" w:pos="720"/>
        </w:tabs>
        <w:ind w:left="720" w:hanging="360"/>
      </w:pPr>
      <w:rPr>
        <w:rFonts w:ascii="Arial" w:hAnsi="Arial" w:hint="default"/>
      </w:rPr>
    </w:lvl>
    <w:lvl w:ilvl="1" w:tplc="E7567B8E" w:tentative="1">
      <w:start w:val="1"/>
      <w:numFmt w:val="bullet"/>
      <w:lvlText w:val="•"/>
      <w:lvlJc w:val="left"/>
      <w:pPr>
        <w:tabs>
          <w:tab w:val="num" w:pos="1440"/>
        </w:tabs>
        <w:ind w:left="1440" w:hanging="360"/>
      </w:pPr>
      <w:rPr>
        <w:rFonts w:ascii="Arial" w:hAnsi="Arial" w:hint="default"/>
      </w:rPr>
    </w:lvl>
    <w:lvl w:ilvl="2" w:tplc="9754EAE2" w:tentative="1">
      <w:start w:val="1"/>
      <w:numFmt w:val="bullet"/>
      <w:lvlText w:val="•"/>
      <w:lvlJc w:val="left"/>
      <w:pPr>
        <w:tabs>
          <w:tab w:val="num" w:pos="2160"/>
        </w:tabs>
        <w:ind w:left="2160" w:hanging="360"/>
      </w:pPr>
      <w:rPr>
        <w:rFonts w:ascii="Arial" w:hAnsi="Arial" w:hint="default"/>
      </w:rPr>
    </w:lvl>
    <w:lvl w:ilvl="3" w:tplc="9D7E63FA" w:tentative="1">
      <w:start w:val="1"/>
      <w:numFmt w:val="bullet"/>
      <w:lvlText w:val="•"/>
      <w:lvlJc w:val="left"/>
      <w:pPr>
        <w:tabs>
          <w:tab w:val="num" w:pos="2880"/>
        </w:tabs>
        <w:ind w:left="2880" w:hanging="360"/>
      </w:pPr>
      <w:rPr>
        <w:rFonts w:ascii="Arial" w:hAnsi="Arial" w:hint="default"/>
      </w:rPr>
    </w:lvl>
    <w:lvl w:ilvl="4" w:tplc="071884A2" w:tentative="1">
      <w:start w:val="1"/>
      <w:numFmt w:val="bullet"/>
      <w:lvlText w:val="•"/>
      <w:lvlJc w:val="left"/>
      <w:pPr>
        <w:tabs>
          <w:tab w:val="num" w:pos="3600"/>
        </w:tabs>
        <w:ind w:left="3600" w:hanging="360"/>
      </w:pPr>
      <w:rPr>
        <w:rFonts w:ascii="Arial" w:hAnsi="Arial" w:hint="default"/>
      </w:rPr>
    </w:lvl>
    <w:lvl w:ilvl="5" w:tplc="D0168694" w:tentative="1">
      <w:start w:val="1"/>
      <w:numFmt w:val="bullet"/>
      <w:lvlText w:val="•"/>
      <w:lvlJc w:val="left"/>
      <w:pPr>
        <w:tabs>
          <w:tab w:val="num" w:pos="4320"/>
        </w:tabs>
        <w:ind w:left="4320" w:hanging="360"/>
      </w:pPr>
      <w:rPr>
        <w:rFonts w:ascii="Arial" w:hAnsi="Arial" w:hint="default"/>
      </w:rPr>
    </w:lvl>
    <w:lvl w:ilvl="6" w:tplc="4574FE8E" w:tentative="1">
      <w:start w:val="1"/>
      <w:numFmt w:val="bullet"/>
      <w:lvlText w:val="•"/>
      <w:lvlJc w:val="left"/>
      <w:pPr>
        <w:tabs>
          <w:tab w:val="num" w:pos="5040"/>
        </w:tabs>
        <w:ind w:left="5040" w:hanging="360"/>
      </w:pPr>
      <w:rPr>
        <w:rFonts w:ascii="Arial" w:hAnsi="Arial" w:hint="default"/>
      </w:rPr>
    </w:lvl>
    <w:lvl w:ilvl="7" w:tplc="4F6E931E" w:tentative="1">
      <w:start w:val="1"/>
      <w:numFmt w:val="bullet"/>
      <w:lvlText w:val="•"/>
      <w:lvlJc w:val="left"/>
      <w:pPr>
        <w:tabs>
          <w:tab w:val="num" w:pos="5760"/>
        </w:tabs>
        <w:ind w:left="5760" w:hanging="360"/>
      </w:pPr>
      <w:rPr>
        <w:rFonts w:ascii="Arial" w:hAnsi="Arial" w:hint="default"/>
      </w:rPr>
    </w:lvl>
    <w:lvl w:ilvl="8" w:tplc="8194942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1CB6E93"/>
    <w:multiLevelType w:val="hybridMultilevel"/>
    <w:tmpl w:val="8626FB34"/>
    <w:lvl w:ilvl="0" w:tplc="ACA249CA">
      <w:start w:val="1"/>
      <w:numFmt w:val="bullet"/>
      <w:lvlText w:val="•"/>
      <w:lvlJc w:val="left"/>
      <w:pPr>
        <w:tabs>
          <w:tab w:val="num" w:pos="720"/>
        </w:tabs>
        <w:ind w:left="720" w:hanging="360"/>
      </w:pPr>
      <w:rPr>
        <w:rFonts w:ascii="Arial" w:hAnsi="Arial" w:hint="default"/>
      </w:rPr>
    </w:lvl>
    <w:lvl w:ilvl="1" w:tplc="1E74CFF2" w:tentative="1">
      <w:start w:val="1"/>
      <w:numFmt w:val="bullet"/>
      <w:lvlText w:val="•"/>
      <w:lvlJc w:val="left"/>
      <w:pPr>
        <w:tabs>
          <w:tab w:val="num" w:pos="1440"/>
        </w:tabs>
        <w:ind w:left="1440" w:hanging="360"/>
      </w:pPr>
      <w:rPr>
        <w:rFonts w:ascii="Arial" w:hAnsi="Arial" w:hint="default"/>
      </w:rPr>
    </w:lvl>
    <w:lvl w:ilvl="2" w:tplc="1EB2E358" w:tentative="1">
      <w:start w:val="1"/>
      <w:numFmt w:val="bullet"/>
      <w:lvlText w:val="•"/>
      <w:lvlJc w:val="left"/>
      <w:pPr>
        <w:tabs>
          <w:tab w:val="num" w:pos="2160"/>
        </w:tabs>
        <w:ind w:left="2160" w:hanging="360"/>
      </w:pPr>
      <w:rPr>
        <w:rFonts w:ascii="Arial" w:hAnsi="Arial" w:hint="default"/>
      </w:rPr>
    </w:lvl>
    <w:lvl w:ilvl="3" w:tplc="4AEE005A" w:tentative="1">
      <w:start w:val="1"/>
      <w:numFmt w:val="bullet"/>
      <w:lvlText w:val="•"/>
      <w:lvlJc w:val="left"/>
      <w:pPr>
        <w:tabs>
          <w:tab w:val="num" w:pos="2880"/>
        </w:tabs>
        <w:ind w:left="2880" w:hanging="360"/>
      </w:pPr>
      <w:rPr>
        <w:rFonts w:ascii="Arial" w:hAnsi="Arial" w:hint="default"/>
      </w:rPr>
    </w:lvl>
    <w:lvl w:ilvl="4" w:tplc="D1A89E82" w:tentative="1">
      <w:start w:val="1"/>
      <w:numFmt w:val="bullet"/>
      <w:lvlText w:val="•"/>
      <w:lvlJc w:val="left"/>
      <w:pPr>
        <w:tabs>
          <w:tab w:val="num" w:pos="3600"/>
        </w:tabs>
        <w:ind w:left="3600" w:hanging="360"/>
      </w:pPr>
      <w:rPr>
        <w:rFonts w:ascii="Arial" w:hAnsi="Arial" w:hint="default"/>
      </w:rPr>
    </w:lvl>
    <w:lvl w:ilvl="5" w:tplc="542EE12C" w:tentative="1">
      <w:start w:val="1"/>
      <w:numFmt w:val="bullet"/>
      <w:lvlText w:val="•"/>
      <w:lvlJc w:val="left"/>
      <w:pPr>
        <w:tabs>
          <w:tab w:val="num" w:pos="4320"/>
        </w:tabs>
        <w:ind w:left="4320" w:hanging="360"/>
      </w:pPr>
      <w:rPr>
        <w:rFonts w:ascii="Arial" w:hAnsi="Arial" w:hint="default"/>
      </w:rPr>
    </w:lvl>
    <w:lvl w:ilvl="6" w:tplc="0ED8D45A" w:tentative="1">
      <w:start w:val="1"/>
      <w:numFmt w:val="bullet"/>
      <w:lvlText w:val="•"/>
      <w:lvlJc w:val="left"/>
      <w:pPr>
        <w:tabs>
          <w:tab w:val="num" w:pos="5040"/>
        </w:tabs>
        <w:ind w:left="5040" w:hanging="360"/>
      </w:pPr>
      <w:rPr>
        <w:rFonts w:ascii="Arial" w:hAnsi="Arial" w:hint="default"/>
      </w:rPr>
    </w:lvl>
    <w:lvl w:ilvl="7" w:tplc="FAE0095C" w:tentative="1">
      <w:start w:val="1"/>
      <w:numFmt w:val="bullet"/>
      <w:lvlText w:val="•"/>
      <w:lvlJc w:val="left"/>
      <w:pPr>
        <w:tabs>
          <w:tab w:val="num" w:pos="5760"/>
        </w:tabs>
        <w:ind w:left="5760" w:hanging="360"/>
      </w:pPr>
      <w:rPr>
        <w:rFonts w:ascii="Arial" w:hAnsi="Arial" w:hint="default"/>
      </w:rPr>
    </w:lvl>
    <w:lvl w:ilvl="8" w:tplc="630AE24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6E0749C"/>
    <w:multiLevelType w:val="hybridMultilevel"/>
    <w:tmpl w:val="887A47D4"/>
    <w:lvl w:ilvl="0" w:tplc="E818948A">
      <w:start w:val="1"/>
      <w:numFmt w:val="bullet"/>
      <w:lvlText w:val="•"/>
      <w:lvlJc w:val="left"/>
      <w:pPr>
        <w:tabs>
          <w:tab w:val="num" w:pos="720"/>
        </w:tabs>
        <w:ind w:left="720" w:hanging="360"/>
      </w:pPr>
      <w:rPr>
        <w:rFonts w:ascii="Arial" w:hAnsi="Arial" w:hint="default"/>
      </w:rPr>
    </w:lvl>
    <w:lvl w:ilvl="1" w:tplc="1F9CFD24" w:tentative="1">
      <w:start w:val="1"/>
      <w:numFmt w:val="bullet"/>
      <w:lvlText w:val="•"/>
      <w:lvlJc w:val="left"/>
      <w:pPr>
        <w:tabs>
          <w:tab w:val="num" w:pos="1440"/>
        </w:tabs>
        <w:ind w:left="1440" w:hanging="360"/>
      </w:pPr>
      <w:rPr>
        <w:rFonts w:ascii="Arial" w:hAnsi="Arial" w:hint="default"/>
      </w:rPr>
    </w:lvl>
    <w:lvl w:ilvl="2" w:tplc="EC6A2618" w:tentative="1">
      <w:start w:val="1"/>
      <w:numFmt w:val="bullet"/>
      <w:lvlText w:val="•"/>
      <w:lvlJc w:val="left"/>
      <w:pPr>
        <w:tabs>
          <w:tab w:val="num" w:pos="2160"/>
        </w:tabs>
        <w:ind w:left="2160" w:hanging="360"/>
      </w:pPr>
      <w:rPr>
        <w:rFonts w:ascii="Arial" w:hAnsi="Arial" w:hint="default"/>
      </w:rPr>
    </w:lvl>
    <w:lvl w:ilvl="3" w:tplc="ED6864EE" w:tentative="1">
      <w:start w:val="1"/>
      <w:numFmt w:val="bullet"/>
      <w:lvlText w:val="•"/>
      <w:lvlJc w:val="left"/>
      <w:pPr>
        <w:tabs>
          <w:tab w:val="num" w:pos="2880"/>
        </w:tabs>
        <w:ind w:left="2880" w:hanging="360"/>
      </w:pPr>
      <w:rPr>
        <w:rFonts w:ascii="Arial" w:hAnsi="Arial" w:hint="default"/>
      </w:rPr>
    </w:lvl>
    <w:lvl w:ilvl="4" w:tplc="61E036CA" w:tentative="1">
      <w:start w:val="1"/>
      <w:numFmt w:val="bullet"/>
      <w:lvlText w:val="•"/>
      <w:lvlJc w:val="left"/>
      <w:pPr>
        <w:tabs>
          <w:tab w:val="num" w:pos="3600"/>
        </w:tabs>
        <w:ind w:left="3600" w:hanging="360"/>
      </w:pPr>
      <w:rPr>
        <w:rFonts w:ascii="Arial" w:hAnsi="Arial" w:hint="default"/>
      </w:rPr>
    </w:lvl>
    <w:lvl w:ilvl="5" w:tplc="4FD04324" w:tentative="1">
      <w:start w:val="1"/>
      <w:numFmt w:val="bullet"/>
      <w:lvlText w:val="•"/>
      <w:lvlJc w:val="left"/>
      <w:pPr>
        <w:tabs>
          <w:tab w:val="num" w:pos="4320"/>
        </w:tabs>
        <w:ind w:left="4320" w:hanging="360"/>
      </w:pPr>
      <w:rPr>
        <w:rFonts w:ascii="Arial" w:hAnsi="Arial" w:hint="default"/>
      </w:rPr>
    </w:lvl>
    <w:lvl w:ilvl="6" w:tplc="2B66580A" w:tentative="1">
      <w:start w:val="1"/>
      <w:numFmt w:val="bullet"/>
      <w:lvlText w:val="•"/>
      <w:lvlJc w:val="left"/>
      <w:pPr>
        <w:tabs>
          <w:tab w:val="num" w:pos="5040"/>
        </w:tabs>
        <w:ind w:left="5040" w:hanging="360"/>
      </w:pPr>
      <w:rPr>
        <w:rFonts w:ascii="Arial" w:hAnsi="Arial" w:hint="default"/>
      </w:rPr>
    </w:lvl>
    <w:lvl w:ilvl="7" w:tplc="DD5E1CCE" w:tentative="1">
      <w:start w:val="1"/>
      <w:numFmt w:val="bullet"/>
      <w:lvlText w:val="•"/>
      <w:lvlJc w:val="left"/>
      <w:pPr>
        <w:tabs>
          <w:tab w:val="num" w:pos="5760"/>
        </w:tabs>
        <w:ind w:left="5760" w:hanging="360"/>
      </w:pPr>
      <w:rPr>
        <w:rFonts w:ascii="Arial" w:hAnsi="Arial" w:hint="default"/>
      </w:rPr>
    </w:lvl>
    <w:lvl w:ilvl="8" w:tplc="6128BFC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8AC6505"/>
    <w:multiLevelType w:val="hybridMultilevel"/>
    <w:tmpl w:val="5C92C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0C518B"/>
    <w:multiLevelType w:val="multilevel"/>
    <w:tmpl w:val="3426E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F94378"/>
    <w:multiLevelType w:val="hybridMultilevel"/>
    <w:tmpl w:val="477CE982"/>
    <w:lvl w:ilvl="0" w:tplc="C3E83CFE">
      <w:start w:val="1"/>
      <w:numFmt w:val="bullet"/>
      <w:lvlText w:val="•"/>
      <w:lvlJc w:val="left"/>
      <w:pPr>
        <w:tabs>
          <w:tab w:val="num" w:pos="720"/>
        </w:tabs>
        <w:ind w:left="720" w:hanging="360"/>
      </w:pPr>
      <w:rPr>
        <w:rFonts w:ascii="Arial" w:hAnsi="Arial" w:hint="default"/>
      </w:rPr>
    </w:lvl>
    <w:lvl w:ilvl="1" w:tplc="69380FFA" w:tentative="1">
      <w:start w:val="1"/>
      <w:numFmt w:val="bullet"/>
      <w:lvlText w:val="•"/>
      <w:lvlJc w:val="left"/>
      <w:pPr>
        <w:tabs>
          <w:tab w:val="num" w:pos="1440"/>
        </w:tabs>
        <w:ind w:left="1440" w:hanging="360"/>
      </w:pPr>
      <w:rPr>
        <w:rFonts w:ascii="Arial" w:hAnsi="Arial" w:hint="default"/>
      </w:rPr>
    </w:lvl>
    <w:lvl w:ilvl="2" w:tplc="4738BF20" w:tentative="1">
      <w:start w:val="1"/>
      <w:numFmt w:val="bullet"/>
      <w:lvlText w:val="•"/>
      <w:lvlJc w:val="left"/>
      <w:pPr>
        <w:tabs>
          <w:tab w:val="num" w:pos="2160"/>
        </w:tabs>
        <w:ind w:left="2160" w:hanging="360"/>
      </w:pPr>
      <w:rPr>
        <w:rFonts w:ascii="Arial" w:hAnsi="Arial" w:hint="default"/>
      </w:rPr>
    </w:lvl>
    <w:lvl w:ilvl="3" w:tplc="D508212C" w:tentative="1">
      <w:start w:val="1"/>
      <w:numFmt w:val="bullet"/>
      <w:lvlText w:val="•"/>
      <w:lvlJc w:val="left"/>
      <w:pPr>
        <w:tabs>
          <w:tab w:val="num" w:pos="2880"/>
        </w:tabs>
        <w:ind w:left="2880" w:hanging="360"/>
      </w:pPr>
      <w:rPr>
        <w:rFonts w:ascii="Arial" w:hAnsi="Arial" w:hint="default"/>
      </w:rPr>
    </w:lvl>
    <w:lvl w:ilvl="4" w:tplc="0BDC64B6" w:tentative="1">
      <w:start w:val="1"/>
      <w:numFmt w:val="bullet"/>
      <w:lvlText w:val="•"/>
      <w:lvlJc w:val="left"/>
      <w:pPr>
        <w:tabs>
          <w:tab w:val="num" w:pos="3600"/>
        </w:tabs>
        <w:ind w:left="3600" w:hanging="360"/>
      </w:pPr>
      <w:rPr>
        <w:rFonts w:ascii="Arial" w:hAnsi="Arial" w:hint="default"/>
      </w:rPr>
    </w:lvl>
    <w:lvl w:ilvl="5" w:tplc="30B8761E" w:tentative="1">
      <w:start w:val="1"/>
      <w:numFmt w:val="bullet"/>
      <w:lvlText w:val="•"/>
      <w:lvlJc w:val="left"/>
      <w:pPr>
        <w:tabs>
          <w:tab w:val="num" w:pos="4320"/>
        </w:tabs>
        <w:ind w:left="4320" w:hanging="360"/>
      </w:pPr>
      <w:rPr>
        <w:rFonts w:ascii="Arial" w:hAnsi="Arial" w:hint="default"/>
      </w:rPr>
    </w:lvl>
    <w:lvl w:ilvl="6" w:tplc="C2605FFA" w:tentative="1">
      <w:start w:val="1"/>
      <w:numFmt w:val="bullet"/>
      <w:lvlText w:val="•"/>
      <w:lvlJc w:val="left"/>
      <w:pPr>
        <w:tabs>
          <w:tab w:val="num" w:pos="5040"/>
        </w:tabs>
        <w:ind w:left="5040" w:hanging="360"/>
      </w:pPr>
      <w:rPr>
        <w:rFonts w:ascii="Arial" w:hAnsi="Arial" w:hint="default"/>
      </w:rPr>
    </w:lvl>
    <w:lvl w:ilvl="7" w:tplc="820211B4" w:tentative="1">
      <w:start w:val="1"/>
      <w:numFmt w:val="bullet"/>
      <w:lvlText w:val="•"/>
      <w:lvlJc w:val="left"/>
      <w:pPr>
        <w:tabs>
          <w:tab w:val="num" w:pos="5760"/>
        </w:tabs>
        <w:ind w:left="5760" w:hanging="360"/>
      </w:pPr>
      <w:rPr>
        <w:rFonts w:ascii="Arial" w:hAnsi="Arial" w:hint="default"/>
      </w:rPr>
    </w:lvl>
    <w:lvl w:ilvl="8" w:tplc="ACB64C3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2E214F3"/>
    <w:multiLevelType w:val="hybridMultilevel"/>
    <w:tmpl w:val="E3E8CB44"/>
    <w:lvl w:ilvl="0" w:tplc="AB40455E">
      <w:start w:val="1"/>
      <w:numFmt w:val="bullet"/>
      <w:lvlText w:val="•"/>
      <w:lvlJc w:val="left"/>
      <w:pPr>
        <w:tabs>
          <w:tab w:val="num" w:pos="720"/>
        </w:tabs>
        <w:ind w:left="720" w:hanging="360"/>
      </w:pPr>
      <w:rPr>
        <w:rFonts w:ascii="Arial" w:hAnsi="Arial" w:hint="default"/>
      </w:rPr>
    </w:lvl>
    <w:lvl w:ilvl="1" w:tplc="A1188322" w:tentative="1">
      <w:start w:val="1"/>
      <w:numFmt w:val="bullet"/>
      <w:lvlText w:val="•"/>
      <w:lvlJc w:val="left"/>
      <w:pPr>
        <w:tabs>
          <w:tab w:val="num" w:pos="1440"/>
        </w:tabs>
        <w:ind w:left="1440" w:hanging="360"/>
      </w:pPr>
      <w:rPr>
        <w:rFonts w:ascii="Arial" w:hAnsi="Arial" w:hint="default"/>
      </w:rPr>
    </w:lvl>
    <w:lvl w:ilvl="2" w:tplc="1194D99E" w:tentative="1">
      <w:start w:val="1"/>
      <w:numFmt w:val="bullet"/>
      <w:lvlText w:val="•"/>
      <w:lvlJc w:val="left"/>
      <w:pPr>
        <w:tabs>
          <w:tab w:val="num" w:pos="2160"/>
        </w:tabs>
        <w:ind w:left="2160" w:hanging="360"/>
      </w:pPr>
      <w:rPr>
        <w:rFonts w:ascii="Arial" w:hAnsi="Arial" w:hint="default"/>
      </w:rPr>
    </w:lvl>
    <w:lvl w:ilvl="3" w:tplc="096A8012" w:tentative="1">
      <w:start w:val="1"/>
      <w:numFmt w:val="bullet"/>
      <w:lvlText w:val="•"/>
      <w:lvlJc w:val="left"/>
      <w:pPr>
        <w:tabs>
          <w:tab w:val="num" w:pos="2880"/>
        </w:tabs>
        <w:ind w:left="2880" w:hanging="360"/>
      </w:pPr>
      <w:rPr>
        <w:rFonts w:ascii="Arial" w:hAnsi="Arial" w:hint="default"/>
      </w:rPr>
    </w:lvl>
    <w:lvl w:ilvl="4" w:tplc="B1DA95E6" w:tentative="1">
      <w:start w:val="1"/>
      <w:numFmt w:val="bullet"/>
      <w:lvlText w:val="•"/>
      <w:lvlJc w:val="left"/>
      <w:pPr>
        <w:tabs>
          <w:tab w:val="num" w:pos="3600"/>
        </w:tabs>
        <w:ind w:left="3600" w:hanging="360"/>
      </w:pPr>
      <w:rPr>
        <w:rFonts w:ascii="Arial" w:hAnsi="Arial" w:hint="default"/>
      </w:rPr>
    </w:lvl>
    <w:lvl w:ilvl="5" w:tplc="369E9C5E" w:tentative="1">
      <w:start w:val="1"/>
      <w:numFmt w:val="bullet"/>
      <w:lvlText w:val="•"/>
      <w:lvlJc w:val="left"/>
      <w:pPr>
        <w:tabs>
          <w:tab w:val="num" w:pos="4320"/>
        </w:tabs>
        <w:ind w:left="4320" w:hanging="360"/>
      </w:pPr>
      <w:rPr>
        <w:rFonts w:ascii="Arial" w:hAnsi="Arial" w:hint="default"/>
      </w:rPr>
    </w:lvl>
    <w:lvl w:ilvl="6" w:tplc="5D0876E2" w:tentative="1">
      <w:start w:val="1"/>
      <w:numFmt w:val="bullet"/>
      <w:lvlText w:val="•"/>
      <w:lvlJc w:val="left"/>
      <w:pPr>
        <w:tabs>
          <w:tab w:val="num" w:pos="5040"/>
        </w:tabs>
        <w:ind w:left="5040" w:hanging="360"/>
      </w:pPr>
      <w:rPr>
        <w:rFonts w:ascii="Arial" w:hAnsi="Arial" w:hint="default"/>
      </w:rPr>
    </w:lvl>
    <w:lvl w:ilvl="7" w:tplc="20269798" w:tentative="1">
      <w:start w:val="1"/>
      <w:numFmt w:val="bullet"/>
      <w:lvlText w:val="•"/>
      <w:lvlJc w:val="left"/>
      <w:pPr>
        <w:tabs>
          <w:tab w:val="num" w:pos="5760"/>
        </w:tabs>
        <w:ind w:left="5760" w:hanging="360"/>
      </w:pPr>
      <w:rPr>
        <w:rFonts w:ascii="Arial" w:hAnsi="Arial" w:hint="default"/>
      </w:rPr>
    </w:lvl>
    <w:lvl w:ilvl="8" w:tplc="3C8C14B6"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55935C3"/>
    <w:multiLevelType w:val="hybridMultilevel"/>
    <w:tmpl w:val="6226BD86"/>
    <w:lvl w:ilvl="0" w:tplc="5106DB5C">
      <w:start w:val="1"/>
      <w:numFmt w:val="bullet"/>
      <w:lvlText w:val="•"/>
      <w:lvlJc w:val="left"/>
      <w:pPr>
        <w:tabs>
          <w:tab w:val="num" w:pos="720"/>
        </w:tabs>
        <w:ind w:left="720" w:hanging="360"/>
      </w:pPr>
      <w:rPr>
        <w:rFonts w:ascii="Arial" w:hAnsi="Arial" w:hint="default"/>
      </w:rPr>
    </w:lvl>
    <w:lvl w:ilvl="1" w:tplc="15B89B06" w:tentative="1">
      <w:start w:val="1"/>
      <w:numFmt w:val="bullet"/>
      <w:lvlText w:val="•"/>
      <w:lvlJc w:val="left"/>
      <w:pPr>
        <w:tabs>
          <w:tab w:val="num" w:pos="1440"/>
        </w:tabs>
        <w:ind w:left="1440" w:hanging="360"/>
      </w:pPr>
      <w:rPr>
        <w:rFonts w:ascii="Arial" w:hAnsi="Arial" w:hint="default"/>
      </w:rPr>
    </w:lvl>
    <w:lvl w:ilvl="2" w:tplc="9DECD7FC" w:tentative="1">
      <w:start w:val="1"/>
      <w:numFmt w:val="bullet"/>
      <w:lvlText w:val="•"/>
      <w:lvlJc w:val="left"/>
      <w:pPr>
        <w:tabs>
          <w:tab w:val="num" w:pos="2160"/>
        </w:tabs>
        <w:ind w:left="2160" w:hanging="360"/>
      </w:pPr>
      <w:rPr>
        <w:rFonts w:ascii="Arial" w:hAnsi="Arial" w:hint="default"/>
      </w:rPr>
    </w:lvl>
    <w:lvl w:ilvl="3" w:tplc="61CA0E2C" w:tentative="1">
      <w:start w:val="1"/>
      <w:numFmt w:val="bullet"/>
      <w:lvlText w:val="•"/>
      <w:lvlJc w:val="left"/>
      <w:pPr>
        <w:tabs>
          <w:tab w:val="num" w:pos="2880"/>
        </w:tabs>
        <w:ind w:left="2880" w:hanging="360"/>
      </w:pPr>
      <w:rPr>
        <w:rFonts w:ascii="Arial" w:hAnsi="Arial" w:hint="default"/>
      </w:rPr>
    </w:lvl>
    <w:lvl w:ilvl="4" w:tplc="10C6D004" w:tentative="1">
      <w:start w:val="1"/>
      <w:numFmt w:val="bullet"/>
      <w:lvlText w:val="•"/>
      <w:lvlJc w:val="left"/>
      <w:pPr>
        <w:tabs>
          <w:tab w:val="num" w:pos="3600"/>
        </w:tabs>
        <w:ind w:left="3600" w:hanging="360"/>
      </w:pPr>
      <w:rPr>
        <w:rFonts w:ascii="Arial" w:hAnsi="Arial" w:hint="default"/>
      </w:rPr>
    </w:lvl>
    <w:lvl w:ilvl="5" w:tplc="C8A861B4" w:tentative="1">
      <w:start w:val="1"/>
      <w:numFmt w:val="bullet"/>
      <w:lvlText w:val="•"/>
      <w:lvlJc w:val="left"/>
      <w:pPr>
        <w:tabs>
          <w:tab w:val="num" w:pos="4320"/>
        </w:tabs>
        <w:ind w:left="4320" w:hanging="360"/>
      </w:pPr>
      <w:rPr>
        <w:rFonts w:ascii="Arial" w:hAnsi="Arial" w:hint="default"/>
      </w:rPr>
    </w:lvl>
    <w:lvl w:ilvl="6" w:tplc="A4225DBC" w:tentative="1">
      <w:start w:val="1"/>
      <w:numFmt w:val="bullet"/>
      <w:lvlText w:val="•"/>
      <w:lvlJc w:val="left"/>
      <w:pPr>
        <w:tabs>
          <w:tab w:val="num" w:pos="5040"/>
        </w:tabs>
        <w:ind w:left="5040" w:hanging="360"/>
      </w:pPr>
      <w:rPr>
        <w:rFonts w:ascii="Arial" w:hAnsi="Arial" w:hint="default"/>
      </w:rPr>
    </w:lvl>
    <w:lvl w:ilvl="7" w:tplc="726E46EE" w:tentative="1">
      <w:start w:val="1"/>
      <w:numFmt w:val="bullet"/>
      <w:lvlText w:val="•"/>
      <w:lvlJc w:val="left"/>
      <w:pPr>
        <w:tabs>
          <w:tab w:val="num" w:pos="5760"/>
        </w:tabs>
        <w:ind w:left="5760" w:hanging="360"/>
      </w:pPr>
      <w:rPr>
        <w:rFonts w:ascii="Arial" w:hAnsi="Arial" w:hint="default"/>
      </w:rPr>
    </w:lvl>
    <w:lvl w:ilvl="8" w:tplc="B04CF36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650348A"/>
    <w:multiLevelType w:val="hybridMultilevel"/>
    <w:tmpl w:val="BDDAF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9613CE"/>
    <w:multiLevelType w:val="hybridMultilevel"/>
    <w:tmpl w:val="F4BEE704"/>
    <w:lvl w:ilvl="0" w:tplc="2562696A">
      <w:start w:val="1"/>
      <w:numFmt w:val="bullet"/>
      <w:lvlText w:val="•"/>
      <w:lvlJc w:val="left"/>
      <w:pPr>
        <w:tabs>
          <w:tab w:val="num" w:pos="720"/>
        </w:tabs>
        <w:ind w:left="720" w:hanging="360"/>
      </w:pPr>
      <w:rPr>
        <w:rFonts w:ascii="Arial" w:hAnsi="Arial" w:hint="default"/>
      </w:rPr>
    </w:lvl>
    <w:lvl w:ilvl="1" w:tplc="85208BE6" w:tentative="1">
      <w:start w:val="1"/>
      <w:numFmt w:val="bullet"/>
      <w:lvlText w:val="•"/>
      <w:lvlJc w:val="left"/>
      <w:pPr>
        <w:tabs>
          <w:tab w:val="num" w:pos="1440"/>
        </w:tabs>
        <w:ind w:left="1440" w:hanging="360"/>
      </w:pPr>
      <w:rPr>
        <w:rFonts w:ascii="Arial" w:hAnsi="Arial" w:hint="default"/>
      </w:rPr>
    </w:lvl>
    <w:lvl w:ilvl="2" w:tplc="61A2FA30" w:tentative="1">
      <w:start w:val="1"/>
      <w:numFmt w:val="bullet"/>
      <w:lvlText w:val="•"/>
      <w:lvlJc w:val="left"/>
      <w:pPr>
        <w:tabs>
          <w:tab w:val="num" w:pos="2160"/>
        </w:tabs>
        <w:ind w:left="2160" w:hanging="360"/>
      </w:pPr>
      <w:rPr>
        <w:rFonts w:ascii="Arial" w:hAnsi="Arial" w:hint="default"/>
      </w:rPr>
    </w:lvl>
    <w:lvl w:ilvl="3" w:tplc="8B84ADC8" w:tentative="1">
      <w:start w:val="1"/>
      <w:numFmt w:val="bullet"/>
      <w:lvlText w:val="•"/>
      <w:lvlJc w:val="left"/>
      <w:pPr>
        <w:tabs>
          <w:tab w:val="num" w:pos="2880"/>
        </w:tabs>
        <w:ind w:left="2880" w:hanging="360"/>
      </w:pPr>
      <w:rPr>
        <w:rFonts w:ascii="Arial" w:hAnsi="Arial" w:hint="default"/>
      </w:rPr>
    </w:lvl>
    <w:lvl w:ilvl="4" w:tplc="6972B436" w:tentative="1">
      <w:start w:val="1"/>
      <w:numFmt w:val="bullet"/>
      <w:lvlText w:val="•"/>
      <w:lvlJc w:val="left"/>
      <w:pPr>
        <w:tabs>
          <w:tab w:val="num" w:pos="3600"/>
        </w:tabs>
        <w:ind w:left="3600" w:hanging="360"/>
      </w:pPr>
      <w:rPr>
        <w:rFonts w:ascii="Arial" w:hAnsi="Arial" w:hint="default"/>
      </w:rPr>
    </w:lvl>
    <w:lvl w:ilvl="5" w:tplc="1AC8DA4A" w:tentative="1">
      <w:start w:val="1"/>
      <w:numFmt w:val="bullet"/>
      <w:lvlText w:val="•"/>
      <w:lvlJc w:val="left"/>
      <w:pPr>
        <w:tabs>
          <w:tab w:val="num" w:pos="4320"/>
        </w:tabs>
        <w:ind w:left="4320" w:hanging="360"/>
      </w:pPr>
      <w:rPr>
        <w:rFonts w:ascii="Arial" w:hAnsi="Arial" w:hint="default"/>
      </w:rPr>
    </w:lvl>
    <w:lvl w:ilvl="6" w:tplc="CC5A4CD4" w:tentative="1">
      <w:start w:val="1"/>
      <w:numFmt w:val="bullet"/>
      <w:lvlText w:val="•"/>
      <w:lvlJc w:val="left"/>
      <w:pPr>
        <w:tabs>
          <w:tab w:val="num" w:pos="5040"/>
        </w:tabs>
        <w:ind w:left="5040" w:hanging="360"/>
      </w:pPr>
      <w:rPr>
        <w:rFonts w:ascii="Arial" w:hAnsi="Arial" w:hint="default"/>
      </w:rPr>
    </w:lvl>
    <w:lvl w:ilvl="7" w:tplc="D9FC1006" w:tentative="1">
      <w:start w:val="1"/>
      <w:numFmt w:val="bullet"/>
      <w:lvlText w:val="•"/>
      <w:lvlJc w:val="left"/>
      <w:pPr>
        <w:tabs>
          <w:tab w:val="num" w:pos="5760"/>
        </w:tabs>
        <w:ind w:left="5760" w:hanging="360"/>
      </w:pPr>
      <w:rPr>
        <w:rFonts w:ascii="Arial" w:hAnsi="Arial" w:hint="default"/>
      </w:rPr>
    </w:lvl>
    <w:lvl w:ilvl="8" w:tplc="1096C6F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BEE3CF9"/>
    <w:multiLevelType w:val="hybridMultilevel"/>
    <w:tmpl w:val="C0AAD49A"/>
    <w:lvl w:ilvl="0" w:tplc="AB9A9CBA">
      <w:start w:val="1"/>
      <w:numFmt w:val="bullet"/>
      <w:lvlText w:val="•"/>
      <w:lvlJc w:val="left"/>
      <w:pPr>
        <w:tabs>
          <w:tab w:val="num" w:pos="720"/>
        </w:tabs>
        <w:ind w:left="720" w:hanging="360"/>
      </w:pPr>
      <w:rPr>
        <w:rFonts w:ascii="Arial" w:hAnsi="Arial" w:hint="default"/>
      </w:rPr>
    </w:lvl>
    <w:lvl w:ilvl="1" w:tplc="F404F1D8" w:tentative="1">
      <w:start w:val="1"/>
      <w:numFmt w:val="bullet"/>
      <w:lvlText w:val="•"/>
      <w:lvlJc w:val="left"/>
      <w:pPr>
        <w:tabs>
          <w:tab w:val="num" w:pos="1440"/>
        </w:tabs>
        <w:ind w:left="1440" w:hanging="360"/>
      </w:pPr>
      <w:rPr>
        <w:rFonts w:ascii="Arial" w:hAnsi="Arial" w:hint="default"/>
      </w:rPr>
    </w:lvl>
    <w:lvl w:ilvl="2" w:tplc="7E3EA1D2" w:tentative="1">
      <w:start w:val="1"/>
      <w:numFmt w:val="bullet"/>
      <w:lvlText w:val="•"/>
      <w:lvlJc w:val="left"/>
      <w:pPr>
        <w:tabs>
          <w:tab w:val="num" w:pos="2160"/>
        </w:tabs>
        <w:ind w:left="2160" w:hanging="360"/>
      </w:pPr>
      <w:rPr>
        <w:rFonts w:ascii="Arial" w:hAnsi="Arial" w:hint="default"/>
      </w:rPr>
    </w:lvl>
    <w:lvl w:ilvl="3" w:tplc="8F842FBE" w:tentative="1">
      <w:start w:val="1"/>
      <w:numFmt w:val="bullet"/>
      <w:lvlText w:val="•"/>
      <w:lvlJc w:val="left"/>
      <w:pPr>
        <w:tabs>
          <w:tab w:val="num" w:pos="2880"/>
        </w:tabs>
        <w:ind w:left="2880" w:hanging="360"/>
      </w:pPr>
      <w:rPr>
        <w:rFonts w:ascii="Arial" w:hAnsi="Arial" w:hint="default"/>
      </w:rPr>
    </w:lvl>
    <w:lvl w:ilvl="4" w:tplc="E64ECD9E" w:tentative="1">
      <w:start w:val="1"/>
      <w:numFmt w:val="bullet"/>
      <w:lvlText w:val="•"/>
      <w:lvlJc w:val="left"/>
      <w:pPr>
        <w:tabs>
          <w:tab w:val="num" w:pos="3600"/>
        </w:tabs>
        <w:ind w:left="3600" w:hanging="360"/>
      </w:pPr>
      <w:rPr>
        <w:rFonts w:ascii="Arial" w:hAnsi="Arial" w:hint="default"/>
      </w:rPr>
    </w:lvl>
    <w:lvl w:ilvl="5" w:tplc="A156FC38" w:tentative="1">
      <w:start w:val="1"/>
      <w:numFmt w:val="bullet"/>
      <w:lvlText w:val="•"/>
      <w:lvlJc w:val="left"/>
      <w:pPr>
        <w:tabs>
          <w:tab w:val="num" w:pos="4320"/>
        </w:tabs>
        <w:ind w:left="4320" w:hanging="360"/>
      </w:pPr>
      <w:rPr>
        <w:rFonts w:ascii="Arial" w:hAnsi="Arial" w:hint="default"/>
      </w:rPr>
    </w:lvl>
    <w:lvl w:ilvl="6" w:tplc="9F5E854A" w:tentative="1">
      <w:start w:val="1"/>
      <w:numFmt w:val="bullet"/>
      <w:lvlText w:val="•"/>
      <w:lvlJc w:val="left"/>
      <w:pPr>
        <w:tabs>
          <w:tab w:val="num" w:pos="5040"/>
        </w:tabs>
        <w:ind w:left="5040" w:hanging="360"/>
      </w:pPr>
      <w:rPr>
        <w:rFonts w:ascii="Arial" w:hAnsi="Arial" w:hint="default"/>
      </w:rPr>
    </w:lvl>
    <w:lvl w:ilvl="7" w:tplc="D7B0243A" w:tentative="1">
      <w:start w:val="1"/>
      <w:numFmt w:val="bullet"/>
      <w:lvlText w:val="•"/>
      <w:lvlJc w:val="left"/>
      <w:pPr>
        <w:tabs>
          <w:tab w:val="num" w:pos="5760"/>
        </w:tabs>
        <w:ind w:left="5760" w:hanging="360"/>
      </w:pPr>
      <w:rPr>
        <w:rFonts w:ascii="Arial" w:hAnsi="Arial" w:hint="default"/>
      </w:rPr>
    </w:lvl>
    <w:lvl w:ilvl="8" w:tplc="30823B4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C854CAE"/>
    <w:multiLevelType w:val="hybridMultilevel"/>
    <w:tmpl w:val="0EF8BA7C"/>
    <w:lvl w:ilvl="0" w:tplc="D4348262">
      <w:start w:val="1"/>
      <w:numFmt w:val="bullet"/>
      <w:lvlText w:val="•"/>
      <w:lvlJc w:val="left"/>
      <w:pPr>
        <w:tabs>
          <w:tab w:val="num" w:pos="720"/>
        </w:tabs>
        <w:ind w:left="720" w:hanging="360"/>
      </w:pPr>
      <w:rPr>
        <w:rFonts w:ascii="Arial" w:hAnsi="Arial" w:hint="default"/>
      </w:rPr>
    </w:lvl>
    <w:lvl w:ilvl="1" w:tplc="740C68DE" w:tentative="1">
      <w:start w:val="1"/>
      <w:numFmt w:val="bullet"/>
      <w:lvlText w:val="•"/>
      <w:lvlJc w:val="left"/>
      <w:pPr>
        <w:tabs>
          <w:tab w:val="num" w:pos="1440"/>
        </w:tabs>
        <w:ind w:left="1440" w:hanging="360"/>
      </w:pPr>
      <w:rPr>
        <w:rFonts w:ascii="Arial" w:hAnsi="Arial" w:hint="default"/>
      </w:rPr>
    </w:lvl>
    <w:lvl w:ilvl="2" w:tplc="7E16B6C6" w:tentative="1">
      <w:start w:val="1"/>
      <w:numFmt w:val="bullet"/>
      <w:lvlText w:val="•"/>
      <w:lvlJc w:val="left"/>
      <w:pPr>
        <w:tabs>
          <w:tab w:val="num" w:pos="2160"/>
        </w:tabs>
        <w:ind w:left="2160" w:hanging="360"/>
      </w:pPr>
      <w:rPr>
        <w:rFonts w:ascii="Arial" w:hAnsi="Arial" w:hint="default"/>
      </w:rPr>
    </w:lvl>
    <w:lvl w:ilvl="3" w:tplc="6E646812" w:tentative="1">
      <w:start w:val="1"/>
      <w:numFmt w:val="bullet"/>
      <w:lvlText w:val="•"/>
      <w:lvlJc w:val="left"/>
      <w:pPr>
        <w:tabs>
          <w:tab w:val="num" w:pos="2880"/>
        </w:tabs>
        <w:ind w:left="2880" w:hanging="360"/>
      </w:pPr>
      <w:rPr>
        <w:rFonts w:ascii="Arial" w:hAnsi="Arial" w:hint="default"/>
      </w:rPr>
    </w:lvl>
    <w:lvl w:ilvl="4" w:tplc="EBD00974" w:tentative="1">
      <w:start w:val="1"/>
      <w:numFmt w:val="bullet"/>
      <w:lvlText w:val="•"/>
      <w:lvlJc w:val="left"/>
      <w:pPr>
        <w:tabs>
          <w:tab w:val="num" w:pos="3600"/>
        </w:tabs>
        <w:ind w:left="3600" w:hanging="360"/>
      </w:pPr>
      <w:rPr>
        <w:rFonts w:ascii="Arial" w:hAnsi="Arial" w:hint="default"/>
      </w:rPr>
    </w:lvl>
    <w:lvl w:ilvl="5" w:tplc="2CC87F28" w:tentative="1">
      <w:start w:val="1"/>
      <w:numFmt w:val="bullet"/>
      <w:lvlText w:val="•"/>
      <w:lvlJc w:val="left"/>
      <w:pPr>
        <w:tabs>
          <w:tab w:val="num" w:pos="4320"/>
        </w:tabs>
        <w:ind w:left="4320" w:hanging="360"/>
      </w:pPr>
      <w:rPr>
        <w:rFonts w:ascii="Arial" w:hAnsi="Arial" w:hint="default"/>
      </w:rPr>
    </w:lvl>
    <w:lvl w:ilvl="6" w:tplc="994A4848" w:tentative="1">
      <w:start w:val="1"/>
      <w:numFmt w:val="bullet"/>
      <w:lvlText w:val="•"/>
      <w:lvlJc w:val="left"/>
      <w:pPr>
        <w:tabs>
          <w:tab w:val="num" w:pos="5040"/>
        </w:tabs>
        <w:ind w:left="5040" w:hanging="360"/>
      </w:pPr>
      <w:rPr>
        <w:rFonts w:ascii="Arial" w:hAnsi="Arial" w:hint="default"/>
      </w:rPr>
    </w:lvl>
    <w:lvl w:ilvl="7" w:tplc="3F0AD58A" w:tentative="1">
      <w:start w:val="1"/>
      <w:numFmt w:val="bullet"/>
      <w:lvlText w:val="•"/>
      <w:lvlJc w:val="left"/>
      <w:pPr>
        <w:tabs>
          <w:tab w:val="num" w:pos="5760"/>
        </w:tabs>
        <w:ind w:left="5760" w:hanging="360"/>
      </w:pPr>
      <w:rPr>
        <w:rFonts w:ascii="Arial" w:hAnsi="Arial" w:hint="default"/>
      </w:rPr>
    </w:lvl>
    <w:lvl w:ilvl="8" w:tplc="A49091F4"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E403970"/>
    <w:multiLevelType w:val="hybridMultilevel"/>
    <w:tmpl w:val="61485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8E3455"/>
    <w:multiLevelType w:val="multilevel"/>
    <w:tmpl w:val="A50A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12"/>
  </w:num>
  <w:num w:numId="3">
    <w:abstractNumId w:val="15"/>
  </w:num>
  <w:num w:numId="4">
    <w:abstractNumId w:val="13"/>
  </w:num>
  <w:num w:numId="5">
    <w:abstractNumId w:val="26"/>
  </w:num>
  <w:num w:numId="6">
    <w:abstractNumId w:val="35"/>
  </w:num>
  <w:num w:numId="7">
    <w:abstractNumId w:val="31"/>
  </w:num>
  <w:num w:numId="8">
    <w:abstractNumId w:val="23"/>
  </w:num>
  <w:num w:numId="9">
    <w:abstractNumId w:val="6"/>
  </w:num>
  <w:num w:numId="10">
    <w:abstractNumId w:val="28"/>
  </w:num>
  <w:num w:numId="11">
    <w:abstractNumId w:val="33"/>
  </w:num>
  <w:num w:numId="12">
    <w:abstractNumId w:val="8"/>
  </w:num>
  <w:num w:numId="13">
    <w:abstractNumId w:val="32"/>
  </w:num>
  <w:num w:numId="14">
    <w:abstractNumId w:val="22"/>
  </w:num>
  <w:num w:numId="15">
    <w:abstractNumId w:val="7"/>
  </w:num>
  <w:num w:numId="16">
    <w:abstractNumId w:val="17"/>
  </w:num>
  <w:num w:numId="17">
    <w:abstractNumId w:val="29"/>
  </w:num>
  <w:num w:numId="18">
    <w:abstractNumId w:val="30"/>
  </w:num>
  <w:num w:numId="19">
    <w:abstractNumId w:val="19"/>
  </w:num>
  <w:num w:numId="20">
    <w:abstractNumId w:val="18"/>
  </w:num>
  <w:num w:numId="21">
    <w:abstractNumId w:val="14"/>
  </w:num>
  <w:num w:numId="22">
    <w:abstractNumId w:val="25"/>
  </w:num>
  <w:num w:numId="23">
    <w:abstractNumId w:val="34"/>
  </w:num>
  <w:num w:numId="24">
    <w:abstractNumId w:val="9"/>
  </w:num>
  <w:num w:numId="25">
    <w:abstractNumId w:val="24"/>
  </w:num>
  <w:num w:numId="26">
    <w:abstractNumId w:val="2"/>
  </w:num>
  <w:num w:numId="27">
    <w:abstractNumId w:val="1"/>
  </w:num>
  <w:num w:numId="28">
    <w:abstractNumId w:val="4"/>
  </w:num>
  <w:num w:numId="29">
    <w:abstractNumId w:val="36"/>
  </w:num>
  <w:num w:numId="30">
    <w:abstractNumId w:val="0"/>
  </w:num>
  <w:num w:numId="31">
    <w:abstractNumId w:val="3"/>
  </w:num>
  <w:num w:numId="32">
    <w:abstractNumId w:val="20"/>
  </w:num>
  <w:num w:numId="33">
    <w:abstractNumId w:val="5"/>
  </w:num>
  <w:num w:numId="34">
    <w:abstractNumId w:val="16"/>
  </w:num>
  <w:num w:numId="35">
    <w:abstractNumId w:val="21"/>
  </w:num>
  <w:num w:numId="36">
    <w:abstractNumId w:val="27"/>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408"/>
    <w:rsid w:val="00003945"/>
    <w:rsid w:val="00006BD1"/>
    <w:rsid w:val="00016617"/>
    <w:rsid w:val="000209C2"/>
    <w:rsid w:val="00030700"/>
    <w:rsid w:val="00030C4D"/>
    <w:rsid w:val="00031EC0"/>
    <w:rsid w:val="0003562D"/>
    <w:rsid w:val="00045F63"/>
    <w:rsid w:val="00056C05"/>
    <w:rsid w:val="00057AE8"/>
    <w:rsid w:val="00064326"/>
    <w:rsid w:val="00070FDF"/>
    <w:rsid w:val="00083565"/>
    <w:rsid w:val="00083892"/>
    <w:rsid w:val="00097FCC"/>
    <w:rsid w:val="000A024C"/>
    <w:rsid w:val="000A4381"/>
    <w:rsid w:val="000B0CBA"/>
    <w:rsid w:val="000B33F3"/>
    <w:rsid w:val="000B40BD"/>
    <w:rsid w:val="000B5EC4"/>
    <w:rsid w:val="000B78D1"/>
    <w:rsid w:val="000C09F9"/>
    <w:rsid w:val="000C0BF0"/>
    <w:rsid w:val="000C0C5D"/>
    <w:rsid w:val="000C3F19"/>
    <w:rsid w:val="000C5880"/>
    <w:rsid w:val="000C6C2E"/>
    <w:rsid w:val="000C7E13"/>
    <w:rsid w:val="000E3141"/>
    <w:rsid w:val="000E389D"/>
    <w:rsid w:val="000F5775"/>
    <w:rsid w:val="00104D89"/>
    <w:rsid w:val="00106C0F"/>
    <w:rsid w:val="00121B65"/>
    <w:rsid w:val="00124328"/>
    <w:rsid w:val="0012740C"/>
    <w:rsid w:val="0013277F"/>
    <w:rsid w:val="001364AA"/>
    <w:rsid w:val="00147B2B"/>
    <w:rsid w:val="00153A0E"/>
    <w:rsid w:val="001566C8"/>
    <w:rsid w:val="00156CCB"/>
    <w:rsid w:val="00160566"/>
    <w:rsid w:val="00161E4B"/>
    <w:rsid w:val="0017432F"/>
    <w:rsid w:val="001758B6"/>
    <w:rsid w:val="00180318"/>
    <w:rsid w:val="001814E8"/>
    <w:rsid w:val="00183520"/>
    <w:rsid w:val="001837E1"/>
    <w:rsid w:val="00185871"/>
    <w:rsid w:val="00186594"/>
    <w:rsid w:val="001866B9"/>
    <w:rsid w:val="001925A6"/>
    <w:rsid w:val="00194DCF"/>
    <w:rsid w:val="0019757A"/>
    <w:rsid w:val="00197C96"/>
    <w:rsid w:val="001A594E"/>
    <w:rsid w:val="001B1BDD"/>
    <w:rsid w:val="001B3644"/>
    <w:rsid w:val="001B7238"/>
    <w:rsid w:val="001C610F"/>
    <w:rsid w:val="001C66F6"/>
    <w:rsid w:val="001C7EB4"/>
    <w:rsid w:val="001D0DC0"/>
    <w:rsid w:val="001D114E"/>
    <w:rsid w:val="001D12D1"/>
    <w:rsid w:val="001E267F"/>
    <w:rsid w:val="001E3FB5"/>
    <w:rsid w:val="001E7D29"/>
    <w:rsid w:val="001F1A75"/>
    <w:rsid w:val="00205100"/>
    <w:rsid w:val="00210398"/>
    <w:rsid w:val="00213240"/>
    <w:rsid w:val="00215ACB"/>
    <w:rsid w:val="00216C69"/>
    <w:rsid w:val="00222913"/>
    <w:rsid w:val="002237CA"/>
    <w:rsid w:val="00232B61"/>
    <w:rsid w:val="00232F9F"/>
    <w:rsid w:val="0024159E"/>
    <w:rsid w:val="002431BE"/>
    <w:rsid w:val="00244236"/>
    <w:rsid w:val="00255FC9"/>
    <w:rsid w:val="00270B58"/>
    <w:rsid w:val="00274002"/>
    <w:rsid w:val="00274906"/>
    <w:rsid w:val="00285A21"/>
    <w:rsid w:val="002864F3"/>
    <w:rsid w:val="002907A5"/>
    <w:rsid w:val="00291331"/>
    <w:rsid w:val="002913B2"/>
    <w:rsid w:val="002956A9"/>
    <w:rsid w:val="002A2869"/>
    <w:rsid w:val="002A3BBE"/>
    <w:rsid w:val="002A7326"/>
    <w:rsid w:val="002B7340"/>
    <w:rsid w:val="002B7914"/>
    <w:rsid w:val="002C174D"/>
    <w:rsid w:val="002C1C45"/>
    <w:rsid w:val="002C35E7"/>
    <w:rsid w:val="002C54F4"/>
    <w:rsid w:val="002C77FE"/>
    <w:rsid w:val="002D624F"/>
    <w:rsid w:val="002D6352"/>
    <w:rsid w:val="002D6EF1"/>
    <w:rsid w:val="002D7D2F"/>
    <w:rsid w:val="002E0958"/>
    <w:rsid w:val="002E0CAA"/>
    <w:rsid w:val="002E390C"/>
    <w:rsid w:val="002E521A"/>
    <w:rsid w:val="002F1C6D"/>
    <w:rsid w:val="002F2187"/>
    <w:rsid w:val="002F45B1"/>
    <w:rsid w:val="00301356"/>
    <w:rsid w:val="00307F09"/>
    <w:rsid w:val="00310A49"/>
    <w:rsid w:val="00312DA4"/>
    <w:rsid w:val="00316C86"/>
    <w:rsid w:val="00323B4F"/>
    <w:rsid w:val="0032405D"/>
    <w:rsid w:val="00324828"/>
    <w:rsid w:val="00335121"/>
    <w:rsid w:val="00335436"/>
    <w:rsid w:val="00343862"/>
    <w:rsid w:val="00352C7E"/>
    <w:rsid w:val="0036249A"/>
    <w:rsid w:val="0036266D"/>
    <w:rsid w:val="00372B9A"/>
    <w:rsid w:val="00393C97"/>
    <w:rsid w:val="00397A6C"/>
    <w:rsid w:val="003A0FAC"/>
    <w:rsid w:val="003A17BB"/>
    <w:rsid w:val="003B4C88"/>
    <w:rsid w:val="003C049C"/>
    <w:rsid w:val="003D2424"/>
    <w:rsid w:val="003D4CAD"/>
    <w:rsid w:val="003D55F1"/>
    <w:rsid w:val="003E080C"/>
    <w:rsid w:val="003E471A"/>
    <w:rsid w:val="003F26D6"/>
    <w:rsid w:val="003F4CE5"/>
    <w:rsid w:val="00401746"/>
    <w:rsid w:val="0040761E"/>
    <w:rsid w:val="0041093A"/>
    <w:rsid w:val="0041286F"/>
    <w:rsid w:val="00412F4B"/>
    <w:rsid w:val="00415C8A"/>
    <w:rsid w:val="00416C10"/>
    <w:rsid w:val="004172C0"/>
    <w:rsid w:val="00431490"/>
    <w:rsid w:val="00437B22"/>
    <w:rsid w:val="004412DB"/>
    <w:rsid w:val="00441F54"/>
    <w:rsid w:val="0044201C"/>
    <w:rsid w:val="0044529F"/>
    <w:rsid w:val="00445997"/>
    <w:rsid w:val="004477AB"/>
    <w:rsid w:val="004571F7"/>
    <w:rsid w:val="004607FE"/>
    <w:rsid w:val="004626A2"/>
    <w:rsid w:val="004637EF"/>
    <w:rsid w:val="00464504"/>
    <w:rsid w:val="00465136"/>
    <w:rsid w:val="00473752"/>
    <w:rsid w:val="0048079C"/>
    <w:rsid w:val="00481AA6"/>
    <w:rsid w:val="00485824"/>
    <w:rsid w:val="00491EE8"/>
    <w:rsid w:val="00493014"/>
    <w:rsid w:val="00496352"/>
    <w:rsid w:val="004A12C8"/>
    <w:rsid w:val="004A1A9C"/>
    <w:rsid w:val="004A46D0"/>
    <w:rsid w:val="004A4BDC"/>
    <w:rsid w:val="004A4C7C"/>
    <w:rsid w:val="004A61D5"/>
    <w:rsid w:val="004B3BE3"/>
    <w:rsid w:val="004B3D7E"/>
    <w:rsid w:val="004B676D"/>
    <w:rsid w:val="004C5D85"/>
    <w:rsid w:val="004C6832"/>
    <w:rsid w:val="004C6C11"/>
    <w:rsid w:val="004D706C"/>
    <w:rsid w:val="004E1E61"/>
    <w:rsid w:val="004E2B3D"/>
    <w:rsid w:val="004E59C5"/>
    <w:rsid w:val="004E643A"/>
    <w:rsid w:val="00500BFB"/>
    <w:rsid w:val="00505E44"/>
    <w:rsid w:val="005114C4"/>
    <w:rsid w:val="00515F5F"/>
    <w:rsid w:val="00520F10"/>
    <w:rsid w:val="00522CFD"/>
    <w:rsid w:val="0052435F"/>
    <w:rsid w:val="00525325"/>
    <w:rsid w:val="00531B98"/>
    <w:rsid w:val="00535021"/>
    <w:rsid w:val="00535A2B"/>
    <w:rsid w:val="00542584"/>
    <w:rsid w:val="00543C09"/>
    <w:rsid w:val="0054664A"/>
    <w:rsid w:val="00550B4E"/>
    <w:rsid w:val="00551235"/>
    <w:rsid w:val="00570838"/>
    <w:rsid w:val="00572B9B"/>
    <w:rsid w:val="005773C5"/>
    <w:rsid w:val="0058001D"/>
    <w:rsid w:val="00594CED"/>
    <w:rsid w:val="005A42B0"/>
    <w:rsid w:val="005A666C"/>
    <w:rsid w:val="005B28D0"/>
    <w:rsid w:val="005C4F8F"/>
    <w:rsid w:val="005C62D3"/>
    <w:rsid w:val="005D31DD"/>
    <w:rsid w:val="005D5114"/>
    <w:rsid w:val="005D58FB"/>
    <w:rsid w:val="005D6D8F"/>
    <w:rsid w:val="005D7893"/>
    <w:rsid w:val="00600216"/>
    <w:rsid w:val="006005AD"/>
    <w:rsid w:val="00602936"/>
    <w:rsid w:val="00604117"/>
    <w:rsid w:val="00604A12"/>
    <w:rsid w:val="006071AB"/>
    <w:rsid w:val="006078C7"/>
    <w:rsid w:val="00614BCE"/>
    <w:rsid w:val="00620E57"/>
    <w:rsid w:val="00627E37"/>
    <w:rsid w:val="00630E8F"/>
    <w:rsid w:val="006379ED"/>
    <w:rsid w:val="0064179B"/>
    <w:rsid w:val="00642C9C"/>
    <w:rsid w:val="00643B43"/>
    <w:rsid w:val="00646862"/>
    <w:rsid w:val="0065103A"/>
    <w:rsid w:val="00662822"/>
    <w:rsid w:val="00665BD4"/>
    <w:rsid w:val="00667420"/>
    <w:rsid w:val="006678B9"/>
    <w:rsid w:val="00687D8A"/>
    <w:rsid w:val="00691CDF"/>
    <w:rsid w:val="006959D3"/>
    <w:rsid w:val="00697408"/>
    <w:rsid w:val="00697B39"/>
    <w:rsid w:val="006A6FE1"/>
    <w:rsid w:val="006A7D04"/>
    <w:rsid w:val="006B12C6"/>
    <w:rsid w:val="006B1F47"/>
    <w:rsid w:val="006B4B80"/>
    <w:rsid w:val="006B5810"/>
    <w:rsid w:val="006C1F70"/>
    <w:rsid w:val="006C5003"/>
    <w:rsid w:val="006C53ED"/>
    <w:rsid w:val="006C73EC"/>
    <w:rsid w:val="006D0E12"/>
    <w:rsid w:val="006E6FA5"/>
    <w:rsid w:val="006F3F7F"/>
    <w:rsid w:val="006F6168"/>
    <w:rsid w:val="006F7223"/>
    <w:rsid w:val="0070122E"/>
    <w:rsid w:val="00701C06"/>
    <w:rsid w:val="00702C11"/>
    <w:rsid w:val="0070304F"/>
    <w:rsid w:val="00703A33"/>
    <w:rsid w:val="00704526"/>
    <w:rsid w:val="00705295"/>
    <w:rsid w:val="00705D40"/>
    <w:rsid w:val="00714E53"/>
    <w:rsid w:val="007211FE"/>
    <w:rsid w:val="00734924"/>
    <w:rsid w:val="00740E06"/>
    <w:rsid w:val="00741238"/>
    <w:rsid w:val="00741749"/>
    <w:rsid w:val="007432B3"/>
    <w:rsid w:val="007449CD"/>
    <w:rsid w:val="0074564D"/>
    <w:rsid w:val="007477E0"/>
    <w:rsid w:val="007548F0"/>
    <w:rsid w:val="00754D47"/>
    <w:rsid w:val="0075699C"/>
    <w:rsid w:val="00757D59"/>
    <w:rsid w:val="00761586"/>
    <w:rsid w:val="00765BFB"/>
    <w:rsid w:val="00771152"/>
    <w:rsid w:val="0077338E"/>
    <w:rsid w:val="007769CE"/>
    <w:rsid w:val="00783C39"/>
    <w:rsid w:val="00787AD9"/>
    <w:rsid w:val="00791F0B"/>
    <w:rsid w:val="00794293"/>
    <w:rsid w:val="007950E2"/>
    <w:rsid w:val="00796892"/>
    <w:rsid w:val="00796C02"/>
    <w:rsid w:val="007A6C07"/>
    <w:rsid w:val="007C7A29"/>
    <w:rsid w:val="007D2193"/>
    <w:rsid w:val="007D4194"/>
    <w:rsid w:val="007E2590"/>
    <w:rsid w:val="007E26F6"/>
    <w:rsid w:val="007E6E86"/>
    <w:rsid w:val="007E7105"/>
    <w:rsid w:val="007F16F4"/>
    <w:rsid w:val="007F582A"/>
    <w:rsid w:val="00802131"/>
    <w:rsid w:val="00815880"/>
    <w:rsid w:val="00815C23"/>
    <w:rsid w:val="008265B1"/>
    <w:rsid w:val="008265E5"/>
    <w:rsid w:val="008266E0"/>
    <w:rsid w:val="00827663"/>
    <w:rsid w:val="0083350A"/>
    <w:rsid w:val="0084086F"/>
    <w:rsid w:val="00853F4B"/>
    <w:rsid w:val="00854A51"/>
    <w:rsid w:val="00855A29"/>
    <w:rsid w:val="008724D3"/>
    <w:rsid w:val="008860CF"/>
    <w:rsid w:val="00886A0F"/>
    <w:rsid w:val="00890DDF"/>
    <w:rsid w:val="00893158"/>
    <w:rsid w:val="008977C4"/>
    <w:rsid w:val="008A4A34"/>
    <w:rsid w:val="008A7E5D"/>
    <w:rsid w:val="008B3381"/>
    <w:rsid w:val="008B46D7"/>
    <w:rsid w:val="008B526C"/>
    <w:rsid w:val="008B645A"/>
    <w:rsid w:val="008C3953"/>
    <w:rsid w:val="008C6D57"/>
    <w:rsid w:val="008D1D2A"/>
    <w:rsid w:val="008D3C9E"/>
    <w:rsid w:val="008D4243"/>
    <w:rsid w:val="008D547E"/>
    <w:rsid w:val="008D5E51"/>
    <w:rsid w:val="008D6C2A"/>
    <w:rsid w:val="008D6E23"/>
    <w:rsid w:val="008E1746"/>
    <w:rsid w:val="008E32B3"/>
    <w:rsid w:val="008E3B93"/>
    <w:rsid w:val="008F0194"/>
    <w:rsid w:val="008F1DEE"/>
    <w:rsid w:val="008F609F"/>
    <w:rsid w:val="00900C7A"/>
    <w:rsid w:val="009019E9"/>
    <w:rsid w:val="00913CFD"/>
    <w:rsid w:val="009252AF"/>
    <w:rsid w:val="00927B9B"/>
    <w:rsid w:val="009303F2"/>
    <w:rsid w:val="00930F47"/>
    <w:rsid w:val="0093212F"/>
    <w:rsid w:val="0093568F"/>
    <w:rsid w:val="009369AD"/>
    <w:rsid w:val="009422B6"/>
    <w:rsid w:val="009431BE"/>
    <w:rsid w:val="0094356E"/>
    <w:rsid w:val="00943FC7"/>
    <w:rsid w:val="00946594"/>
    <w:rsid w:val="00967B4D"/>
    <w:rsid w:val="00967DE1"/>
    <w:rsid w:val="00971BB4"/>
    <w:rsid w:val="00981237"/>
    <w:rsid w:val="0098365D"/>
    <w:rsid w:val="00984B2E"/>
    <w:rsid w:val="00984B62"/>
    <w:rsid w:val="009866B8"/>
    <w:rsid w:val="00992C72"/>
    <w:rsid w:val="00996551"/>
    <w:rsid w:val="009978EF"/>
    <w:rsid w:val="009A4912"/>
    <w:rsid w:val="009A5364"/>
    <w:rsid w:val="009A6722"/>
    <w:rsid w:val="009A7A6B"/>
    <w:rsid w:val="009B1E45"/>
    <w:rsid w:val="009B4183"/>
    <w:rsid w:val="009B7CFE"/>
    <w:rsid w:val="009C209E"/>
    <w:rsid w:val="009C7C36"/>
    <w:rsid w:val="009E6810"/>
    <w:rsid w:val="009E712F"/>
    <w:rsid w:val="009E7755"/>
    <w:rsid w:val="00A02606"/>
    <w:rsid w:val="00A028CC"/>
    <w:rsid w:val="00A077B7"/>
    <w:rsid w:val="00A122B9"/>
    <w:rsid w:val="00A15331"/>
    <w:rsid w:val="00A237A1"/>
    <w:rsid w:val="00A23DBE"/>
    <w:rsid w:val="00A23E37"/>
    <w:rsid w:val="00A30062"/>
    <w:rsid w:val="00A313F3"/>
    <w:rsid w:val="00A31474"/>
    <w:rsid w:val="00A344F7"/>
    <w:rsid w:val="00A35ED3"/>
    <w:rsid w:val="00A44111"/>
    <w:rsid w:val="00A529B6"/>
    <w:rsid w:val="00A55C64"/>
    <w:rsid w:val="00A55D5A"/>
    <w:rsid w:val="00A56472"/>
    <w:rsid w:val="00A56DB1"/>
    <w:rsid w:val="00A82609"/>
    <w:rsid w:val="00A8349A"/>
    <w:rsid w:val="00A9012B"/>
    <w:rsid w:val="00A922A7"/>
    <w:rsid w:val="00A94DFA"/>
    <w:rsid w:val="00AB3DF7"/>
    <w:rsid w:val="00AC41DF"/>
    <w:rsid w:val="00AC5843"/>
    <w:rsid w:val="00AD07C9"/>
    <w:rsid w:val="00AD4887"/>
    <w:rsid w:val="00AE2EDC"/>
    <w:rsid w:val="00AF3CC8"/>
    <w:rsid w:val="00AF4253"/>
    <w:rsid w:val="00AF4575"/>
    <w:rsid w:val="00AF5CE3"/>
    <w:rsid w:val="00B027AC"/>
    <w:rsid w:val="00B07549"/>
    <w:rsid w:val="00B079FB"/>
    <w:rsid w:val="00B13975"/>
    <w:rsid w:val="00B21EC0"/>
    <w:rsid w:val="00B307FE"/>
    <w:rsid w:val="00B418A6"/>
    <w:rsid w:val="00B47DBA"/>
    <w:rsid w:val="00B50123"/>
    <w:rsid w:val="00B51209"/>
    <w:rsid w:val="00B5205C"/>
    <w:rsid w:val="00B531DF"/>
    <w:rsid w:val="00B62F61"/>
    <w:rsid w:val="00B64E86"/>
    <w:rsid w:val="00B66EDC"/>
    <w:rsid w:val="00B70652"/>
    <w:rsid w:val="00B85421"/>
    <w:rsid w:val="00B86732"/>
    <w:rsid w:val="00B94091"/>
    <w:rsid w:val="00B9507A"/>
    <w:rsid w:val="00BA7790"/>
    <w:rsid w:val="00BA7A76"/>
    <w:rsid w:val="00BB26DD"/>
    <w:rsid w:val="00BB447F"/>
    <w:rsid w:val="00BB5F72"/>
    <w:rsid w:val="00BC4E31"/>
    <w:rsid w:val="00BC5F33"/>
    <w:rsid w:val="00BC7163"/>
    <w:rsid w:val="00BD0067"/>
    <w:rsid w:val="00BD0DDA"/>
    <w:rsid w:val="00BD4CA5"/>
    <w:rsid w:val="00BD5F4E"/>
    <w:rsid w:val="00BE4341"/>
    <w:rsid w:val="00BF00B9"/>
    <w:rsid w:val="00BF1390"/>
    <w:rsid w:val="00BF2F34"/>
    <w:rsid w:val="00BF6638"/>
    <w:rsid w:val="00C0261F"/>
    <w:rsid w:val="00C06F25"/>
    <w:rsid w:val="00C07067"/>
    <w:rsid w:val="00C07217"/>
    <w:rsid w:val="00C14C08"/>
    <w:rsid w:val="00C1697C"/>
    <w:rsid w:val="00C237DC"/>
    <w:rsid w:val="00C23BC1"/>
    <w:rsid w:val="00C278B1"/>
    <w:rsid w:val="00C3047D"/>
    <w:rsid w:val="00C3210C"/>
    <w:rsid w:val="00C3757B"/>
    <w:rsid w:val="00C40DF2"/>
    <w:rsid w:val="00C44D94"/>
    <w:rsid w:val="00C46C1B"/>
    <w:rsid w:val="00C5076B"/>
    <w:rsid w:val="00C53B8F"/>
    <w:rsid w:val="00C621E1"/>
    <w:rsid w:val="00C62884"/>
    <w:rsid w:val="00C65172"/>
    <w:rsid w:val="00C6760E"/>
    <w:rsid w:val="00C70A8A"/>
    <w:rsid w:val="00C70F0D"/>
    <w:rsid w:val="00C722EE"/>
    <w:rsid w:val="00C72E11"/>
    <w:rsid w:val="00C80D3B"/>
    <w:rsid w:val="00C86B42"/>
    <w:rsid w:val="00C87E5D"/>
    <w:rsid w:val="00C9177C"/>
    <w:rsid w:val="00C930C7"/>
    <w:rsid w:val="00CA43BD"/>
    <w:rsid w:val="00CA5A7A"/>
    <w:rsid w:val="00CB13E6"/>
    <w:rsid w:val="00CB1DCC"/>
    <w:rsid w:val="00CB3C37"/>
    <w:rsid w:val="00CD0A2F"/>
    <w:rsid w:val="00CD4366"/>
    <w:rsid w:val="00CD7F41"/>
    <w:rsid w:val="00CE19EC"/>
    <w:rsid w:val="00CE3A17"/>
    <w:rsid w:val="00CE74FC"/>
    <w:rsid w:val="00CF0186"/>
    <w:rsid w:val="00CF4488"/>
    <w:rsid w:val="00CF4933"/>
    <w:rsid w:val="00D056D1"/>
    <w:rsid w:val="00D12C27"/>
    <w:rsid w:val="00D21638"/>
    <w:rsid w:val="00D21731"/>
    <w:rsid w:val="00D219C1"/>
    <w:rsid w:val="00D2224F"/>
    <w:rsid w:val="00D24A94"/>
    <w:rsid w:val="00D2501E"/>
    <w:rsid w:val="00D25309"/>
    <w:rsid w:val="00D44859"/>
    <w:rsid w:val="00D5050E"/>
    <w:rsid w:val="00D52D98"/>
    <w:rsid w:val="00D5429D"/>
    <w:rsid w:val="00D6309F"/>
    <w:rsid w:val="00D766C7"/>
    <w:rsid w:val="00D81F69"/>
    <w:rsid w:val="00D82994"/>
    <w:rsid w:val="00D82E96"/>
    <w:rsid w:val="00D92584"/>
    <w:rsid w:val="00D92C1E"/>
    <w:rsid w:val="00D94DE2"/>
    <w:rsid w:val="00D95FDB"/>
    <w:rsid w:val="00DA1DC1"/>
    <w:rsid w:val="00DB52FE"/>
    <w:rsid w:val="00DB57A1"/>
    <w:rsid w:val="00DC68C2"/>
    <w:rsid w:val="00DD3C59"/>
    <w:rsid w:val="00DD5934"/>
    <w:rsid w:val="00DE28F7"/>
    <w:rsid w:val="00DE4C5F"/>
    <w:rsid w:val="00DE7DAB"/>
    <w:rsid w:val="00DF4782"/>
    <w:rsid w:val="00E01104"/>
    <w:rsid w:val="00E0124B"/>
    <w:rsid w:val="00E038A9"/>
    <w:rsid w:val="00E1029E"/>
    <w:rsid w:val="00E1379E"/>
    <w:rsid w:val="00E1501F"/>
    <w:rsid w:val="00E24DBE"/>
    <w:rsid w:val="00E30FB9"/>
    <w:rsid w:val="00E35880"/>
    <w:rsid w:val="00E372E1"/>
    <w:rsid w:val="00E46FA8"/>
    <w:rsid w:val="00E46FDE"/>
    <w:rsid w:val="00E60D6E"/>
    <w:rsid w:val="00E6199C"/>
    <w:rsid w:val="00E67FE7"/>
    <w:rsid w:val="00E77BB2"/>
    <w:rsid w:val="00E80AE7"/>
    <w:rsid w:val="00E81D97"/>
    <w:rsid w:val="00E820DE"/>
    <w:rsid w:val="00E9250E"/>
    <w:rsid w:val="00E965D2"/>
    <w:rsid w:val="00EA1258"/>
    <w:rsid w:val="00EA21AF"/>
    <w:rsid w:val="00EA23A0"/>
    <w:rsid w:val="00EA4C8D"/>
    <w:rsid w:val="00EA6AA1"/>
    <w:rsid w:val="00EB52FC"/>
    <w:rsid w:val="00EB6CFC"/>
    <w:rsid w:val="00EC11A9"/>
    <w:rsid w:val="00ED2360"/>
    <w:rsid w:val="00ED33F8"/>
    <w:rsid w:val="00ED6010"/>
    <w:rsid w:val="00EE69D3"/>
    <w:rsid w:val="00EF1A01"/>
    <w:rsid w:val="00EF21E2"/>
    <w:rsid w:val="00EF325C"/>
    <w:rsid w:val="00EF6B95"/>
    <w:rsid w:val="00EF77B4"/>
    <w:rsid w:val="00F00501"/>
    <w:rsid w:val="00F0050C"/>
    <w:rsid w:val="00F06001"/>
    <w:rsid w:val="00F06890"/>
    <w:rsid w:val="00F20330"/>
    <w:rsid w:val="00F20AC5"/>
    <w:rsid w:val="00F228A7"/>
    <w:rsid w:val="00F32992"/>
    <w:rsid w:val="00F4080A"/>
    <w:rsid w:val="00F47050"/>
    <w:rsid w:val="00F50C88"/>
    <w:rsid w:val="00F56D95"/>
    <w:rsid w:val="00F6155F"/>
    <w:rsid w:val="00F63803"/>
    <w:rsid w:val="00F64B23"/>
    <w:rsid w:val="00F64B6D"/>
    <w:rsid w:val="00F70A76"/>
    <w:rsid w:val="00F71735"/>
    <w:rsid w:val="00F747B6"/>
    <w:rsid w:val="00F8594C"/>
    <w:rsid w:val="00F864B5"/>
    <w:rsid w:val="00F91351"/>
    <w:rsid w:val="00F95017"/>
    <w:rsid w:val="00FA49E9"/>
    <w:rsid w:val="00FB4589"/>
    <w:rsid w:val="00FC3860"/>
    <w:rsid w:val="00FC406C"/>
    <w:rsid w:val="00FC4692"/>
    <w:rsid w:val="00FC74A3"/>
    <w:rsid w:val="00FD22EF"/>
    <w:rsid w:val="00FD289C"/>
    <w:rsid w:val="00FD3C01"/>
    <w:rsid w:val="00FD498C"/>
    <w:rsid w:val="00FD5425"/>
    <w:rsid w:val="00FD7C61"/>
    <w:rsid w:val="00FE54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3AA34"/>
  <w14:defaultImageDpi w14:val="32767"/>
  <w15:chartTrackingRefBased/>
  <w15:docId w15:val="{A26FBEC2-7C73-D04D-A278-626A54AFB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7B6"/>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705D40"/>
    <w:pPr>
      <w:keepNext/>
      <w:outlineLvl w:val="0"/>
    </w:pPr>
    <w:rPr>
      <w:b/>
      <w:szCs w:val="20"/>
      <w:lang w:val="en-US" w:eastAsia="en-US"/>
    </w:rPr>
  </w:style>
  <w:style w:type="paragraph" w:styleId="Heading2">
    <w:name w:val="heading 2"/>
    <w:basedOn w:val="Normal"/>
    <w:next w:val="Normal"/>
    <w:link w:val="Heading2Char"/>
    <w:uiPriority w:val="9"/>
    <w:semiHidden/>
    <w:unhideWhenUsed/>
    <w:qFormat/>
    <w:rsid w:val="003C049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23BC1"/>
    <w:pPr>
      <w:keepNext/>
      <w:keepLines/>
      <w:spacing w:before="40"/>
      <w:outlineLvl w:val="2"/>
    </w:pPr>
    <w:rPr>
      <w:rFonts w:asciiTheme="majorHAnsi" w:eastAsiaTheme="majorEastAsia" w:hAnsiTheme="majorHAnsi" w:cstheme="majorBidi"/>
      <w:color w:val="1F3763"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97408"/>
    <w:rPr>
      <w:color w:val="0000FF"/>
      <w:u w:val="single"/>
    </w:rPr>
  </w:style>
  <w:style w:type="character" w:styleId="Emphasis">
    <w:name w:val="Emphasis"/>
    <w:uiPriority w:val="20"/>
    <w:qFormat/>
    <w:rsid w:val="00697408"/>
    <w:rPr>
      <w:i/>
      <w:iCs/>
    </w:rPr>
  </w:style>
  <w:style w:type="paragraph" w:styleId="NormalWeb">
    <w:name w:val="Normal (Web)"/>
    <w:basedOn w:val="Normal"/>
    <w:uiPriority w:val="99"/>
    <w:unhideWhenUsed/>
    <w:rsid w:val="00697408"/>
    <w:pPr>
      <w:spacing w:before="100" w:beforeAutospacing="1" w:after="100" w:afterAutospacing="1"/>
    </w:pPr>
    <w:rPr>
      <w:lang w:eastAsia="en-US"/>
    </w:rPr>
  </w:style>
  <w:style w:type="paragraph" w:styleId="ListParagraph">
    <w:name w:val="List Paragraph"/>
    <w:basedOn w:val="Normal"/>
    <w:uiPriority w:val="34"/>
    <w:qFormat/>
    <w:rsid w:val="00697408"/>
    <w:pPr>
      <w:ind w:left="720"/>
      <w:contextualSpacing/>
    </w:pPr>
    <w:rPr>
      <w:rFonts w:ascii="Calibri" w:eastAsia="Calibri" w:hAnsi="Calibri"/>
      <w:lang w:eastAsia="en-US"/>
    </w:rPr>
  </w:style>
  <w:style w:type="character" w:customStyle="1" w:styleId="Heading1Char">
    <w:name w:val="Heading 1 Char"/>
    <w:basedOn w:val="DefaultParagraphFont"/>
    <w:link w:val="Heading1"/>
    <w:uiPriority w:val="9"/>
    <w:rsid w:val="00705D40"/>
    <w:rPr>
      <w:rFonts w:ascii="Times New Roman" w:eastAsia="Times New Roman" w:hAnsi="Times New Roman" w:cs="Times New Roman"/>
      <w:b/>
      <w:szCs w:val="20"/>
      <w:lang w:val="en-US"/>
    </w:rPr>
  </w:style>
  <w:style w:type="paragraph" w:customStyle="1" w:styleId="Paragraph">
    <w:name w:val="Paragraph"/>
    <w:basedOn w:val="Normal"/>
    <w:rsid w:val="00705D40"/>
    <w:pPr>
      <w:spacing w:after="120"/>
      <w:ind w:firstLine="720"/>
      <w:jc w:val="both"/>
    </w:pPr>
    <w:rPr>
      <w:szCs w:val="20"/>
      <w:lang w:val="en-US" w:eastAsia="en-US"/>
    </w:rPr>
  </w:style>
  <w:style w:type="character" w:customStyle="1" w:styleId="UnresolvedMention1">
    <w:name w:val="Unresolved Mention1"/>
    <w:basedOn w:val="DefaultParagraphFont"/>
    <w:uiPriority w:val="99"/>
    <w:rsid w:val="008C3953"/>
    <w:rPr>
      <w:color w:val="605E5C"/>
      <w:shd w:val="clear" w:color="auto" w:fill="E1DFDD"/>
    </w:rPr>
  </w:style>
  <w:style w:type="paragraph" w:customStyle="1" w:styleId="3text">
    <w:name w:val="3text"/>
    <w:basedOn w:val="Normal"/>
    <w:rsid w:val="00F20330"/>
    <w:pPr>
      <w:spacing w:before="100" w:beforeAutospacing="1" w:after="100" w:afterAutospacing="1"/>
    </w:pPr>
  </w:style>
  <w:style w:type="character" w:styleId="FollowedHyperlink">
    <w:name w:val="FollowedHyperlink"/>
    <w:basedOn w:val="DefaultParagraphFont"/>
    <w:uiPriority w:val="99"/>
    <w:semiHidden/>
    <w:unhideWhenUsed/>
    <w:rsid w:val="0065103A"/>
    <w:rPr>
      <w:color w:val="954F72" w:themeColor="followedHyperlink"/>
      <w:u w:val="single"/>
    </w:rPr>
  </w:style>
  <w:style w:type="character" w:customStyle="1" w:styleId="Heading3Char">
    <w:name w:val="Heading 3 Char"/>
    <w:basedOn w:val="DefaultParagraphFont"/>
    <w:link w:val="Heading3"/>
    <w:uiPriority w:val="9"/>
    <w:semiHidden/>
    <w:rsid w:val="00C23BC1"/>
    <w:rPr>
      <w:rFonts w:asciiTheme="majorHAnsi" w:eastAsiaTheme="majorEastAsia" w:hAnsiTheme="majorHAnsi" w:cstheme="majorBidi"/>
      <w:color w:val="1F3763" w:themeColor="accent1" w:themeShade="7F"/>
    </w:rPr>
  </w:style>
  <w:style w:type="paragraph" w:styleId="Footer">
    <w:name w:val="footer"/>
    <w:basedOn w:val="Normal"/>
    <w:link w:val="FooterChar"/>
    <w:uiPriority w:val="99"/>
    <w:unhideWhenUsed/>
    <w:rsid w:val="001A594E"/>
    <w:pPr>
      <w:tabs>
        <w:tab w:val="center" w:pos="4680"/>
        <w:tab w:val="right" w:pos="9360"/>
      </w:tabs>
    </w:pPr>
  </w:style>
  <w:style w:type="character" w:customStyle="1" w:styleId="FooterChar">
    <w:name w:val="Footer Char"/>
    <w:basedOn w:val="DefaultParagraphFont"/>
    <w:link w:val="Footer"/>
    <w:uiPriority w:val="99"/>
    <w:rsid w:val="001A594E"/>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1A594E"/>
  </w:style>
  <w:style w:type="character" w:customStyle="1" w:styleId="Heading2Char">
    <w:name w:val="Heading 2 Char"/>
    <w:basedOn w:val="DefaultParagraphFont"/>
    <w:link w:val="Heading2"/>
    <w:uiPriority w:val="9"/>
    <w:semiHidden/>
    <w:rsid w:val="003C049C"/>
    <w:rPr>
      <w:rFonts w:asciiTheme="majorHAnsi" w:eastAsiaTheme="majorEastAsia" w:hAnsiTheme="majorHAnsi" w:cstheme="majorBidi"/>
      <w:color w:val="2F5496" w:themeColor="accent1" w:themeShade="BF"/>
      <w:sz w:val="26"/>
      <w:szCs w:val="26"/>
      <w:lang w:eastAsia="en-GB"/>
    </w:rPr>
  </w:style>
  <w:style w:type="paragraph" w:styleId="BalloonText">
    <w:name w:val="Balloon Text"/>
    <w:basedOn w:val="Normal"/>
    <w:link w:val="BalloonTextChar"/>
    <w:uiPriority w:val="99"/>
    <w:semiHidden/>
    <w:unhideWhenUsed/>
    <w:rsid w:val="00FC3860"/>
    <w:rPr>
      <w:sz w:val="18"/>
      <w:szCs w:val="18"/>
    </w:rPr>
  </w:style>
  <w:style w:type="character" w:customStyle="1" w:styleId="BalloonTextChar">
    <w:name w:val="Balloon Text Char"/>
    <w:basedOn w:val="DefaultParagraphFont"/>
    <w:link w:val="BalloonText"/>
    <w:uiPriority w:val="99"/>
    <w:semiHidden/>
    <w:rsid w:val="00FC3860"/>
    <w:rPr>
      <w:rFonts w:ascii="Times New Roman" w:eastAsia="Times New Roman" w:hAnsi="Times New Roman" w:cs="Times New Roman"/>
      <w:sz w:val="18"/>
      <w:szCs w:val="18"/>
      <w:lang w:eastAsia="en-GB"/>
    </w:rPr>
  </w:style>
  <w:style w:type="character" w:styleId="Strong">
    <w:name w:val="Strong"/>
    <w:basedOn w:val="DefaultParagraphFont"/>
    <w:uiPriority w:val="22"/>
    <w:qFormat/>
    <w:rsid w:val="00B307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36317">
      <w:bodyDiv w:val="1"/>
      <w:marLeft w:val="0"/>
      <w:marRight w:val="0"/>
      <w:marTop w:val="0"/>
      <w:marBottom w:val="0"/>
      <w:divBdr>
        <w:top w:val="none" w:sz="0" w:space="0" w:color="auto"/>
        <w:left w:val="none" w:sz="0" w:space="0" w:color="auto"/>
        <w:bottom w:val="none" w:sz="0" w:space="0" w:color="auto"/>
        <w:right w:val="none" w:sz="0" w:space="0" w:color="auto"/>
      </w:divBdr>
    </w:div>
    <w:div w:id="6100487">
      <w:bodyDiv w:val="1"/>
      <w:marLeft w:val="0"/>
      <w:marRight w:val="0"/>
      <w:marTop w:val="0"/>
      <w:marBottom w:val="0"/>
      <w:divBdr>
        <w:top w:val="none" w:sz="0" w:space="0" w:color="auto"/>
        <w:left w:val="none" w:sz="0" w:space="0" w:color="auto"/>
        <w:bottom w:val="none" w:sz="0" w:space="0" w:color="auto"/>
        <w:right w:val="none" w:sz="0" w:space="0" w:color="auto"/>
      </w:divBdr>
    </w:div>
    <w:div w:id="24868921">
      <w:bodyDiv w:val="1"/>
      <w:marLeft w:val="0"/>
      <w:marRight w:val="0"/>
      <w:marTop w:val="0"/>
      <w:marBottom w:val="0"/>
      <w:divBdr>
        <w:top w:val="none" w:sz="0" w:space="0" w:color="auto"/>
        <w:left w:val="none" w:sz="0" w:space="0" w:color="auto"/>
        <w:bottom w:val="none" w:sz="0" w:space="0" w:color="auto"/>
        <w:right w:val="none" w:sz="0" w:space="0" w:color="auto"/>
      </w:divBdr>
    </w:div>
    <w:div w:id="57634554">
      <w:bodyDiv w:val="1"/>
      <w:marLeft w:val="0"/>
      <w:marRight w:val="0"/>
      <w:marTop w:val="0"/>
      <w:marBottom w:val="0"/>
      <w:divBdr>
        <w:top w:val="none" w:sz="0" w:space="0" w:color="auto"/>
        <w:left w:val="none" w:sz="0" w:space="0" w:color="auto"/>
        <w:bottom w:val="none" w:sz="0" w:space="0" w:color="auto"/>
        <w:right w:val="none" w:sz="0" w:space="0" w:color="auto"/>
      </w:divBdr>
    </w:div>
    <w:div w:id="64230036">
      <w:bodyDiv w:val="1"/>
      <w:marLeft w:val="0"/>
      <w:marRight w:val="0"/>
      <w:marTop w:val="0"/>
      <w:marBottom w:val="0"/>
      <w:divBdr>
        <w:top w:val="none" w:sz="0" w:space="0" w:color="auto"/>
        <w:left w:val="none" w:sz="0" w:space="0" w:color="auto"/>
        <w:bottom w:val="none" w:sz="0" w:space="0" w:color="auto"/>
        <w:right w:val="none" w:sz="0" w:space="0" w:color="auto"/>
      </w:divBdr>
    </w:div>
    <w:div w:id="74210586">
      <w:bodyDiv w:val="1"/>
      <w:marLeft w:val="0"/>
      <w:marRight w:val="0"/>
      <w:marTop w:val="0"/>
      <w:marBottom w:val="0"/>
      <w:divBdr>
        <w:top w:val="none" w:sz="0" w:space="0" w:color="auto"/>
        <w:left w:val="none" w:sz="0" w:space="0" w:color="auto"/>
        <w:bottom w:val="none" w:sz="0" w:space="0" w:color="auto"/>
        <w:right w:val="none" w:sz="0" w:space="0" w:color="auto"/>
      </w:divBdr>
    </w:div>
    <w:div w:id="108746130">
      <w:bodyDiv w:val="1"/>
      <w:marLeft w:val="0"/>
      <w:marRight w:val="0"/>
      <w:marTop w:val="0"/>
      <w:marBottom w:val="0"/>
      <w:divBdr>
        <w:top w:val="none" w:sz="0" w:space="0" w:color="auto"/>
        <w:left w:val="none" w:sz="0" w:space="0" w:color="auto"/>
        <w:bottom w:val="none" w:sz="0" w:space="0" w:color="auto"/>
        <w:right w:val="none" w:sz="0" w:space="0" w:color="auto"/>
      </w:divBdr>
    </w:div>
    <w:div w:id="118647830">
      <w:bodyDiv w:val="1"/>
      <w:marLeft w:val="0"/>
      <w:marRight w:val="0"/>
      <w:marTop w:val="0"/>
      <w:marBottom w:val="0"/>
      <w:divBdr>
        <w:top w:val="none" w:sz="0" w:space="0" w:color="auto"/>
        <w:left w:val="none" w:sz="0" w:space="0" w:color="auto"/>
        <w:bottom w:val="none" w:sz="0" w:space="0" w:color="auto"/>
        <w:right w:val="none" w:sz="0" w:space="0" w:color="auto"/>
      </w:divBdr>
    </w:div>
    <w:div w:id="140772061">
      <w:bodyDiv w:val="1"/>
      <w:marLeft w:val="0"/>
      <w:marRight w:val="0"/>
      <w:marTop w:val="0"/>
      <w:marBottom w:val="0"/>
      <w:divBdr>
        <w:top w:val="none" w:sz="0" w:space="0" w:color="auto"/>
        <w:left w:val="none" w:sz="0" w:space="0" w:color="auto"/>
        <w:bottom w:val="none" w:sz="0" w:space="0" w:color="auto"/>
        <w:right w:val="none" w:sz="0" w:space="0" w:color="auto"/>
      </w:divBdr>
      <w:divsChild>
        <w:div w:id="415248618">
          <w:marLeft w:val="360"/>
          <w:marRight w:val="0"/>
          <w:marTop w:val="200"/>
          <w:marBottom w:val="0"/>
          <w:divBdr>
            <w:top w:val="none" w:sz="0" w:space="0" w:color="auto"/>
            <w:left w:val="none" w:sz="0" w:space="0" w:color="auto"/>
            <w:bottom w:val="none" w:sz="0" w:space="0" w:color="auto"/>
            <w:right w:val="none" w:sz="0" w:space="0" w:color="auto"/>
          </w:divBdr>
        </w:div>
        <w:div w:id="2110739638">
          <w:marLeft w:val="360"/>
          <w:marRight w:val="0"/>
          <w:marTop w:val="200"/>
          <w:marBottom w:val="0"/>
          <w:divBdr>
            <w:top w:val="none" w:sz="0" w:space="0" w:color="auto"/>
            <w:left w:val="none" w:sz="0" w:space="0" w:color="auto"/>
            <w:bottom w:val="none" w:sz="0" w:space="0" w:color="auto"/>
            <w:right w:val="none" w:sz="0" w:space="0" w:color="auto"/>
          </w:divBdr>
        </w:div>
        <w:div w:id="605230202">
          <w:marLeft w:val="360"/>
          <w:marRight w:val="0"/>
          <w:marTop w:val="200"/>
          <w:marBottom w:val="0"/>
          <w:divBdr>
            <w:top w:val="none" w:sz="0" w:space="0" w:color="auto"/>
            <w:left w:val="none" w:sz="0" w:space="0" w:color="auto"/>
            <w:bottom w:val="none" w:sz="0" w:space="0" w:color="auto"/>
            <w:right w:val="none" w:sz="0" w:space="0" w:color="auto"/>
          </w:divBdr>
        </w:div>
      </w:divsChild>
    </w:div>
    <w:div w:id="183136970">
      <w:bodyDiv w:val="1"/>
      <w:marLeft w:val="0"/>
      <w:marRight w:val="0"/>
      <w:marTop w:val="0"/>
      <w:marBottom w:val="0"/>
      <w:divBdr>
        <w:top w:val="none" w:sz="0" w:space="0" w:color="auto"/>
        <w:left w:val="none" w:sz="0" w:space="0" w:color="auto"/>
        <w:bottom w:val="none" w:sz="0" w:space="0" w:color="auto"/>
        <w:right w:val="none" w:sz="0" w:space="0" w:color="auto"/>
      </w:divBdr>
    </w:div>
    <w:div w:id="198126657">
      <w:bodyDiv w:val="1"/>
      <w:marLeft w:val="0"/>
      <w:marRight w:val="0"/>
      <w:marTop w:val="0"/>
      <w:marBottom w:val="0"/>
      <w:divBdr>
        <w:top w:val="none" w:sz="0" w:space="0" w:color="auto"/>
        <w:left w:val="none" w:sz="0" w:space="0" w:color="auto"/>
        <w:bottom w:val="none" w:sz="0" w:space="0" w:color="auto"/>
        <w:right w:val="none" w:sz="0" w:space="0" w:color="auto"/>
      </w:divBdr>
    </w:div>
    <w:div w:id="230892773">
      <w:bodyDiv w:val="1"/>
      <w:marLeft w:val="0"/>
      <w:marRight w:val="0"/>
      <w:marTop w:val="0"/>
      <w:marBottom w:val="0"/>
      <w:divBdr>
        <w:top w:val="none" w:sz="0" w:space="0" w:color="auto"/>
        <w:left w:val="none" w:sz="0" w:space="0" w:color="auto"/>
        <w:bottom w:val="none" w:sz="0" w:space="0" w:color="auto"/>
        <w:right w:val="none" w:sz="0" w:space="0" w:color="auto"/>
      </w:divBdr>
      <w:divsChild>
        <w:div w:id="886792702">
          <w:blockQuote w:val="1"/>
          <w:marLeft w:val="0"/>
          <w:marRight w:val="0"/>
          <w:marTop w:val="450"/>
          <w:marBottom w:val="450"/>
          <w:divBdr>
            <w:top w:val="none" w:sz="0" w:space="0" w:color="auto"/>
            <w:left w:val="none" w:sz="0" w:space="0" w:color="auto"/>
            <w:bottom w:val="none" w:sz="0" w:space="0" w:color="auto"/>
            <w:right w:val="none" w:sz="0" w:space="0" w:color="auto"/>
          </w:divBdr>
        </w:div>
      </w:divsChild>
    </w:div>
    <w:div w:id="232356633">
      <w:bodyDiv w:val="1"/>
      <w:marLeft w:val="0"/>
      <w:marRight w:val="0"/>
      <w:marTop w:val="0"/>
      <w:marBottom w:val="0"/>
      <w:divBdr>
        <w:top w:val="none" w:sz="0" w:space="0" w:color="auto"/>
        <w:left w:val="none" w:sz="0" w:space="0" w:color="auto"/>
        <w:bottom w:val="none" w:sz="0" w:space="0" w:color="auto"/>
        <w:right w:val="none" w:sz="0" w:space="0" w:color="auto"/>
      </w:divBdr>
    </w:div>
    <w:div w:id="244001774">
      <w:bodyDiv w:val="1"/>
      <w:marLeft w:val="0"/>
      <w:marRight w:val="0"/>
      <w:marTop w:val="0"/>
      <w:marBottom w:val="0"/>
      <w:divBdr>
        <w:top w:val="none" w:sz="0" w:space="0" w:color="auto"/>
        <w:left w:val="none" w:sz="0" w:space="0" w:color="auto"/>
        <w:bottom w:val="none" w:sz="0" w:space="0" w:color="auto"/>
        <w:right w:val="none" w:sz="0" w:space="0" w:color="auto"/>
      </w:divBdr>
    </w:div>
    <w:div w:id="254677686">
      <w:bodyDiv w:val="1"/>
      <w:marLeft w:val="0"/>
      <w:marRight w:val="0"/>
      <w:marTop w:val="0"/>
      <w:marBottom w:val="0"/>
      <w:divBdr>
        <w:top w:val="none" w:sz="0" w:space="0" w:color="auto"/>
        <w:left w:val="none" w:sz="0" w:space="0" w:color="auto"/>
        <w:bottom w:val="none" w:sz="0" w:space="0" w:color="auto"/>
        <w:right w:val="none" w:sz="0" w:space="0" w:color="auto"/>
      </w:divBdr>
    </w:div>
    <w:div w:id="257833995">
      <w:bodyDiv w:val="1"/>
      <w:marLeft w:val="0"/>
      <w:marRight w:val="0"/>
      <w:marTop w:val="0"/>
      <w:marBottom w:val="0"/>
      <w:divBdr>
        <w:top w:val="none" w:sz="0" w:space="0" w:color="auto"/>
        <w:left w:val="none" w:sz="0" w:space="0" w:color="auto"/>
        <w:bottom w:val="none" w:sz="0" w:space="0" w:color="auto"/>
        <w:right w:val="none" w:sz="0" w:space="0" w:color="auto"/>
      </w:divBdr>
    </w:div>
    <w:div w:id="258216690">
      <w:bodyDiv w:val="1"/>
      <w:marLeft w:val="0"/>
      <w:marRight w:val="0"/>
      <w:marTop w:val="0"/>
      <w:marBottom w:val="0"/>
      <w:divBdr>
        <w:top w:val="none" w:sz="0" w:space="0" w:color="auto"/>
        <w:left w:val="none" w:sz="0" w:space="0" w:color="auto"/>
        <w:bottom w:val="none" w:sz="0" w:space="0" w:color="auto"/>
        <w:right w:val="none" w:sz="0" w:space="0" w:color="auto"/>
      </w:divBdr>
    </w:div>
    <w:div w:id="270743259">
      <w:bodyDiv w:val="1"/>
      <w:marLeft w:val="0"/>
      <w:marRight w:val="0"/>
      <w:marTop w:val="0"/>
      <w:marBottom w:val="0"/>
      <w:divBdr>
        <w:top w:val="none" w:sz="0" w:space="0" w:color="auto"/>
        <w:left w:val="none" w:sz="0" w:space="0" w:color="auto"/>
        <w:bottom w:val="none" w:sz="0" w:space="0" w:color="auto"/>
        <w:right w:val="none" w:sz="0" w:space="0" w:color="auto"/>
      </w:divBdr>
    </w:div>
    <w:div w:id="280773249">
      <w:bodyDiv w:val="1"/>
      <w:marLeft w:val="0"/>
      <w:marRight w:val="0"/>
      <w:marTop w:val="0"/>
      <w:marBottom w:val="0"/>
      <w:divBdr>
        <w:top w:val="none" w:sz="0" w:space="0" w:color="auto"/>
        <w:left w:val="none" w:sz="0" w:space="0" w:color="auto"/>
        <w:bottom w:val="none" w:sz="0" w:space="0" w:color="auto"/>
        <w:right w:val="none" w:sz="0" w:space="0" w:color="auto"/>
      </w:divBdr>
    </w:div>
    <w:div w:id="281036016">
      <w:bodyDiv w:val="1"/>
      <w:marLeft w:val="0"/>
      <w:marRight w:val="0"/>
      <w:marTop w:val="0"/>
      <w:marBottom w:val="0"/>
      <w:divBdr>
        <w:top w:val="none" w:sz="0" w:space="0" w:color="auto"/>
        <w:left w:val="none" w:sz="0" w:space="0" w:color="auto"/>
        <w:bottom w:val="none" w:sz="0" w:space="0" w:color="auto"/>
        <w:right w:val="none" w:sz="0" w:space="0" w:color="auto"/>
      </w:divBdr>
    </w:div>
    <w:div w:id="300422857">
      <w:bodyDiv w:val="1"/>
      <w:marLeft w:val="0"/>
      <w:marRight w:val="0"/>
      <w:marTop w:val="0"/>
      <w:marBottom w:val="0"/>
      <w:divBdr>
        <w:top w:val="none" w:sz="0" w:space="0" w:color="auto"/>
        <w:left w:val="none" w:sz="0" w:space="0" w:color="auto"/>
        <w:bottom w:val="none" w:sz="0" w:space="0" w:color="auto"/>
        <w:right w:val="none" w:sz="0" w:space="0" w:color="auto"/>
      </w:divBdr>
    </w:div>
    <w:div w:id="302731651">
      <w:bodyDiv w:val="1"/>
      <w:marLeft w:val="0"/>
      <w:marRight w:val="0"/>
      <w:marTop w:val="0"/>
      <w:marBottom w:val="0"/>
      <w:divBdr>
        <w:top w:val="none" w:sz="0" w:space="0" w:color="auto"/>
        <w:left w:val="none" w:sz="0" w:space="0" w:color="auto"/>
        <w:bottom w:val="none" w:sz="0" w:space="0" w:color="auto"/>
        <w:right w:val="none" w:sz="0" w:space="0" w:color="auto"/>
      </w:divBdr>
    </w:div>
    <w:div w:id="331572099">
      <w:bodyDiv w:val="1"/>
      <w:marLeft w:val="0"/>
      <w:marRight w:val="0"/>
      <w:marTop w:val="0"/>
      <w:marBottom w:val="0"/>
      <w:divBdr>
        <w:top w:val="none" w:sz="0" w:space="0" w:color="auto"/>
        <w:left w:val="none" w:sz="0" w:space="0" w:color="auto"/>
        <w:bottom w:val="none" w:sz="0" w:space="0" w:color="auto"/>
        <w:right w:val="none" w:sz="0" w:space="0" w:color="auto"/>
      </w:divBdr>
    </w:div>
    <w:div w:id="339704271">
      <w:bodyDiv w:val="1"/>
      <w:marLeft w:val="0"/>
      <w:marRight w:val="0"/>
      <w:marTop w:val="0"/>
      <w:marBottom w:val="0"/>
      <w:divBdr>
        <w:top w:val="none" w:sz="0" w:space="0" w:color="auto"/>
        <w:left w:val="none" w:sz="0" w:space="0" w:color="auto"/>
        <w:bottom w:val="none" w:sz="0" w:space="0" w:color="auto"/>
        <w:right w:val="none" w:sz="0" w:space="0" w:color="auto"/>
      </w:divBdr>
    </w:div>
    <w:div w:id="354576428">
      <w:bodyDiv w:val="1"/>
      <w:marLeft w:val="0"/>
      <w:marRight w:val="0"/>
      <w:marTop w:val="0"/>
      <w:marBottom w:val="0"/>
      <w:divBdr>
        <w:top w:val="none" w:sz="0" w:space="0" w:color="auto"/>
        <w:left w:val="none" w:sz="0" w:space="0" w:color="auto"/>
        <w:bottom w:val="none" w:sz="0" w:space="0" w:color="auto"/>
        <w:right w:val="none" w:sz="0" w:space="0" w:color="auto"/>
      </w:divBdr>
    </w:div>
    <w:div w:id="357122998">
      <w:bodyDiv w:val="1"/>
      <w:marLeft w:val="0"/>
      <w:marRight w:val="0"/>
      <w:marTop w:val="0"/>
      <w:marBottom w:val="0"/>
      <w:divBdr>
        <w:top w:val="none" w:sz="0" w:space="0" w:color="auto"/>
        <w:left w:val="none" w:sz="0" w:space="0" w:color="auto"/>
        <w:bottom w:val="none" w:sz="0" w:space="0" w:color="auto"/>
        <w:right w:val="none" w:sz="0" w:space="0" w:color="auto"/>
      </w:divBdr>
      <w:divsChild>
        <w:div w:id="1475760896">
          <w:marLeft w:val="360"/>
          <w:marRight w:val="0"/>
          <w:marTop w:val="200"/>
          <w:marBottom w:val="0"/>
          <w:divBdr>
            <w:top w:val="none" w:sz="0" w:space="0" w:color="auto"/>
            <w:left w:val="none" w:sz="0" w:space="0" w:color="auto"/>
            <w:bottom w:val="none" w:sz="0" w:space="0" w:color="auto"/>
            <w:right w:val="none" w:sz="0" w:space="0" w:color="auto"/>
          </w:divBdr>
        </w:div>
        <w:div w:id="271522688">
          <w:marLeft w:val="360"/>
          <w:marRight w:val="0"/>
          <w:marTop w:val="200"/>
          <w:marBottom w:val="0"/>
          <w:divBdr>
            <w:top w:val="none" w:sz="0" w:space="0" w:color="auto"/>
            <w:left w:val="none" w:sz="0" w:space="0" w:color="auto"/>
            <w:bottom w:val="none" w:sz="0" w:space="0" w:color="auto"/>
            <w:right w:val="none" w:sz="0" w:space="0" w:color="auto"/>
          </w:divBdr>
        </w:div>
        <w:div w:id="1955167745">
          <w:marLeft w:val="360"/>
          <w:marRight w:val="0"/>
          <w:marTop w:val="200"/>
          <w:marBottom w:val="0"/>
          <w:divBdr>
            <w:top w:val="none" w:sz="0" w:space="0" w:color="auto"/>
            <w:left w:val="none" w:sz="0" w:space="0" w:color="auto"/>
            <w:bottom w:val="none" w:sz="0" w:space="0" w:color="auto"/>
            <w:right w:val="none" w:sz="0" w:space="0" w:color="auto"/>
          </w:divBdr>
        </w:div>
      </w:divsChild>
    </w:div>
    <w:div w:id="368115806">
      <w:bodyDiv w:val="1"/>
      <w:marLeft w:val="0"/>
      <w:marRight w:val="0"/>
      <w:marTop w:val="0"/>
      <w:marBottom w:val="0"/>
      <w:divBdr>
        <w:top w:val="none" w:sz="0" w:space="0" w:color="auto"/>
        <w:left w:val="none" w:sz="0" w:space="0" w:color="auto"/>
        <w:bottom w:val="none" w:sz="0" w:space="0" w:color="auto"/>
        <w:right w:val="none" w:sz="0" w:space="0" w:color="auto"/>
      </w:divBdr>
    </w:div>
    <w:div w:id="390151798">
      <w:bodyDiv w:val="1"/>
      <w:marLeft w:val="0"/>
      <w:marRight w:val="0"/>
      <w:marTop w:val="0"/>
      <w:marBottom w:val="0"/>
      <w:divBdr>
        <w:top w:val="none" w:sz="0" w:space="0" w:color="auto"/>
        <w:left w:val="none" w:sz="0" w:space="0" w:color="auto"/>
        <w:bottom w:val="none" w:sz="0" w:space="0" w:color="auto"/>
        <w:right w:val="none" w:sz="0" w:space="0" w:color="auto"/>
      </w:divBdr>
    </w:div>
    <w:div w:id="411708086">
      <w:bodyDiv w:val="1"/>
      <w:marLeft w:val="0"/>
      <w:marRight w:val="0"/>
      <w:marTop w:val="0"/>
      <w:marBottom w:val="0"/>
      <w:divBdr>
        <w:top w:val="none" w:sz="0" w:space="0" w:color="auto"/>
        <w:left w:val="none" w:sz="0" w:space="0" w:color="auto"/>
        <w:bottom w:val="none" w:sz="0" w:space="0" w:color="auto"/>
        <w:right w:val="none" w:sz="0" w:space="0" w:color="auto"/>
      </w:divBdr>
    </w:div>
    <w:div w:id="467477555">
      <w:bodyDiv w:val="1"/>
      <w:marLeft w:val="0"/>
      <w:marRight w:val="0"/>
      <w:marTop w:val="0"/>
      <w:marBottom w:val="0"/>
      <w:divBdr>
        <w:top w:val="none" w:sz="0" w:space="0" w:color="auto"/>
        <w:left w:val="none" w:sz="0" w:space="0" w:color="auto"/>
        <w:bottom w:val="none" w:sz="0" w:space="0" w:color="auto"/>
        <w:right w:val="none" w:sz="0" w:space="0" w:color="auto"/>
      </w:divBdr>
    </w:div>
    <w:div w:id="471408271">
      <w:bodyDiv w:val="1"/>
      <w:marLeft w:val="0"/>
      <w:marRight w:val="0"/>
      <w:marTop w:val="0"/>
      <w:marBottom w:val="0"/>
      <w:divBdr>
        <w:top w:val="none" w:sz="0" w:space="0" w:color="auto"/>
        <w:left w:val="none" w:sz="0" w:space="0" w:color="auto"/>
        <w:bottom w:val="none" w:sz="0" w:space="0" w:color="auto"/>
        <w:right w:val="none" w:sz="0" w:space="0" w:color="auto"/>
      </w:divBdr>
    </w:div>
    <w:div w:id="484779947">
      <w:bodyDiv w:val="1"/>
      <w:marLeft w:val="0"/>
      <w:marRight w:val="0"/>
      <w:marTop w:val="0"/>
      <w:marBottom w:val="0"/>
      <w:divBdr>
        <w:top w:val="none" w:sz="0" w:space="0" w:color="auto"/>
        <w:left w:val="none" w:sz="0" w:space="0" w:color="auto"/>
        <w:bottom w:val="none" w:sz="0" w:space="0" w:color="auto"/>
        <w:right w:val="none" w:sz="0" w:space="0" w:color="auto"/>
      </w:divBdr>
    </w:div>
    <w:div w:id="484905808">
      <w:bodyDiv w:val="1"/>
      <w:marLeft w:val="0"/>
      <w:marRight w:val="0"/>
      <w:marTop w:val="0"/>
      <w:marBottom w:val="0"/>
      <w:divBdr>
        <w:top w:val="none" w:sz="0" w:space="0" w:color="auto"/>
        <w:left w:val="none" w:sz="0" w:space="0" w:color="auto"/>
        <w:bottom w:val="none" w:sz="0" w:space="0" w:color="auto"/>
        <w:right w:val="none" w:sz="0" w:space="0" w:color="auto"/>
      </w:divBdr>
    </w:div>
    <w:div w:id="507445508">
      <w:bodyDiv w:val="1"/>
      <w:marLeft w:val="0"/>
      <w:marRight w:val="0"/>
      <w:marTop w:val="0"/>
      <w:marBottom w:val="0"/>
      <w:divBdr>
        <w:top w:val="none" w:sz="0" w:space="0" w:color="auto"/>
        <w:left w:val="none" w:sz="0" w:space="0" w:color="auto"/>
        <w:bottom w:val="none" w:sz="0" w:space="0" w:color="auto"/>
        <w:right w:val="none" w:sz="0" w:space="0" w:color="auto"/>
      </w:divBdr>
      <w:divsChild>
        <w:div w:id="831334623">
          <w:marLeft w:val="360"/>
          <w:marRight w:val="0"/>
          <w:marTop w:val="200"/>
          <w:marBottom w:val="0"/>
          <w:divBdr>
            <w:top w:val="none" w:sz="0" w:space="0" w:color="auto"/>
            <w:left w:val="none" w:sz="0" w:space="0" w:color="auto"/>
            <w:bottom w:val="none" w:sz="0" w:space="0" w:color="auto"/>
            <w:right w:val="none" w:sz="0" w:space="0" w:color="auto"/>
          </w:divBdr>
        </w:div>
        <w:div w:id="744692631">
          <w:marLeft w:val="360"/>
          <w:marRight w:val="0"/>
          <w:marTop w:val="200"/>
          <w:marBottom w:val="0"/>
          <w:divBdr>
            <w:top w:val="none" w:sz="0" w:space="0" w:color="auto"/>
            <w:left w:val="none" w:sz="0" w:space="0" w:color="auto"/>
            <w:bottom w:val="none" w:sz="0" w:space="0" w:color="auto"/>
            <w:right w:val="none" w:sz="0" w:space="0" w:color="auto"/>
          </w:divBdr>
        </w:div>
        <w:div w:id="1171486717">
          <w:marLeft w:val="360"/>
          <w:marRight w:val="0"/>
          <w:marTop w:val="200"/>
          <w:marBottom w:val="0"/>
          <w:divBdr>
            <w:top w:val="none" w:sz="0" w:space="0" w:color="auto"/>
            <w:left w:val="none" w:sz="0" w:space="0" w:color="auto"/>
            <w:bottom w:val="none" w:sz="0" w:space="0" w:color="auto"/>
            <w:right w:val="none" w:sz="0" w:space="0" w:color="auto"/>
          </w:divBdr>
        </w:div>
        <w:div w:id="1225876608">
          <w:marLeft w:val="360"/>
          <w:marRight w:val="0"/>
          <w:marTop w:val="200"/>
          <w:marBottom w:val="0"/>
          <w:divBdr>
            <w:top w:val="none" w:sz="0" w:space="0" w:color="auto"/>
            <w:left w:val="none" w:sz="0" w:space="0" w:color="auto"/>
            <w:bottom w:val="none" w:sz="0" w:space="0" w:color="auto"/>
            <w:right w:val="none" w:sz="0" w:space="0" w:color="auto"/>
          </w:divBdr>
        </w:div>
      </w:divsChild>
    </w:div>
    <w:div w:id="516236168">
      <w:bodyDiv w:val="1"/>
      <w:marLeft w:val="0"/>
      <w:marRight w:val="0"/>
      <w:marTop w:val="0"/>
      <w:marBottom w:val="0"/>
      <w:divBdr>
        <w:top w:val="none" w:sz="0" w:space="0" w:color="auto"/>
        <w:left w:val="none" w:sz="0" w:space="0" w:color="auto"/>
        <w:bottom w:val="none" w:sz="0" w:space="0" w:color="auto"/>
        <w:right w:val="none" w:sz="0" w:space="0" w:color="auto"/>
      </w:divBdr>
    </w:div>
    <w:div w:id="520902405">
      <w:bodyDiv w:val="1"/>
      <w:marLeft w:val="0"/>
      <w:marRight w:val="0"/>
      <w:marTop w:val="0"/>
      <w:marBottom w:val="0"/>
      <w:divBdr>
        <w:top w:val="none" w:sz="0" w:space="0" w:color="auto"/>
        <w:left w:val="none" w:sz="0" w:space="0" w:color="auto"/>
        <w:bottom w:val="none" w:sz="0" w:space="0" w:color="auto"/>
        <w:right w:val="none" w:sz="0" w:space="0" w:color="auto"/>
      </w:divBdr>
    </w:div>
    <w:div w:id="523831251">
      <w:bodyDiv w:val="1"/>
      <w:marLeft w:val="0"/>
      <w:marRight w:val="0"/>
      <w:marTop w:val="0"/>
      <w:marBottom w:val="0"/>
      <w:divBdr>
        <w:top w:val="none" w:sz="0" w:space="0" w:color="auto"/>
        <w:left w:val="none" w:sz="0" w:space="0" w:color="auto"/>
        <w:bottom w:val="none" w:sz="0" w:space="0" w:color="auto"/>
        <w:right w:val="none" w:sz="0" w:space="0" w:color="auto"/>
      </w:divBdr>
    </w:div>
    <w:div w:id="525019933">
      <w:bodyDiv w:val="1"/>
      <w:marLeft w:val="0"/>
      <w:marRight w:val="0"/>
      <w:marTop w:val="0"/>
      <w:marBottom w:val="0"/>
      <w:divBdr>
        <w:top w:val="none" w:sz="0" w:space="0" w:color="auto"/>
        <w:left w:val="none" w:sz="0" w:space="0" w:color="auto"/>
        <w:bottom w:val="none" w:sz="0" w:space="0" w:color="auto"/>
        <w:right w:val="none" w:sz="0" w:space="0" w:color="auto"/>
      </w:divBdr>
    </w:div>
    <w:div w:id="544682969">
      <w:bodyDiv w:val="1"/>
      <w:marLeft w:val="0"/>
      <w:marRight w:val="0"/>
      <w:marTop w:val="0"/>
      <w:marBottom w:val="0"/>
      <w:divBdr>
        <w:top w:val="none" w:sz="0" w:space="0" w:color="auto"/>
        <w:left w:val="none" w:sz="0" w:space="0" w:color="auto"/>
        <w:bottom w:val="none" w:sz="0" w:space="0" w:color="auto"/>
        <w:right w:val="none" w:sz="0" w:space="0" w:color="auto"/>
      </w:divBdr>
    </w:div>
    <w:div w:id="559555806">
      <w:bodyDiv w:val="1"/>
      <w:marLeft w:val="0"/>
      <w:marRight w:val="0"/>
      <w:marTop w:val="0"/>
      <w:marBottom w:val="0"/>
      <w:divBdr>
        <w:top w:val="none" w:sz="0" w:space="0" w:color="auto"/>
        <w:left w:val="none" w:sz="0" w:space="0" w:color="auto"/>
        <w:bottom w:val="none" w:sz="0" w:space="0" w:color="auto"/>
        <w:right w:val="none" w:sz="0" w:space="0" w:color="auto"/>
      </w:divBdr>
    </w:div>
    <w:div w:id="591739793">
      <w:bodyDiv w:val="1"/>
      <w:marLeft w:val="0"/>
      <w:marRight w:val="0"/>
      <w:marTop w:val="0"/>
      <w:marBottom w:val="0"/>
      <w:divBdr>
        <w:top w:val="none" w:sz="0" w:space="0" w:color="auto"/>
        <w:left w:val="none" w:sz="0" w:space="0" w:color="auto"/>
        <w:bottom w:val="none" w:sz="0" w:space="0" w:color="auto"/>
        <w:right w:val="none" w:sz="0" w:space="0" w:color="auto"/>
      </w:divBdr>
    </w:div>
    <w:div w:id="600258894">
      <w:bodyDiv w:val="1"/>
      <w:marLeft w:val="0"/>
      <w:marRight w:val="0"/>
      <w:marTop w:val="0"/>
      <w:marBottom w:val="0"/>
      <w:divBdr>
        <w:top w:val="none" w:sz="0" w:space="0" w:color="auto"/>
        <w:left w:val="none" w:sz="0" w:space="0" w:color="auto"/>
        <w:bottom w:val="none" w:sz="0" w:space="0" w:color="auto"/>
        <w:right w:val="none" w:sz="0" w:space="0" w:color="auto"/>
      </w:divBdr>
    </w:div>
    <w:div w:id="625550936">
      <w:bodyDiv w:val="1"/>
      <w:marLeft w:val="0"/>
      <w:marRight w:val="0"/>
      <w:marTop w:val="0"/>
      <w:marBottom w:val="0"/>
      <w:divBdr>
        <w:top w:val="none" w:sz="0" w:space="0" w:color="auto"/>
        <w:left w:val="none" w:sz="0" w:space="0" w:color="auto"/>
        <w:bottom w:val="none" w:sz="0" w:space="0" w:color="auto"/>
        <w:right w:val="none" w:sz="0" w:space="0" w:color="auto"/>
      </w:divBdr>
    </w:div>
    <w:div w:id="632517146">
      <w:bodyDiv w:val="1"/>
      <w:marLeft w:val="0"/>
      <w:marRight w:val="0"/>
      <w:marTop w:val="0"/>
      <w:marBottom w:val="0"/>
      <w:divBdr>
        <w:top w:val="none" w:sz="0" w:space="0" w:color="auto"/>
        <w:left w:val="none" w:sz="0" w:space="0" w:color="auto"/>
        <w:bottom w:val="none" w:sz="0" w:space="0" w:color="auto"/>
        <w:right w:val="none" w:sz="0" w:space="0" w:color="auto"/>
      </w:divBdr>
    </w:div>
    <w:div w:id="652023056">
      <w:bodyDiv w:val="1"/>
      <w:marLeft w:val="0"/>
      <w:marRight w:val="0"/>
      <w:marTop w:val="0"/>
      <w:marBottom w:val="0"/>
      <w:divBdr>
        <w:top w:val="none" w:sz="0" w:space="0" w:color="auto"/>
        <w:left w:val="none" w:sz="0" w:space="0" w:color="auto"/>
        <w:bottom w:val="none" w:sz="0" w:space="0" w:color="auto"/>
        <w:right w:val="none" w:sz="0" w:space="0" w:color="auto"/>
      </w:divBdr>
    </w:div>
    <w:div w:id="655114550">
      <w:bodyDiv w:val="1"/>
      <w:marLeft w:val="0"/>
      <w:marRight w:val="0"/>
      <w:marTop w:val="0"/>
      <w:marBottom w:val="0"/>
      <w:divBdr>
        <w:top w:val="none" w:sz="0" w:space="0" w:color="auto"/>
        <w:left w:val="none" w:sz="0" w:space="0" w:color="auto"/>
        <w:bottom w:val="none" w:sz="0" w:space="0" w:color="auto"/>
        <w:right w:val="none" w:sz="0" w:space="0" w:color="auto"/>
      </w:divBdr>
    </w:div>
    <w:div w:id="662391728">
      <w:bodyDiv w:val="1"/>
      <w:marLeft w:val="0"/>
      <w:marRight w:val="0"/>
      <w:marTop w:val="0"/>
      <w:marBottom w:val="0"/>
      <w:divBdr>
        <w:top w:val="none" w:sz="0" w:space="0" w:color="auto"/>
        <w:left w:val="none" w:sz="0" w:space="0" w:color="auto"/>
        <w:bottom w:val="none" w:sz="0" w:space="0" w:color="auto"/>
        <w:right w:val="none" w:sz="0" w:space="0" w:color="auto"/>
      </w:divBdr>
    </w:div>
    <w:div w:id="689646681">
      <w:bodyDiv w:val="1"/>
      <w:marLeft w:val="0"/>
      <w:marRight w:val="0"/>
      <w:marTop w:val="0"/>
      <w:marBottom w:val="0"/>
      <w:divBdr>
        <w:top w:val="none" w:sz="0" w:space="0" w:color="auto"/>
        <w:left w:val="none" w:sz="0" w:space="0" w:color="auto"/>
        <w:bottom w:val="none" w:sz="0" w:space="0" w:color="auto"/>
        <w:right w:val="none" w:sz="0" w:space="0" w:color="auto"/>
      </w:divBdr>
    </w:div>
    <w:div w:id="691953567">
      <w:bodyDiv w:val="1"/>
      <w:marLeft w:val="0"/>
      <w:marRight w:val="0"/>
      <w:marTop w:val="0"/>
      <w:marBottom w:val="0"/>
      <w:divBdr>
        <w:top w:val="none" w:sz="0" w:space="0" w:color="auto"/>
        <w:left w:val="none" w:sz="0" w:space="0" w:color="auto"/>
        <w:bottom w:val="none" w:sz="0" w:space="0" w:color="auto"/>
        <w:right w:val="none" w:sz="0" w:space="0" w:color="auto"/>
      </w:divBdr>
    </w:div>
    <w:div w:id="699163834">
      <w:bodyDiv w:val="1"/>
      <w:marLeft w:val="0"/>
      <w:marRight w:val="0"/>
      <w:marTop w:val="0"/>
      <w:marBottom w:val="0"/>
      <w:divBdr>
        <w:top w:val="none" w:sz="0" w:space="0" w:color="auto"/>
        <w:left w:val="none" w:sz="0" w:space="0" w:color="auto"/>
        <w:bottom w:val="none" w:sz="0" w:space="0" w:color="auto"/>
        <w:right w:val="none" w:sz="0" w:space="0" w:color="auto"/>
      </w:divBdr>
    </w:div>
    <w:div w:id="740442063">
      <w:bodyDiv w:val="1"/>
      <w:marLeft w:val="0"/>
      <w:marRight w:val="0"/>
      <w:marTop w:val="0"/>
      <w:marBottom w:val="0"/>
      <w:divBdr>
        <w:top w:val="none" w:sz="0" w:space="0" w:color="auto"/>
        <w:left w:val="none" w:sz="0" w:space="0" w:color="auto"/>
        <w:bottom w:val="none" w:sz="0" w:space="0" w:color="auto"/>
        <w:right w:val="none" w:sz="0" w:space="0" w:color="auto"/>
      </w:divBdr>
    </w:div>
    <w:div w:id="743337249">
      <w:bodyDiv w:val="1"/>
      <w:marLeft w:val="0"/>
      <w:marRight w:val="0"/>
      <w:marTop w:val="0"/>
      <w:marBottom w:val="0"/>
      <w:divBdr>
        <w:top w:val="none" w:sz="0" w:space="0" w:color="auto"/>
        <w:left w:val="none" w:sz="0" w:space="0" w:color="auto"/>
        <w:bottom w:val="none" w:sz="0" w:space="0" w:color="auto"/>
        <w:right w:val="none" w:sz="0" w:space="0" w:color="auto"/>
      </w:divBdr>
    </w:div>
    <w:div w:id="760297259">
      <w:bodyDiv w:val="1"/>
      <w:marLeft w:val="0"/>
      <w:marRight w:val="0"/>
      <w:marTop w:val="0"/>
      <w:marBottom w:val="0"/>
      <w:divBdr>
        <w:top w:val="none" w:sz="0" w:space="0" w:color="auto"/>
        <w:left w:val="none" w:sz="0" w:space="0" w:color="auto"/>
        <w:bottom w:val="none" w:sz="0" w:space="0" w:color="auto"/>
        <w:right w:val="none" w:sz="0" w:space="0" w:color="auto"/>
      </w:divBdr>
    </w:div>
    <w:div w:id="768432293">
      <w:bodyDiv w:val="1"/>
      <w:marLeft w:val="0"/>
      <w:marRight w:val="0"/>
      <w:marTop w:val="0"/>
      <w:marBottom w:val="0"/>
      <w:divBdr>
        <w:top w:val="none" w:sz="0" w:space="0" w:color="auto"/>
        <w:left w:val="none" w:sz="0" w:space="0" w:color="auto"/>
        <w:bottom w:val="none" w:sz="0" w:space="0" w:color="auto"/>
        <w:right w:val="none" w:sz="0" w:space="0" w:color="auto"/>
      </w:divBdr>
    </w:div>
    <w:div w:id="791435077">
      <w:bodyDiv w:val="1"/>
      <w:marLeft w:val="0"/>
      <w:marRight w:val="0"/>
      <w:marTop w:val="0"/>
      <w:marBottom w:val="0"/>
      <w:divBdr>
        <w:top w:val="none" w:sz="0" w:space="0" w:color="auto"/>
        <w:left w:val="none" w:sz="0" w:space="0" w:color="auto"/>
        <w:bottom w:val="none" w:sz="0" w:space="0" w:color="auto"/>
        <w:right w:val="none" w:sz="0" w:space="0" w:color="auto"/>
      </w:divBdr>
    </w:div>
    <w:div w:id="805046996">
      <w:bodyDiv w:val="1"/>
      <w:marLeft w:val="0"/>
      <w:marRight w:val="0"/>
      <w:marTop w:val="0"/>
      <w:marBottom w:val="0"/>
      <w:divBdr>
        <w:top w:val="none" w:sz="0" w:space="0" w:color="auto"/>
        <w:left w:val="none" w:sz="0" w:space="0" w:color="auto"/>
        <w:bottom w:val="none" w:sz="0" w:space="0" w:color="auto"/>
        <w:right w:val="none" w:sz="0" w:space="0" w:color="auto"/>
      </w:divBdr>
    </w:div>
    <w:div w:id="806360080">
      <w:bodyDiv w:val="1"/>
      <w:marLeft w:val="0"/>
      <w:marRight w:val="0"/>
      <w:marTop w:val="0"/>
      <w:marBottom w:val="0"/>
      <w:divBdr>
        <w:top w:val="none" w:sz="0" w:space="0" w:color="auto"/>
        <w:left w:val="none" w:sz="0" w:space="0" w:color="auto"/>
        <w:bottom w:val="none" w:sz="0" w:space="0" w:color="auto"/>
        <w:right w:val="none" w:sz="0" w:space="0" w:color="auto"/>
      </w:divBdr>
      <w:divsChild>
        <w:div w:id="721945507">
          <w:marLeft w:val="360"/>
          <w:marRight w:val="0"/>
          <w:marTop w:val="200"/>
          <w:marBottom w:val="0"/>
          <w:divBdr>
            <w:top w:val="none" w:sz="0" w:space="0" w:color="auto"/>
            <w:left w:val="none" w:sz="0" w:space="0" w:color="auto"/>
            <w:bottom w:val="none" w:sz="0" w:space="0" w:color="auto"/>
            <w:right w:val="none" w:sz="0" w:space="0" w:color="auto"/>
          </w:divBdr>
        </w:div>
        <w:div w:id="1267807500">
          <w:marLeft w:val="360"/>
          <w:marRight w:val="0"/>
          <w:marTop w:val="200"/>
          <w:marBottom w:val="0"/>
          <w:divBdr>
            <w:top w:val="none" w:sz="0" w:space="0" w:color="auto"/>
            <w:left w:val="none" w:sz="0" w:space="0" w:color="auto"/>
            <w:bottom w:val="none" w:sz="0" w:space="0" w:color="auto"/>
            <w:right w:val="none" w:sz="0" w:space="0" w:color="auto"/>
          </w:divBdr>
        </w:div>
        <w:div w:id="830945824">
          <w:marLeft w:val="360"/>
          <w:marRight w:val="0"/>
          <w:marTop w:val="200"/>
          <w:marBottom w:val="0"/>
          <w:divBdr>
            <w:top w:val="none" w:sz="0" w:space="0" w:color="auto"/>
            <w:left w:val="none" w:sz="0" w:space="0" w:color="auto"/>
            <w:bottom w:val="none" w:sz="0" w:space="0" w:color="auto"/>
            <w:right w:val="none" w:sz="0" w:space="0" w:color="auto"/>
          </w:divBdr>
        </w:div>
        <w:div w:id="1174566578">
          <w:marLeft w:val="360"/>
          <w:marRight w:val="0"/>
          <w:marTop w:val="200"/>
          <w:marBottom w:val="0"/>
          <w:divBdr>
            <w:top w:val="none" w:sz="0" w:space="0" w:color="auto"/>
            <w:left w:val="none" w:sz="0" w:space="0" w:color="auto"/>
            <w:bottom w:val="none" w:sz="0" w:space="0" w:color="auto"/>
            <w:right w:val="none" w:sz="0" w:space="0" w:color="auto"/>
          </w:divBdr>
        </w:div>
        <w:div w:id="57901011">
          <w:marLeft w:val="360"/>
          <w:marRight w:val="0"/>
          <w:marTop w:val="200"/>
          <w:marBottom w:val="0"/>
          <w:divBdr>
            <w:top w:val="none" w:sz="0" w:space="0" w:color="auto"/>
            <w:left w:val="none" w:sz="0" w:space="0" w:color="auto"/>
            <w:bottom w:val="none" w:sz="0" w:space="0" w:color="auto"/>
            <w:right w:val="none" w:sz="0" w:space="0" w:color="auto"/>
          </w:divBdr>
        </w:div>
        <w:div w:id="286132459">
          <w:marLeft w:val="360"/>
          <w:marRight w:val="0"/>
          <w:marTop w:val="200"/>
          <w:marBottom w:val="0"/>
          <w:divBdr>
            <w:top w:val="none" w:sz="0" w:space="0" w:color="auto"/>
            <w:left w:val="none" w:sz="0" w:space="0" w:color="auto"/>
            <w:bottom w:val="none" w:sz="0" w:space="0" w:color="auto"/>
            <w:right w:val="none" w:sz="0" w:space="0" w:color="auto"/>
          </w:divBdr>
        </w:div>
      </w:divsChild>
    </w:div>
    <w:div w:id="815101348">
      <w:bodyDiv w:val="1"/>
      <w:marLeft w:val="0"/>
      <w:marRight w:val="0"/>
      <w:marTop w:val="0"/>
      <w:marBottom w:val="0"/>
      <w:divBdr>
        <w:top w:val="none" w:sz="0" w:space="0" w:color="auto"/>
        <w:left w:val="none" w:sz="0" w:space="0" w:color="auto"/>
        <w:bottom w:val="none" w:sz="0" w:space="0" w:color="auto"/>
        <w:right w:val="none" w:sz="0" w:space="0" w:color="auto"/>
      </w:divBdr>
    </w:div>
    <w:div w:id="846476975">
      <w:bodyDiv w:val="1"/>
      <w:marLeft w:val="0"/>
      <w:marRight w:val="0"/>
      <w:marTop w:val="0"/>
      <w:marBottom w:val="0"/>
      <w:divBdr>
        <w:top w:val="none" w:sz="0" w:space="0" w:color="auto"/>
        <w:left w:val="none" w:sz="0" w:space="0" w:color="auto"/>
        <w:bottom w:val="none" w:sz="0" w:space="0" w:color="auto"/>
        <w:right w:val="none" w:sz="0" w:space="0" w:color="auto"/>
      </w:divBdr>
    </w:div>
    <w:div w:id="861473642">
      <w:bodyDiv w:val="1"/>
      <w:marLeft w:val="0"/>
      <w:marRight w:val="0"/>
      <w:marTop w:val="0"/>
      <w:marBottom w:val="0"/>
      <w:divBdr>
        <w:top w:val="none" w:sz="0" w:space="0" w:color="auto"/>
        <w:left w:val="none" w:sz="0" w:space="0" w:color="auto"/>
        <w:bottom w:val="none" w:sz="0" w:space="0" w:color="auto"/>
        <w:right w:val="none" w:sz="0" w:space="0" w:color="auto"/>
      </w:divBdr>
    </w:div>
    <w:div w:id="933053795">
      <w:bodyDiv w:val="1"/>
      <w:marLeft w:val="0"/>
      <w:marRight w:val="0"/>
      <w:marTop w:val="0"/>
      <w:marBottom w:val="0"/>
      <w:divBdr>
        <w:top w:val="none" w:sz="0" w:space="0" w:color="auto"/>
        <w:left w:val="none" w:sz="0" w:space="0" w:color="auto"/>
        <w:bottom w:val="none" w:sz="0" w:space="0" w:color="auto"/>
        <w:right w:val="none" w:sz="0" w:space="0" w:color="auto"/>
      </w:divBdr>
    </w:div>
    <w:div w:id="958881027">
      <w:bodyDiv w:val="1"/>
      <w:marLeft w:val="0"/>
      <w:marRight w:val="0"/>
      <w:marTop w:val="0"/>
      <w:marBottom w:val="0"/>
      <w:divBdr>
        <w:top w:val="none" w:sz="0" w:space="0" w:color="auto"/>
        <w:left w:val="none" w:sz="0" w:space="0" w:color="auto"/>
        <w:bottom w:val="none" w:sz="0" w:space="0" w:color="auto"/>
        <w:right w:val="none" w:sz="0" w:space="0" w:color="auto"/>
      </w:divBdr>
    </w:div>
    <w:div w:id="978876294">
      <w:bodyDiv w:val="1"/>
      <w:marLeft w:val="0"/>
      <w:marRight w:val="0"/>
      <w:marTop w:val="0"/>
      <w:marBottom w:val="0"/>
      <w:divBdr>
        <w:top w:val="none" w:sz="0" w:space="0" w:color="auto"/>
        <w:left w:val="none" w:sz="0" w:space="0" w:color="auto"/>
        <w:bottom w:val="none" w:sz="0" w:space="0" w:color="auto"/>
        <w:right w:val="none" w:sz="0" w:space="0" w:color="auto"/>
      </w:divBdr>
    </w:div>
    <w:div w:id="1016882547">
      <w:bodyDiv w:val="1"/>
      <w:marLeft w:val="0"/>
      <w:marRight w:val="0"/>
      <w:marTop w:val="0"/>
      <w:marBottom w:val="0"/>
      <w:divBdr>
        <w:top w:val="none" w:sz="0" w:space="0" w:color="auto"/>
        <w:left w:val="none" w:sz="0" w:space="0" w:color="auto"/>
        <w:bottom w:val="none" w:sz="0" w:space="0" w:color="auto"/>
        <w:right w:val="none" w:sz="0" w:space="0" w:color="auto"/>
      </w:divBdr>
    </w:div>
    <w:div w:id="1031346250">
      <w:bodyDiv w:val="1"/>
      <w:marLeft w:val="0"/>
      <w:marRight w:val="0"/>
      <w:marTop w:val="0"/>
      <w:marBottom w:val="0"/>
      <w:divBdr>
        <w:top w:val="none" w:sz="0" w:space="0" w:color="auto"/>
        <w:left w:val="none" w:sz="0" w:space="0" w:color="auto"/>
        <w:bottom w:val="none" w:sz="0" w:space="0" w:color="auto"/>
        <w:right w:val="none" w:sz="0" w:space="0" w:color="auto"/>
      </w:divBdr>
    </w:div>
    <w:div w:id="1053895690">
      <w:bodyDiv w:val="1"/>
      <w:marLeft w:val="0"/>
      <w:marRight w:val="0"/>
      <w:marTop w:val="0"/>
      <w:marBottom w:val="0"/>
      <w:divBdr>
        <w:top w:val="none" w:sz="0" w:space="0" w:color="auto"/>
        <w:left w:val="none" w:sz="0" w:space="0" w:color="auto"/>
        <w:bottom w:val="none" w:sz="0" w:space="0" w:color="auto"/>
        <w:right w:val="none" w:sz="0" w:space="0" w:color="auto"/>
      </w:divBdr>
    </w:div>
    <w:div w:id="1056969572">
      <w:bodyDiv w:val="1"/>
      <w:marLeft w:val="0"/>
      <w:marRight w:val="0"/>
      <w:marTop w:val="0"/>
      <w:marBottom w:val="0"/>
      <w:divBdr>
        <w:top w:val="none" w:sz="0" w:space="0" w:color="auto"/>
        <w:left w:val="none" w:sz="0" w:space="0" w:color="auto"/>
        <w:bottom w:val="none" w:sz="0" w:space="0" w:color="auto"/>
        <w:right w:val="none" w:sz="0" w:space="0" w:color="auto"/>
      </w:divBdr>
    </w:div>
    <w:div w:id="1082607645">
      <w:bodyDiv w:val="1"/>
      <w:marLeft w:val="0"/>
      <w:marRight w:val="0"/>
      <w:marTop w:val="0"/>
      <w:marBottom w:val="0"/>
      <w:divBdr>
        <w:top w:val="none" w:sz="0" w:space="0" w:color="auto"/>
        <w:left w:val="none" w:sz="0" w:space="0" w:color="auto"/>
        <w:bottom w:val="none" w:sz="0" w:space="0" w:color="auto"/>
        <w:right w:val="none" w:sz="0" w:space="0" w:color="auto"/>
      </w:divBdr>
    </w:div>
    <w:div w:id="1088116630">
      <w:bodyDiv w:val="1"/>
      <w:marLeft w:val="0"/>
      <w:marRight w:val="0"/>
      <w:marTop w:val="0"/>
      <w:marBottom w:val="0"/>
      <w:divBdr>
        <w:top w:val="none" w:sz="0" w:space="0" w:color="auto"/>
        <w:left w:val="none" w:sz="0" w:space="0" w:color="auto"/>
        <w:bottom w:val="none" w:sz="0" w:space="0" w:color="auto"/>
        <w:right w:val="none" w:sz="0" w:space="0" w:color="auto"/>
      </w:divBdr>
    </w:div>
    <w:div w:id="1096176899">
      <w:bodyDiv w:val="1"/>
      <w:marLeft w:val="0"/>
      <w:marRight w:val="0"/>
      <w:marTop w:val="0"/>
      <w:marBottom w:val="0"/>
      <w:divBdr>
        <w:top w:val="none" w:sz="0" w:space="0" w:color="auto"/>
        <w:left w:val="none" w:sz="0" w:space="0" w:color="auto"/>
        <w:bottom w:val="none" w:sz="0" w:space="0" w:color="auto"/>
        <w:right w:val="none" w:sz="0" w:space="0" w:color="auto"/>
      </w:divBdr>
    </w:div>
    <w:div w:id="1101217309">
      <w:bodyDiv w:val="1"/>
      <w:marLeft w:val="0"/>
      <w:marRight w:val="0"/>
      <w:marTop w:val="0"/>
      <w:marBottom w:val="0"/>
      <w:divBdr>
        <w:top w:val="none" w:sz="0" w:space="0" w:color="auto"/>
        <w:left w:val="none" w:sz="0" w:space="0" w:color="auto"/>
        <w:bottom w:val="none" w:sz="0" w:space="0" w:color="auto"/>
        <w:right w:val="none" w:sz="0" w:space="0" w:color="auto"/>
      </w:divBdr>
    </w:div>
    <w:div w:id="1112482556">
      <w:bodyDiv w:val="1"/>
      <w:marLeft w:val="0"/>
      <w:marRight w:val="0"/>
      <w:marTop w:val="0"/>
      <w:marBottom w:val="0"/>
      <w:divBdr>
        <w:top w:val="none" w:sz="0" w:space="0" w:color="auto"/>
        <w:left w:val="none" w:sz="0" w:space="0" w:color="auto"/>
        <w:bottom w:val="none" w:sz="0" w:space="0" w:color="auto"/>
        <w:right w:val="none" w:sz="0" w:space="0" w:color="auto"/>
      </w:divBdr>
    </w:div>
    <w:div w:id="1113325905">
      <w:bodyDiv w:val="1"/>
      <w:marLeft w:val="0"/>
      <w:marRight w:val="0"/>
      <w:marTop w:val="0"/>
      <w:marBottom w:val="0"/>
      <w:divBdr>
        <w:top w:val="none" w:sz="0" w:space="0" w:color="auto"/>
        <w:left w:val="none" w:sz="0" w:space="0" w:color="auto"/>
        <w:bottom w:val="none" w:sz="0" w:space="0" w:color="auto"/>
        <w:right w:val="none" w:sz="0" w:space="0" w:color="auto"/>
      </w:divBdr>
    </w:div>
    <w:div w:id="1116096843">
      <w:bodyDiv w:val="1"/>
      <w:marLeft w:val="0"/>
      <w:marRight w:val="0"/>
      <w:marTop w:val="0"/>
      <w:marBottom w:val="0"/>
      <w:divBdr>
        <w:top w:val="none" w:sz="0" w:space="0" w:color="auto"/>
        <w:left w:val="none" w:sz="0" w:space="0" w:color="auto"/>
        <w:bottom w:val="none" w:sz="0" w:space="0" w:color="auto"/>
        <w:right w:val="none" w:sz="0" w:space="0" w:color="auto"/>
      </w:divBdr>
      <w:divsChild>
        <w:div w:id="1956786695">
          <w:marLeft w:val="0"/>
          <w:marRight w:val="0"/>
          <w:marTop w:val="0"/>
          <w:marBottom w:val="0"/>
          <w:divBdr>
            <w:top w:val="none" w:sz="0" w:space="0" w:color="auto"/>
            <w:left w:val="none" w:sz="0" w:space="0" w:color="auto"/>
            <w:bottom w:val="none" w:sz="0" w:space="0" w:color="auto"/>
            <w:right w:val="none" w:sz="0" w:space="0" w:color="auto"/>
          </w:divBdr>
        </w:div>
      </w:divsChild>
    </w:div>
    <w:div w:id="1141848214">
      <w:bodyDiv w:val="1"/>
      <w:marLeft w:val="0"/>
      <w:marRight w:val="0"/>
      <w:marTop w:val="0"/>
      <w:marBottom w:val="0"/>
      <w:divBdr>
        <w:top w:val="none" w:sz="0" w:space="0" w:color="auto"/>
        <w:left w:val="none" w:sz="0" w:space="0" w:color="auto"/>
        <w:bottom w:val="none" w:sz="0" w:space="0" w:color="auto"/>
        <w:right w:val="none" w:sz="0" w:space="0" w:color="auto"/>
      </w:divBdr>
    </w:div>
    <w:div w:id="1152017905">
      <w:bodyDiv w:val="1"/>
      <w:marLeft w:val="0"/>
      <w:marRight w:val="0"/>
      <w:marTop w:val="0"/>
      <w:marBottom w:val="0"/>
      <w:divBdr>
        <w:top w:val="none" w:sz="0" w:space="0" w:color="auto"/>
        <w:left w:val="none" w:sz="0" w:space="0" w:color="auto"/>
        <w:bottom w:val="none" w:sz="0" w:space="0" w:color="auto"/>
        <w:right w:val="none" w:sz="0" w:space="0" w:color="auto"/>
      </w:divBdr>
    </w:div>
    <w:div w:id="1165516127">
      <w:bodyDiv w:val="1"/>
      <w:marLeft w:val="0"/>
      <w:marRight w:val="0"/>
      <w:marTop w:val="0"/>
      <w:marBottom w:val="0"/>
      <w:divBdr>
        <w:top w:val="none" w:sz="0" w:space="0" w:color="auto"/>
        <w:left w:val="none" w:sz="0" w:space="0" w:color="auto"/>
        <w:bottom w:val="none" w:sz="0" w:space="0" w:color="auto"/>
        <w:right w:val="none" w:sz="0" w:space="0" w:color="auto"/>
      </w:divBdr>
    </w:div>
    <w:div w:id="1173762889">
      <w:bodyDiv w:val="1"/>
      <w:marLeft w:val="0"/>
      <w:marRight w:val="0"/>
      <w:marTop w:val="0"/>
      <w:marBottom w:val="0"/>
      <w:divBdr>
        <w:top w:val="none" w:sz="0" w:space="0" w:color="auto"/>
        <w:left w:val="none" w:sz="0" w:space="0" w:color="auto"/>
        <w:bottom w:val="none" w:sz="0" w:space="0" w:color="auto"/>
        <w:right w:val="none" w:sz="0" w:space="0" w:color="auto"/>
      </w:divBdr>
    </w:div>
    <w:div w:id="1181315816">
      <w:bodyDiv w:val="1"/>
      <w:marLeft w:val="0"/>
      <w:marRight w:val="0"/>
      <w:marTop w:val="0"/>
      <w:marBottom w:val="0"/>
      <w:divBdr>
        <w:top w:val="none" w:sz="0" w:space="0" w:color="auto"/>
        <w:left w:val="none" w:sz="0" w:space="0" w:color="auto"/>
        <w:bottom w:val="none" w:sz="0" w:space="0" w:color="auto"/>
        <w:right w:val="none" w:sz="0" w:space="0" w:color="auto"/>
      </w:divBdr>
    </w:div>
    <w:div w:id="1208957774">
      <w:bodyDiv w:val="1"/>
      <w:marLeft w:val="0"/>
      <w:marRight w:val="0"/>
      <w:marTop w:val="0"/>
      <w:marBottom w:val="0"/>
      <w:divBdr>
        <w:top w:val="none" w:sz="0" w:space="0" w:color="auto"/>
        <w:left w:val="none" w:sz="0" w:space="0" w:color="auto"/>
        <w:bottom w:val="none" w:sz="0" w:space="0" w:color="auto"/>
        <w:right w:val="none" w:sz="0" w:space="0" w:color="auto"/>
      </w:divBdr>
    </w:div>
    <w:div w:id="1256983735">
      <w:bodyDiv w:val="1"/>
      <w:marLeft w:val="0"/>
      <w:marRight w:val="0"/>
      <w:marTop w:val="0"/>
      <w:marBottom w:val="0"/>
      <w:divBdr>
        <w:top w:val="none" w:sz="0" w:space="0" w:color="auto"/>
        <w:left w:val="none" w:sz="0" w:space="0" w:color="auto"/>
        <w:bottom w:val="none" w:sz="0" w:space="0" w:color="auto"/>
        <w:right w:val="none" w:sz="0" w:space="0" w:color="auto"/>
      </w:divBdr>
    </w:div>
    <w:div w:id="1286351307">
      <w:bodyDiv w:val="1"/>
      <w:marLeft w:val="0"/>
      <w:marRight w:val="0"/>
      <w:marTop w:val="0"/>
      <w:marBottom w:val="0"/>
      <w:divBdr>
        <w:top w:val="none" w:sz="0" w:space="0" w:color="auto"/>
        <w:left w:val="none" w:sz="0" w:space="0" w:color="auto"/>
        <w:bottom w:val="none" w:sz="0" w:space="0" w:color="auto"/>
        <w:right w:val="none" w:sz="0" w:space="0" w:color="auto"/>
      </w:divBdr>
    </w:div>
    <w:div w:id="1321544686">
      <w:bodyDiv w:val="1"/>
      <w:marLeft w:val="0"/>
      <w:marRight w:val="0"/>
      <w:marTop w:val="0"/>
      <w:marBottom w:val="0"/>
      <w:divBdr>
        <w:top w:val="none" w:sz="0" w:space="0" w:color="auto"/>
        <w:left w:val="none" w:sz="0" w:space="0" w:color="auto"/>
        <w:bottom w:val="none" w:sz="0" w:space="0" w:color="auto"/>
        <w:right w:val="none" w:sz="0" w:space="0" w:color="auto"/>
      </w:divBdr>
    </w:div>
    <w:div w:id="1379936175">
      <w:bodyDiv w:val="1"/>
      <w:marLeft w:val="0"/>
      <w:marRight w:val="0"/>
      <w:marTop w:val="0"/>
      <w:marBottom w:val="0"/>
      <w:divBdr>
        <w:top w:val="none" w:sz="0" w:space="0" w:color="auto"/>
        <w:left w:val="none" w:sz="0" w:space="0" w:color="auto"/>
        <w:bottom w:val="none" w:sz="0" w:space="0" w:color="auto"/>
        <w:right w:val="none" w:sz="0" w:space="0" w:color="auto"/>
      </w:divBdr>
    </w:div>
    <w:div w:id="1382557131">
      <w:bodyDiv w:val="1"/>
      <w:marLeft w:val="0"/>
      <w:marRight w:val="0"/>
      <w:marTop w:val="0"/>
      <w:marBottom w:val="0"/>
      <w:divBdr>
        <w:top w:val="none" w:sz="0" w:space="0" w:color="auto"/>
        <w:left w:val="none" w:sz="0" w:space="0" w:color="auto"/>
        <w:bottom w:val="none" w:sz="0" w:space="0" w:color="auto"/>
        <w:right w:val="none" w:sz="0" w:space="0" w:color="auto"/>
      </w:divBdr>
      <w:divsChild>
        <w:div w:id="288781898">
          <w:marLeft w:val="360"/>
          <w:marRight w:val="0"/>
          <w:marTop w:val="200"/>
          <w:marBottom w:val="0"/>
          <w:divBdr>
            <w:top w:val="none" w:sz="0" w:space="0" w:color="auto"/>
            <w:left w:val="none" w:sz="0" w:space="0" w:color="auto"/>
            <w:bottom w:val="none" w:sz="0" w:space="0" w:color="auto"/>
            <w:right w:val="none" w:sz="0" w:space="0" w:color="auto"/>
          </w:divBdr>
        </w:div>
        <w:div w:id="1849639201">
          <w:marLeft w:val="360"/>
          <w:marRight w:val="0"/>
          <w:marTop w:val="200"/>
          <w:marBottom w:val="0"/>
          <w:divBdr>
            <w:top w:val="none" w:sz="0" w:space="0" w:color="auto"/>
            <w:left w:val="none" w:sz="0" w:space="0" w:color="auto"/>
            <w:bottom w:val="none" w:sz="0" w:space="0" w:color="auto"/>
            <w:right w:val="none" w:sz="0" w:space="0" w:color="auto"/>
          </w:divBdr>
        </w:div>
        <w:div w:id="526793827">
          <w:marLeft w:val="360"/>
          <w:marRight w:val="0"/>
          <w:marTop w:val="200"/>
          <w:marBottom w:val="0"/>
          <w:divBdr>
            <w:top w:val="none" w:sz="0" w:space="0" w:color="auto"/>
            <w:left w:val="none" w:sz="0" w:space="0" w:color="auto"/>
            <w:bottom w:val="none" w:sz="0" w:space="0" w:color="auto"/>
            <w:right w:val="none" w:sz="0" w:space="0" w:color="auto"/>
          </w:divBdr>
        </w:div>
        <w:div w:id="276108065">
          <w:marLeft w:val="360"/>
          <w:marRight w:val="0"/>
          <w:marTop w:val="200"/>
          <w:marBottom w:val="0"/>
          <w:divBdr>
            <w:top w:val="none" w:sz="0" w:space="0" w:color="auto"/>
            <w:left w:val="none" w:sz="0" w:space="0" w:color="auto"/>
            <w:bottom w:val="none" w:sz="0" w:space="0" w:color="auto"/>
            <w:right w:val="none" w:sz="0" w:space="0" w:color="auto"/>
          </w:divBdr>
        </w:div>
        <w:div w:id="253630176">
          <w:marLeft w:val="360"/>
          <w:marRight w:val="0"/>
          <w:marTop w:val="200"/>
          <w:marBottom w:val="0"/>
          <w:divBdr>
            <w:top w:val="none" w:sz="0" w:space="0" w:color="auto"/>
            <w:left w:val="none" w:sz="0" w:space="0" w:color="auto"/>
            <w:bottom w:val="none" w:sz="0" w:space="0" w:color="auto"/>
            <w:right w:val="none" w:sz="0" w:space="0" w:color="auto"/>
          </w:divBdr>
        </w:div>
        <w:div w:id="1422213887">
          <w:marLeft w:val="360"/>
          <w:marRight w:val="0"/>
          <w:marTop w:val="200"/>
          <w:marBottom w:val="0"/>
          <w:divBdr>
            <w:top w:val="none" w:sz="0" w:space="0" w:color="auto"/>
            <w:left w:val="none" w:sz="0" w:space="0" w:color="auto"/>
            <w:bottom w:val="none" w:sz="0" w:space="0" w:color="auto"/>
            <w:right w:val="none" w:sz="0" w:space="0" w:color="auto"/>
          </w:divBdr>
        </w:div>
      </w:divsChild>
    </w:div>
    <w:div w:id="1384409287">
      <w:bodyDiv w:val="1"/>
      <w:marLeft w:val="0"/>
      <w:marRight w:val="0"/>
      <w:marTop w:val="0"/>
      <w:marBottom w:val="0"/>
      <w:divBdr>
        <w:top w:val="none" w:sz="0" w:space="0" w:color="auto"/>
        <w:left w:val="none" w:sz="0" w:space="0" w:color="auto"/>
        <w:bottom w:val="none" w:sz="0" w:space="0" w:color="auto"/>
        <w:right w:val="none" w:sz="0" w:space="0" w:color="auto"/>
      </w:divBdr>
    </w:div>
    <w:div w:id="1391810964">
      <w:bodyDiv w:val="1"/>
      <w:marLeft w:val="0"/>
      <w:marRight w:val="0"/>
      <w:marTop w:val="0"/>
      <w:marBottom w:val="0"/>
      <w:divBdr>
        <w:top w:val="none" w:sz="0" w:space="0" w:color="auto"/>
        <w:left w:val="none" w:sz="0" w:space="0" w:color="auto"/>
        <w:bottom w:val="none" w:sz="0" w:space="0" w:color="auto"/>
        <w:right w:val="none" w:sz="0" w:space="0" w:color="auto"/>
      </w:divBdr>
    </w:div>
    <w:div w:id="1397123716">
      <w:bodyDiv w:val="1"/>
      <w:marLeft w:val="0"/>
      <w:marRight w:val="0"/>
      <w:marTop w:val="0"/>
      <w:marBottom w:val="0"/>
      <w:divBdr>
        <w:top w:val="none" w:sz="0" w:space="0" w:color="auto"/>
        <w:left w:val="none" w:sz="0" w:space="0" w:color="auto"/>
        <w:bottom w:val="none" w:sz="0" w:space="0" w:color="auto"/>
        <w:right w:val="none" w:sz="0" w:space="0" w:color="auto"/>
      </w:divBdr>
    </w:div>
    <w:div w:id="1402950610">
      <w:bodyDiv w:val="1"/>
      <w:marLeft w:val="0"/>
      <w:marRight w:val="0"/>
      <w:marTop w:val="0"/>
      <w:marBottom w:val="0"/>
      <w:divBdr>
        <w:top w:val="none" w:sz="0" w:space="0" w:color="auto"/>
        <w:left w:val="none" w:sz="0" w:space="0" w:color="auto"/>
        <w:bottom w:val="none" w:sz="0" w:space="0" w:color="auto"/>
        <w:right w:val="none" w:sz="0" w:space="0" w:color="auto"/>
      </w:divBdr>
    </w:div>
    <w:div w:id="1406368541">
      <w:bodyDiv w:val="1"/>
      <w:marLeft w:val="0"/>
      <w:marRight w:val="0"/>
      <w:marTop w:val="0"/>
      <w:marBottom w:val="0"/>
      <w:divBdr>
        <w:top w:val="none" w:sz="0" w:space="0" w:color="auto"/>
        <w:left w:val="none" w:sz="0" w:space="0" w:color="auto"/>
        <w:bottom w:val="none" w:sz="0" w:space="0" w:color="auto"/>
        <w:right w:val="none" w:sz="0" w:space="0" w:color="auto"/>
      </w:divBdr>
    </w:div>
    <w:div w:id="1418290781">
      <w:bodyDiv w:val="1"/>
      <w:marLeft w:val="0"/>
      <w:marRight w:val="0"/>
      <w:marTop w:val="0"/>
      <w:marBottom w:val="0"/>
      <w:divBdr>
        <w:top w:val="none" w:sz="0" w:space="0" w:color="auto"/>
        <w:left w:val="none" w:sz="0" w:space="0" w:color="auto"/>
        <w:bottom w:val="none" w:sz="0" w:space="0" w:color="auto"/>
        <w:right w:val="none" w:sz="0" w:space="0" w:color="auto"/>
      </w:divBdr>
    </w:div>
    <w:div w:id="1439332170">
      <w:bodyDiv w:val="1"/>
      <w:marLeft w:val="0"/>
      <w:marRight w:val="0"/>
      <w:marTop w:val="0"/>
      <w:marBottom w:val="0"/>
      <w:divBdr>
        <w:top w:val="none" w:sz="0" w:space="0" w:color="auto"/>
        <w:left w:val="none" w:sz="0" w:space="0" w:color="auto"/>
        <w:bottom w:val="none" w:sz="0" w:space="0" w:color="auto"/>
        <w:right w:val="none" w:sz="0" w:space="0" w:color="auto"/>
      </w:divBdr>
    </w:div>
    <w:div w:id="1491214596">
      <w:bodyDiv w:val="1"/>
      <w:marLeft w:val="0"/>
      <w:marRight w:val="0"/>
      <w:marTop w:val="0"/>
      <w:marBottom w:val="0"/>
      <w:divBdr>
        <w:top w:val="none" w:sz="0" w:space="0" w:color="auto"/>
        <w:left w:val="none" w:sz="0" w:space="0" w:color="auto"/>
        <w:bottom w:val="none" w:sz="0" w:space="0" w:color="auto"/>
        <w:right w:val="none" w:sz="0" w:space="0" w:color="auto"/>
      </w:divBdr>
    </w:div>
    <w:div w:id="1503200586">
      <w:bodyDiv w:val="1"/>
      <w:marLeft w:val="0"/>
      <w:marRight w:val="0"/>
      <w:marTop w:val="0"/>
      <w:marBottom w:val="0"/>
      <w:divBdr>
        <w:top w:val="none" w:sz="0" w:space="0" w:color="auto"/>
        <w:left w:val="none" w:sz="0" w:space="0" w:color="auto"/>
        <w:bottom w:val="none" w:sz="0" w:space="0" w:color="auto"/>
        <w:right w:val="none" w:sz="0" w:space="0" w:color="auto"/>
      </w:divBdr>
    </w:div>
    <w:div w:id="1533033584">
      <w:bodyDiv w:val="1"/>
      <w:marLeft w:val="0"/>
      <w:marRight w:val="0"/>
      <w:marTop w:val="0"/>
      <w:marBottom w:val="0"/>
      <w:divBdr>
        <w:top w:val="none" w:sz="0" w:space="0" w:color="auto"/>
        <w:left w:val="none" w:sz="0" w:space="0" w:color="auto"/>
        <w:bottom w:val="none" w:sz="0" w:space="0" w:color="auto"/>
        <w:right w:val="none" w:sz="0" w:space="0" w:color="auto"/>
      </w:divBdr>
    </w:div>
    <w:div w:id="1568952802">
      <w:bodyDiv w:val="1"/>
      <w:marLeft w:val="0"/>
      <w:marRight w:val="0"/>
      <w:marTop w:val="0"/>
      <w:marBottom w:val="0"/>
      <w:divBdr>
        <w:top w:val="none" w:sz="0" w:space="0" w:color="auto"/>
        <w:left w:val="none" w:sz="0" w:space="0" w:color="auto"/>
        <w:bottom w:val="none" w:sz="0" w:space="0" w:color="auto"/>
        <w:right w:val="none" w:sz="0" w:space="0" w:color="auto"/>
      </w:divBdr>
    </w:div>
    <w:div w:id="1581134721">
      <w:bodyDiv w:val="1"/>
      <w:marLeft w:val="0"/>
      <w:marRight w:val="0"/>
      <w:marTop w:val="0"/>
      <w:marBottom w:val="0"/>
      <w:divBdr>
        <w:top w:val="none" w:sz="0" w:space="0" w:color="auto"/>
        <w:left w:val="none" w:sz="0" w:space="0" w:color="auto"/>
        <w:bottom w:val="none" w:sz="0" w:space="0" w:color="auto"/>
        <w:right w:val="none" w:sz="0" w:space="0" w:color="auto"/>
      </w:divBdr>
      <w:divsChild>
        <w:div w:id="2031101514">
          <w:marLeft w:val="360"/>
          <w:marRight w:val="0"/>
          <w:marTop w:val="200"/>
          <w:marBottom w:val="0"/>
          <w:divBdr>
            <w:top w:val="none" w:sz="0" w:space="0" w:color="auto"/>
            <w:left w:val="none" w:sz="0" w:space="0" w:color="auto"/>
            <w:bottom w:val="none" w:sz="0" w:space="0" w:color="auto"/>
            <w:right w:val="none" w:sz="0" w:space="0" w:color="auto"/>
          </w:divBdr>
        </w:div>
        <w:div w:id="1555193204">
          <w:marLeft w:val="360"/>
          <w:marRight w:val="0"/>
          <w:marTop w:val="200"/>
          <w:marBottom w:val="0"/>
          <w:divBdr>
            <w:top w:val="none" w:sz="0" w:space="0" w:color="auto"/>
            <w:left w:val="none" w:sz="0" w:space="0" w:color="auto"/>
            <w:bottom w:val="none" w:sz="0" w:space="0" w:color="auto"/>
            <w:right w:val="none" w:sz="0" w:space="0" w:color="auto"/>
          </w:divBdr>
        </w:div>
        <w:div w:id="734815356">
          <w:marLeft w:val="360"/>
          <w:marRight w:val="0"/>
          <w:marTop w:val="200"/>
          <w:marBottom w:val="0"/>
          <w:divBdr>
            <w:top w:val="none" w:sz="0" w:space="0" w:color="auto"/>
            <w:left w:val="none" w:sz="0" w:space="0" w:color="auto"/>
            <w:bottom w:val="none" w:sz="0" w:space="0" w:color="auto"/>
            <w:right w:val="none" w:sz="0" w:space="0" w:color="auto"/>
          </w:divBdr>
        </w:div>
        <w:div w:id="264121518">
          <w:marLeft w:val="360"/>
          <w:marRight w:val="0"/>
          <w:marTop w:val="200"/>
          <w:marBottom w:val="0"/>
          <w:divBdr>
            <w:top w:val="none" w:sz="0" w:space="0" w:color="auto"/>
            <w:left w:val="none" w:sz="0" w:space="0" w:color="auto"/>
            <w:bottom w:val="none" w:sz="0" w:space="0" w:color="auto"/>
            <w:right w:val="none" w:sz="0" w:space="0" w:color="auto"/>
          </w:divBdr>
        </w:div>
        <w:div w:id="863908333">
          <w:marLeft w:val="360"/>
          <w:marRight w:val="0"/>
          <w:marTop w:val="200"/>
          <w:marBottom w:val="0"/>
          <w:divBdr>
            <w:top w:val="none" w:sz="0" w:space="0" w:color="auto"/>
            <w:left w:val="none" w:sz="0" w:space="0" w:color="auto"/>
            <w:bottom w:val="none" w:sz="0" w:space="0" w:color="auto"/>
            <w:right w:val="none" w:sz="0" w:space="0" w:color="auto"/>
          </w:divBdr>
        </w:div>
        <w:div w:id="2014410734">
          <w:marLeft w:val="360"/>
          <w:marRight w:val="0"/>
          <w:marTop w:val="200"/>
          <w:marBottom w:val="0"/>
          <w:divBdr>
            <w:top w:val="none" w:sz="0" w:space="0" w:color="auto"/>
            <w:left w:val="none" w:sz="0" w:space="0" w:color="auto"/>
            <w:bottom w:val="none" w:sz="0" w:space="0" w:color="auto"/>
            <w:right w:val="none" w:sz="0" w:space="0" w:color="auto"/>
          </w:divBdr>
        </w:div>
        <w:div w:id="1746799322">
          <w:marLeft w:val="360"/>
          <w:marRight w:val="0"/>
          <w:marTop w:val="200"/>
          <w:marBottom w:val="0"/>
          <w:divBdr>
            <w:top w:val="none" w:sz="0" w:space="0" w:color="auto"/>
            <w:left w:val="none" w:sz="0" w:space="0" w:color="auto"/>
            <w:bottom w:val="none" w:sz="0" w:space="0" w:color="auto"/>
            <w:right w:val="none" w:sz="0" w:space="0" w:color="auto"/>
          </w:divBdr>
        </w:div>
      </w:divsChild>
    </w:div>
    <w:div w:id="1582106788">
      <w:bodyDiv w:val="1"/>
      <w:marLeft w:val="0"/>
      <w:marRight w:val="0"/>
      <w:marTop w:val="0"/>
      <w:marBottom w:val="0"/>
      <w:divBdr>
        <w:top w:val="none" w:sz="0" w:space="0" w:color="auto"/>
        <w:left w:val="none" w:sz="0" w:space="0" w:color="auto"/>
        <w:bottom w:val="none" w:sz="0" w:space="0" w:color="auto"/>
        <w:right w:val="none" w:sz="0" w:space="0" w:color="auto"/>
      </w:divBdr>
    </w:div>
    <w:div w:id="1586692152">
      <w:bodyDiv w:val="1"/>
      <w:marLeft w:val="0"/>
      <w:marRight w:val="0"/>
      <w:marTop w:val="0"/>
      <w:marBottom w:val="0"/>
      <w:divBdr>
        <w:top w:val="none" w:sz="0" w:space="0" w:color="auto"/>
        <w:left w:val="none" w:sz="0" w:space="0" w:color="auto"/>
        <w:bottom w:val="none" w:sz="0" w:space="0" w:color="auto"/>
        <w:right w:val="none" w:sz="0" w:space="0" w:color="auto"/>
      </w:divBdr>
    </w:div>
    <w:div w:id="1587154950">
      <w:bodyDiv w:val="1"/>
      <w:marLeft w:val="0"/>
      <w:marRight w:val="0"/>
      <w:marTop w:val="0"/>
      <w:marBottom w:val="0"/>
      <w:divBdr>
        <w:top w:val="none" w:sz="0" w:space="0" w:color="auto"/>
        <w:left w:val="none" w:sz="0" w:space="0" w:color="auto"/>
        <w:bottom w:val="none" w:sz="0" w:space="0" w:color="auto"/>
        <w:right w:val="none" w:sz="0" w:space="0" w:color="auto"/>
      </w:divBdr>
      <w:divsChild>
        <w:div w:id="629164913">
          <w:marLeft w:val="806"/>
          <w:marRight w:val="0"/>
          <w:marTop w:val="200"/>
          <w:marBottom w:val="0"/>
          <w:divBdr>
            <w:top w:val="none" w:sz="0" w:space="0" w:color="auto"/>
            <w:left w:val="none" w:sz="0" w:space="0" w:color="auto"/>
            <w:bottom w:val="none" w:sz="0" w:space="0" w:color="auto"/>
            <w:right w:val="none" w:sz="0" w:space="0" w:color="auto"/>
          </w:divBdr>
        </w:div>
        <w:div w:id="990249799">
          <w:marLeft w:val="806"/>
          <w:marRight w:val="0"/>
          <w:marTop w:val="200"/>
          <w:marBottom w:val="0"/>
          <w:divBdr>
            <w:top w:val="none" w:sz="0" w:space="0" w:color="auto"/>
            <w:left w:val="none" w:sz="0" w:space="0" w:color="auto"/>
            <w:bottom w:val="none" w:sz="0" w:space="0" w:color="auto"/>
            <w:right w:val="none" w:sz="0" w:space="0" w:color="auto"/>
          </w:divBdr>
        </w:div>
        <w:div w:id="1289048048">
          <w:marLeft w:val="806"/>
          <w:marRight w:val="0"/>
          <w:marTop w:val="200"/>
          <w:marBottom w:val="0"/>
          <w:divBdr>
            <w:top w:val="none" w:sz="0" w:space="0" w:color="auto"/>
            <w:left w:val="none" w:sz="0" w:space="0" w:color="auto"/>
            <w:bottom w:val="none" w:sz="0" w:space="0" w:color="auto"/>
            <w:right w:val="none" w:sz="0" w:space="0" w:color="auto"/>
          </w:divBdr>
        </w:div>
        <w:div w:id="272246498">
          <w:marLeft w:val="806"/>
          <w:marRight w:val="0"/>
          <w:marTop w:val="200"/>
          <w:marBottom w:val="0"/>
          <w:divBdr>
            <w:top w:val="none" w:sz="0" w:space="0" w:color="auto"/>
            <w:left w:val="none" w:sz="0" w:space="0" w:color="auto"/>
            <w:bottom w:val="none" w:sz="0" w:space="0" w:color="auto"/>
            <w:right w:val="none" w:sz="0" w:space="0" w:color="auto"/>
          </w:divBdr>
        </w:div>
        <w:div w:id="1653365849">
          <w:marLeft w:val="806"/>
          <w:marRight w:val="0"/>
          <w:marTop w:val="200"/>
          <w:marBottom w:val="0"/>
          <w:divBdr>
            <w:top w:val="none" w:sz="0" w:space="0" w:color="auto"/>
            <w:left w:val="none" w:sz="0" w:space="0" w:color="auto"/>
            <w:bottom w:val="none" w:sz="0" w:space="0" w:color="auto"/>
            <w:right w:val="none" w:sz="0" w:space="0" w:color="auto"/>
          </w:divBdr>
        </w:div>
        <w:div w:id="1581064361">
          <w:marLeft w:val="806"/>
          <w:marRight w:val="0"/>
          <w:marTop w:val="200"/>
          <w:marBottom w:val="0"/>
          <w:divBdr>
            <w:top w:val="none" w:sz="0" w:space="0" w:color="auto"/>
            <w:left w:val="none" w:sz="0" w:space="0" w:color="auto"/>
            <w:bottom w:val="none" w:sz="0" w:space="0" w:color="auto"/>
            <w:right w:val="none" w:sz="0" w:space="0" w:color="auto"/>
          </w:divBdr>
        </w:div>
        <w:div w:id="1894852032">
          <w:marLeft w:val="806"/>
          <w:marRight w:val="0"/>
          <w:marTop w:val="200"/>
          <w:marBottom w:val="0"/>
          <w:divBdr>
            <w:top w:val="none" w:sz="0" w:space="0" w:color="auto"/>
            <w:left w:val="none" w:sz="0" w:space="0" w:color="auto"/>
            <w:bottom w:val="none" w:sz="0" w:space="0" w:color="auto"/>
            <w:right w:val="none" w:sz="0" w:space="0" w:color="auto"/>
          </w:divBdr>
        </w:div>
        <w:div w:id="1478261172">
          <w:marLeft w:val="806"/>
          <w:marRight w:val="0"/>
          <w:marTop w:val="200"/>
          <w:marBottom w:val="0"/>
          <w:divBdr>
            <w:top w:val="none" w:sz="0" w:space="0" w:color="auto"/>
            <w:left w:val="none" w:sz="0" w:space="0" w:color="auto"/>
            <w:bottom w:val="none" w:sz="0" w:space="0" w:color="auto"/>
            <w:right w:val="none" w:sz="0" w:space="0" w:color="auto"/>
          </w:divBdr>
        </w:div>
        <w:div w:id="70738456">
          <w:marLeft w:val="806"/>
          <w:marRight w:val="0"/>
          <w:marTop w:val="200"/>
          <w:marBottom w:val="0"/>
          <w:divBdr>
            <w:top w:val="none" w:sz="0" w:space="0" w:color="auto"/>
            <w:left w:val="none" w:sz="0" w:space="0" w:color="auto"/>
            <w:bottom w:val="none" w:sz="0" w:space="0" w:color="auto"/>
            <w:right w:val="none" w:sz="0" w:space="0" w:color="auto"/>
          </w:divBdr>
        </w:div>
      </w:divsChild>
    </w:div>
    <w:div w:id="1605847143">
      <w:bodyDiv w:val="1"/>
      <w:marLeft w:val="0"/>
      <w:marRight w:val="0"/>
      <w:marTop w:val="0"/>
      <w:marBottom w:val="0"/>
      <w:divBdr>
        <w:top w:val="none" w:sz="0" w:space="0" w:color="auto"/>
        <w:left w:val="none" w:sz="0" w:space="0" w:color="auto"/>
        <w:bottom w:val="none" w:sz="0" w:space="0" w:color="auto"/>
        <w:right w:val="none" w:sz="0" w:space="0" w:color="auto"/>
      </w:divBdr>
    </w:div>
    <w:div w:id="1622691964">
      <w:bodyDiv w:val="1"/>
      <w:marLeft w:val="0"/>
      <w:marRight w:val="0"/>
      <w:marTop w:val="0"/>
      <w:marBottom w:val="0"/>
      <w:divBdr>
        <w:top w:val="none" w:sz="0" w:space="0" w:color="auto"/>
        <w:left w:val="none" w:sz="0" w:space="0" w:color="auto"/>
        <w:bottom w:val="none" w:sz="0" w:space="0" w:color="auto"/>
        <w:right w:val="none" w:sz="0" w:space="0" w:color="auto"/>
      </w:divBdr>
    </w:div>
    <w:div w:id="1660768241">
      <w:bodyDiv w:val="1"/>
      <w:marLeft w:val="0"/>
      <w:marRight w:val="0"/>
      <w:marTop w:val="0"/>
      <w:marBottom w:val="0"/>
      <w:divBdr>
        <w:top w:val="none" w:sz="0" w:space="0" w:color="auto"/>
        <w:left w:val="none" w:sz="0" w:space="0" w:color="auto"/>
        <w:bottom w:val="none" w:sz="0" w:space="0" w:color="auto"/>
        <w:right w:val="none" w:sz="0" w:space="0" w:color="auto"/>
      </w:divBdr>
    </w:div>
    <w:div w:id="1686637589">
      <w:bodyDiv w:val="1"/>
      <w:marLeft w:val="0"/>
      <w:marRight w:val="0"/>
      <w:marTop w:val="0"/>
      <w:marBottom w:val="0"/>
      <w:divBdr>
        <w:top w:val="none" w:sz="0" w:space="0" w:color="auto"/>
        <w:left w:val="none" w:sz="0" w:space="0" w:color="auto"/>
        <w:bottom w:val="none" w:sz="0" w:space="0" w:color="auto"/>
        <w:right w:val="none" w:sz="0" w:space="0" w:color="auto"/>
      </w:divBdr>
    </w:div>
    <w:div w:id="1705667549">
      <w:bodyDiv w:val="1"/>
      <w:marLeft w:val="0"/>
      <w:marRight w:val="0"/>
      <w:marTop w:val="0"/>
      <w:marBottom w:val="0"/>
      <w:divBdr>
        <w:top w:val="none" w:sz="0" w:space="0" w:color="auto"/>
        <w:left w:val="none" w:sz="0" w:space="0" w:color="auto"/>
        <w:bottom w:val="none" w:sz="0" w:space="0" w:color="auto"/>
        <w:right w:val="none" w:sz="0" w:space="0" w:color="auto"/>
      </w:divBdr>
      <w:divsChild>
        <w:div w:id="867916934">
          <w:marLeft w:val="446"/>
          <w:marRight w:val="0"/>
          <w:marTop w:val="0"/>
          <w:marBottom w:val="0"/>
          <w:divBdr>
            <w:top w:val="none" w:sz="0" w:space="0" w:color="auto"/>
            <w:left w:val="none" w:sz="0" w:space="0" w:color="auto"/>
            <w:bottom w:val="none" w:sz="0" w:space="0" w:color="auto"/>
            <w:right w:val="none" w:sz="0" w:space="0" w:color="auto"/>
          </w:divBdr>
        </w:div>
        <w:div w:id="1992100901">
          <w:marLeft w:val="446"/>
          <w:marRight w:val="0"/>
          <w:marTop w:val="0"/>
          <w:marBottom w:val="0"/>
          <w:divBdr>
            <w:top w:val="none" w:sz="0" w:space="0" w:color="auto"/>
            <w:left w:val="none" w:sz="0" w:space="0" w:color="auto"/>
            <w:bottom w:val="none" w:sz="0" w:space="0" w:color="auto"/>
            <w:right w:val="none" w:sz="0" w:space="0" w:color="auto"/>
          </w:divBdr>
        </w:div>
      </w:divsChild>
    </w:div>
    <w:div w:id="1715157439">
      <w:bodyDiv w:val="1"/>
      <w:marLeft w:val="0"/>
      <w:marRight w:val="0"/>
      <w:marTop w:val="0"/>
      <w:marBottom w:val="0"/>
      <w:divBdr>
        <w:top w:val="none" w:sz="0" w:space="0" w:color="auto"/>
        <w:left w:val="none" w:sz="0" w:space="0" w:color="auto"/>
        <w:bottom w:val="none" w:sz="0" w:space="0" w:color="auto"/>
        <w:right w:val="none" w:sz="0" w:space="0" w:color="auto"/>
      </w:divBdr>
    </w:div>
    <w:div w:id="1748452277">
      <w:bodyDiv w:val="1"/>
      <w:marLeft w:val="0"/>
      <w:marRight w:val="0"/>
      <w:marTop w:val="0"/>
      <w:marBottom w:val="0"/>
      <w:divBdr>
        <w:top w:val="none" w:sz="0" w:space="0" w:color="auto"/>
        <w:left w:val="none" w:sz="0" w:space="0" w:color="auto"/>
        <w:bottom w:val="none" w:sz="0" w:space="0" w:color="auto"/>
        <w:right w:val="none" w:sz="0" w:space="0" w:color="auto"/>
      </w:divBdr>
    </w:div>
    <w:div w:id="1750694134">
      <w:bodyDiv w:val="1"/>
      <w:marLeft w:val="0"/>
      <w:marRight w:val="0"/>
      <w:marTop w:val="0"/>
      <w:marBottom w:val="0"/>
      <w:divBdr>
        <w:top w:val="none" w:sz="0" w:space="0" w:color="auto"/>
        <w:left w:val="none" w:sz="0" w:space="0" w:color="auto"/>
        <w:bottom w:val="none" w:sz="0" w:space="0" w:color="auto"/>
        <w:right w:val="none" w:sz="0" w:space="0" w:color="auto"/>
      </w:divBdr>
    </w:div>
    <w:div w:id="1775708816">
      <w:bodyDiv w:val="1"/>
      <w:marLeft w:val="0"/>
      <w:marRight w:val="0"/>
      <w:marTop w:val="0"/>
      <w:marBottom w:val="0"/>
      <w:divBdr>
        <w:top w:val="none" w:sz="0" w:space="0" w:color="auto"/>
        <w:left w:val="none" w:sz="0" w:space="0" w:color="auto"/>
        <w:bottom w:val="none" w:sz="0" w:space="0" w:color="auto"/>
        <w:right w:val="none" w:sz="0" w:space="0" w:color="auto"/>
      </w:divBdr>
    </w:div>
    <w:div w:id="1776123623">
      <w:bodyDiv w:val="1"/>
      <w:marLeft w:val="0"/>
      <w:marRight w:val="0"/>
      <w:marTop w:val="0"/>
      <w:marBottom w:val="0"/>
      <w:divBdr>
        <w:top w:val="none" w:sz="0" w:space="0" w:color="auto"/>
        <w:left w:val="none" w:sz="0" w:space="0" w:color="auto"/>
        <w:bottom w:val="none" w:sz="0" w:space="0" w:color="auto"/>
        <w:right w:val="none" w:sz="0" w:space="0" w:color="auto"/>
      </w:divBdr>
    </w:div>
    <w:div w:id="1811433373">
      <w:bodyDiv w:val="1"/>
      <w:marLeft w:val="0"/>
      <w:marRight w:val="0"/>
      <w:marTop w:val="0"/>
      <w:marBottom w:val="0"/>
      <w:divBdr>
        <w:top w:val="none" w:sz="0" w:space="0" w:color="auto"/>
        <w:left w:val="none" w:sz="0" w:space="0" w:color="auto"/>
        <w:bottom w:val="none" w:sz="0" w:space="0" w:color="auto"/>
        <w:right w:val="none" w:sz="0" w:space="0" w:color="auto"/>
      </w:divBdr>
    </w:div>
    <w:div w:id="1815871964">
      <w:bodyDiv w:val="1"/>
      <w:marLeft w:val="0"/>
      <w:marRight w:val="0"/>
      <w:marTop w:val="0"/>
      <w:marBottom w:val="0"/>
      <w:divBdr>
        <w:top w:val="none" w:sz="0" w:space="0" w:color="auto"/>
        <w:left w:val="none" w:sz="0" w:space="0" w:color="auto"/>
        <w:bottom w:val="none" w:sz="0" w:space="0" w:color="auto"/>
        <w:right w:val="none" w:sz="0" w:space="0" w:color="auto"/>
      </w:divBdr>
    </w:div>
    <w:div w:id="1821342304">
      <w:bodyDiv w:val="1"/>
      <w:marLeft w:val="0"/>
      <w:marRight w:val="0"/>
      <w:marTop w:val="0"/>
      <w:marBottom w:val="0"/>
      <w:divBdr>
        <w:top w:val="none" w:sz="0" w:space="0" w:color="auto"/>
        <w:left w:val="none" w:sz="0" w:space="0" w:color="auto"/>
        <w:bottom w:val="none" w:sz="0" w:space="0" w:color="auto"/>
        <w:right w:val="none" w:sz="0" w:space="0" w:color="auto"/>
      </w:divBdr>
    </w:div>
    <w:div w:id="1840928379">
      <w:bodyDiv w:val="1"/>
      <w:marLeft w:val="0"/>
      <w:marRight w:val="0"/>
      <w:marTop w:val="0"/>
      <w:marBottom w:val="0"/>
      <w:divBdr>
        <w:top w:val="none" w:sz="0" w:space="0" w:color="auto"/>
        <w:left w:val="none" w:sz="0" w:space="0" w:color="auto"/>
        <w:bottom w:val="none" w:sz="0" w:space="0" w:color="auto"/>
        <w:right w:val="none" w:sz="0" w:space="0" w:color="auto"/>
      </w:divBdr>
    </w:div>
    <w:div w:id="1872523711">
      <w:bodyDiv w:val="1"/>
      <w:marLeft w:val="0"/>
      <w:marRight w:val="0"/>
      <w:marTop w:val="0"/>
      <w:marBottom w:val="0"/>
      <w:divBdr>
        <w:top w:val="none" w:sz="0" w:space="0" w:color="auto"/>
        <w:left w:val="none" w:sz="0" w:space="0" w:color="auto"/>
        <w:bottom w:val="none" w:sz="0" w:space="0" w:color="auto"/>
        <w:right w:val="none" w:sz="0" w:space="0" w:color="auto"/>
      </w:divBdr>
      <w:divsChild>
        <w:div w:id="1541823117">
          <w:marLeft w:val="446"/>
          <w:marRight w:val="0"/>
          <w:marTop w:val="200"/>
          <w:marBottom w:val="0"/>
          <w:divBdr>
            <w:top w:val="none" w:sz="0" w:space="0" w:color="auto"/>
            <w:left w:val="none" w:sz="0" w:space="0" w:color="auto"/>
            <w:bottom w:val="none" w:sz="0" w:space="0" w:color="auto"/>
            <w:right w:val="none" w:sz="0" w:space="0" w:color="auto"/>
          </w:divBdr>
        </w:div>
        <w:div w:id="2067530702">
          <w:marLeft w:val="446"/>
          <w:marRight w:val="0"/>
          <w:marTop w:val="200"/>
          <w:marBottom w:val="0"/>
          <w:divBdr>
            <w:top w:val="none" w:sz="0" w:space="0" w:color="auto"/>
            <w:left w:val="none" w:sz="0" w:space="0" w:color="auto"/>
            <w:bottom w:val="none" w:sz="0" w:space="0" w:color="auto"/>
            <w:right w:val="none" w:sz="0" w:space="0" w:color="auto"/>
          </w:divBdr>
        </w:div>
        <w:div w:id="1227767910">
          <w:marLeft w:val="446"/>
          <w:marRight w:val="0"/>
          <w:marTop w:val="200"/>
          <w:marBottom w:val="0"/>
          <w:divBdr>
            <w:top w:val="none" w:sz="0" w:space="0" w:color="auto"/>
            <w:left w:val="none" w:sz="0" w:space="0" w:color="auto"/>
            <w:bottom w:val="none" w:sz="0" w:space="0" w:color="auto"/>
            <w:right w:val="none" w:sz="0" w:space="0" w:color="auto"/>
          </w:divBdr>
        </w:div>
        <w:div w:id="608468386">
          <w:marLeft w:val="446"/>
          <w:marRight w:val="0"/>
          <w:marTop w:val="200"/>
          <w:marBottom w:val="0"/>
          <w:divBdr>
            <w:top w:val="none" w:sz="0" w:space="0" w:color="auto"/>
            <w:left w:val="none" w:sz="0" w:space="0" w:color="auto"/>
            <w:bottom w:val="none" w:sz="0" w:space="0" w:color="auto"/>
            <w:right w:val="none" w:sz="0" w:space="0" w:color="auto"/>
          </w:divBdr>
        </w:div>
        <w:div w:id="1209803838">
          <w:marLeft w:val="446"/>
          <w:marRight w:val="0"/>
          <w:marTop w:val="200"/>
          <w:marBottom w:val="0"/>
          <w:divBdr>
            <w:top w:val="none" w:sz="0" w:space="0" w:color="auto"/>
            <w:left w:val="none" w:sz="0" w:space="0" w:color="auto"/>
            <w:bottom w:val="none" w:sz="0" w:space="0" w:color="auto"/>
            <w:right w:val="none" w:sz="0" w:space="0" w:color="auto"/>
          </w:divBdr>
        </w:div>
        <w:div w:id="297079072">
          <w:marLeft w:val="446"/>
          <w:marRight w:val="0"/>
          <w:marTop w:val="200"/>
          <w:marBottom w:val="0"/>
          <w:divBdr>
            <w:top w:val="none" w:sz="0" w:space="0" w:color="auto"/>
            <w:left w:val="none" w:sz="0" w:space="0" w:color="auto"/>
            <w:bottom w:val="none" w:sz="0" w:space="0" w:color="auto"/>
            <w:right w:val="none" w:sz="0" w:space="0" w:color="auto"/>
          </w:divBdr>
        </w:div>
        <w:div w:id="1160849199">
          <w:marLeft w:val="446"/>
          <w:marRight w:val="0"/>
          <w:marTop w:val="200"/>
          <w:marBottom w:val="0"/>
          <w:divBdr>
            <w:top w:val="none" w:sz="0" w:space="0" w:color="auto"/>
            <w:left w:val="none" w:sz="0" w:space="0" w:color="auto"/>
            <w:bottom w:val="none" w:sz="0" w:space="0" w:color="auto"/>
            <w:right w:val="none" w:sz="0" w:space="0" w:color="auto"/>
          </w:divBdr>
        </w:div>
        <w:div w:id="1779567425">
          <w:marLeft w:val="446"/>
          <w:marRight w:val="0"/>
          <w:marTop w:val="200"/>
          <w:marBottom w:val="0"/>
          <w:divBdr>
            <w:top w:val="none" w:sz="0" w:space="0" w:color="auto"/>
            <w:left w:val="none" w:sz="0" w:space="0" w:color="auto"/>
            <w:bottom w:val="none" w:sz="0" w:space="0" w:color="auto"/>
            <w:right w:val="none" w:sz="0" w:space="0" w:color="auto"/>
          </w:divBdr>
        </w:div>
        <w:div w:id="1469397249">
          <w:marLeft w:val="446"/>
          <w:marRight w:val="0"/>
          <w:marTop w:val="200"/>
          <w:marBottom w:val="0"/>
          <w:divBdr>
            <w:top w:val="none" w:sz="0" w:space="0" w:color="auto"/>
            <w:left w:val="none" w:sz="0" w:space="0" w:color="auto"/>
            <w:bottom w:val="none" w:sz="0" w:space="0" w:color="auto"/>
            <w:right w:val="none" w:sz="0" w:space="0" w:color="auto"/>
          </w:divBdr>
        </w:div>
      </w:divsChild>
    </w:div>
    <w:div w:id="1874148858">
      <w:bodyDiv w:val="1"/>
      <w:marLeft w:val="0"/>
      <w:marRight w:val="0"/>
      <w:marTop w:val="0"/>
      <w:marBottom w:val="0"/>
      <w:divBdr>
        <w:top w:val="none" w:sz="0" w:space="0" w:color="auto"/>
        <w:left w:val="none" w:sz="0" w:space="0" w:color="auto"/>
        <w:bottom w:val="none" w:sz="0" w:space="0" w:color="auto"/>
        <w:right w:val="none" w:sz="0" w:space="0" w:color="auto"/>
      </w:divBdr>
    </w:div>
    <w:div w:id="1875076173">
      <w:bodyDiv w:val="1"/>
      <w:marLeft w:val="0"/>
      <w:marRight w:val="0"/>
      <w:marTop w:val="0"/>
      <w:marBottom w:val="0"/>
      <w:divBdr>
        <w:top w:val="none" w:sz="0" w:space="0" w:color="auto"/>
        <w:left w:val="none" w:sz="0" w:space="0" w:color="auto"/>
        <w:bottom w:val="none" w:sz="0" w:space="0" w:color="auto"/>
        <w:right w:val="none" w:sz="0" w:space="0" w:color="auto"/>
      </w:divBdr>
    </w:div>
    <w:div w:id="1911842509">
      <w:bodyDiv w:val="1"/>
      <w:marLeft w:val="0"/>
      <w:marRight w:val="0"/>
      <w:marTop w:val="0"/>
      <w:marBottom w:val="0"/>
      <w:divBdr>
        <w:top w:val="none" w:sz="0" w:space="0" w:color="auto"/>
        <w:left w:val="none" w:sz="0" w:space="0" w:color="auto"/>
        <w:bottom w:val="none" w:sz="0" w:space="0" w:color="auto"/>
        <w:right w:val="none" w:sz="0" w:space="0" w:color="auto"/>
      </w:divBdr>
    </w:div>
    <w:div w:id="1936672162">
      <w:bodyDiv w:val="1"/>
      <w:marLeft w:val="0"/>
      <w:marRight w:val="0"/>
      <w:marTop w:val="0"/>
      <w:marBottom w:val="0"/>
      <w:divBdr>
        <w:top w:val="none" w:sz="0" w:space="0" w:color="auto"/>
        <w:left w:val="none" w:sz="0" w:space="0" w:color="auto"/>
        <w:bottom w:val="none" w:sz="0" w:space="0" w:color="auto"/>
        <w:right w:val="none" w:sz="0" w:space="0" w:color="auto"/>
      </w:divBdr>
    </w:div>
    <w:div w:id="1941641329">
      <w:bodyDiv w:val="1"/>
      <w:marLeft w:val="0"/>
      <w:marRight w:val="0"/>
      <w:marTop w:val="0"/>
      <w:marBottom w:val="0"/>
      <w:divBdr>
        <w:top w:val="none" w:sz="0" w:space="0" w:color="auto"/>
        <w:left w:val="none" w:sz="0" w:space="0" w:color="auto"/>
        <w:bottom w:val="none" w:sz="0" w:space="0" w:color="auto"/>
        <w:right w:val="none" w:sz="0" w:space="0" w:color="auto"/>
      </w:divBdr>
      <w:divsChild>
        <w:div w:id="1498375778">
          <w:marLeft w:val="360"/>
          <w:marRight w:val="0"/>
          <w:marTop w:val="200"/>
          <w:marBottom w:val="0"/>
          <w:divBdr>
            <w:top w:val="none" w:sz="0" w:space="0" w:color="auto"/>
            <w:left w:val="none" w:sz="0" w:space="0" w:color="auto"/>
            <w:bottom w:val="none" w:sz="0" w:space="0" w:color="auto"/>
            <w:right w:val="none" w:sz="0" w:space="0" w:color="auto"/>
          </w:divBdr>
        </w:div>
        <w:div w:id="1712924903">
          <w:marLeft w:val="360"/>
          <w:marRight w:val="0"/>
          <w:marTop w:val="200"/>
          <w:marBottom w:val="0"/>
          <w:divBdr>
            <w:top w:val="none" w:sz="0" w:space="0" w:color="auto"/>
            <w:left w:val="none" w:sz="0" w:space="0" w:color="auto"/>
            <w:bottom w:val="none" w:sz="0" w:space="0" w:color="auto"/>
            <w:right w:val="none" w:sz="0" w:space="0" w:color="auto"/>
          </w:divBdr>
        </w:div>
        <w:div w:id="332685718">
          <w:marLeft w:val="360"/>
          <w:marRight w:val="0"/>
          <w:marTop w:val="200"/>
          <w:marBottom w:val="0"/>
          <w:divBdr>
            <w:top w:val="none" w:sz="0" w:space="0" w:color="auto"/>
            <w:left w:val="none" w:sz="0" w:space="0" w:color="auto"/>
            <w:bottom w:val="none" w:sz="0" w:space="0" w:color="auto"/>
            <w:right w:val="none" w:sz="0" w:space="0" w:color="auto"/>
          </w:divBdr>
        </w:div>
        <w:div w:id="1116100799">
          <w:marLeft w:val="360"/>
          <w:marRight w:val="0"/>
          <w:marTop w:val="200"/>
          <w:marBottom w:val="0"/>
          <w:divBdr>
            <w:top w:val="none" w:sz="0" w:space="0" w:color="auto"/>
            <w:left w:val="none" w:sz="0" w:space="0" w:color="auto"/>
            <w:bottom w:val="none" w:sz="0" w:space="0" w:color="auto"/>
            <w:right w:val="none" w:sz="0" w:space="0" w:color="auto"/>
          </w:divBdr>
        </w:div>
        <w:div w:id="553544499">
          <w:marLeft w:val="360"/>
          <w:marRight w:val="0"/>
          <w:marTop w:val="200"/>
          <w:marBottom w:val="0"/>
          <w:divBdr>
            <w:top w:val="none" w:sz="0" w:space="0" w:color="auto"/>
            <w:left w:val="none" w:sz="0" w:space="0" w:color="auto"/>
            <w:bottom w:val="none" w:sz="0" w:space="0" w:color="auto"/>
            <w:right w:val="none" w:sz="0" w:space="0" w:color="auto"/>
          </w:divBdr>
        </w:div>
        <w:div w:id="518543194">
          <w:marLeft w:val="360"/>
          <w:marRight w:val="0"/>
          <w:marTop w:val="200"/>
          <w:marBottom w:val="0"/>
          <w:divBdr>
            <w:top w:val="none" w:sz="0" w:space="0" w:color="auto"/>
            <w:left w:val="none" w:sz="0" w:space="0" w:color="auto"/>
            <w:bottom w:val="none" w:sz="0" w:space="0" w:color="auto"/>
            <w:right w:val="none" w:sz="0" w:space="0" w:color="auto"/>
          </w:divBdr>
        </w:div>
        <w:div w:id="296036651">
          <w:marLeft w:val="360"/>
          <w:marRight w:val="0"/>
          <w:marTop w:val="200"/>
          <w:marBottom w:val="0"/>
          <w:divBdr>
            <w:top w:val="none" w:sz="0" w:space="0" w:color="auto"/>
            <w:left w:val="none" w:sz="0" w:space="0" w:color="auto"/>
            <w:bottom w:val="none" w:sz="0" w:space="0" w:color="auto"/>
            <w:right w:val="none" w:sz="0" w:space="0" w:color="auto"/>
          </w:divBdr>
        </w:div>
      </w:divsChild>
    </w:div>
    <w:div w:id="1955479269">
      <w:bodyDiv w:val="1"/>
      <w:marLeft w:val="0"/>
      <w:marRight w:val="0"/>
      <w:marTop w:val="0"/>
      <w:marBottom w:val="0"/>
      <w:divBdr>
        <w:top w:val="none" w:sz="0" w:space="0" w:color="auto"/>
        <w:left w:val="none" w:sz="0" w:space="0" w:color="auto"/>
        <w:bottom w:val="none" w:sz="0" w:space="0" w:color="auto"/>
        <w:right w:val="none" w:sz="0" w:space="0" w:color="auto"/>
      </w:divBdr>
      <w:divsChild>
        <w:div w:id="1870950295">
          <w:marLeft w:val="360"/>
          <w:marRight w:val="0"/>
          <w:marTop w:val="200"/>
          <w:marBottom w:val="0"/>
          <w:divBdr>
            <w:top w:val="none" w:sz="0" w:space="0" w:color="auto"/>
            <w:left w:val="none" w:sz="0" w:space="0" w:color="auto"/>
            <w:bottom w:val="none" w:sz="0" w:space="0" w:color="auto"/>
            <w:right w:val="none" w:sz="0" w:space="0" w:color="auto"/>
          </w:divBdr>
        </w:div>
        <w:div w:id="1283146578">
          <w:marLeft w:val="360"/>
          <w:marRight w:val="0"/>
          <w:marTop w:val="200"/>
          <w:marBottom w:val="0"/>
          <w:divBdr>
            <w:top w:val="none" w:sz="0" w:space="0" w:color="auto"/>
            <w:left w:val="none" w:sz="0" w:space="0" w:color="auto"/>
            <w:bottom w:val="none" w:sz="0" w:space="0" w:color="auto"/>
            <w:right w:val="none" w:sz="0" w:space="0" w:color="auto"/>
          </w:divBdr>
        </w:div>
        <w:div w:id="725642507">
          <w:marLeft w:val="360"/>
          <w:marRight w:val="0"/>
          <w:marTop w:val="200"/>
          <w:marBottom w:val="0"/>
          <w:divBdr>
            <w:top w:val="none" w:sz="0" w:space="0" w:color="auto"/>
            <w:left w:val="none" w:sz="0" w:space="0" w:color="auto"/>
            <w:bottom w:val="none" w:sz="0" w:space="0" w:color="auto"/>
            <w:right w:val="none" w:sz="0" w:space="0" w:color="auto"/>
          </w:divBdr>
        </w:div>
        <w:div w:id="963735320">
          <w:marLeft w:val="360"/>
          <w:marRight w:val="0"/>
          <w:marTop w:val="200"/>
          <w:marBottom w:val="0"/>
          <w:divBdr>
            <w:top w:val="none" w:sz="0" w:space="0" w:color="auto"/>
            <w:left w:val="none" w:sz="0" w:space="0" w:color="auto"/>
            <w:bottom w:val="none" w:sz="0" w:space="0" w:color="auto"/>
            <w:right w:val="none" w:sz="0" w:space="0" w:color="auto"/>
          </w:divBdr>
        </w:div>
        <w:div w:id="1448617185">
          <w:marLeft w:val="360"/>
          <w:marRight w:val="0"/>
          <w:marTop w:val="200"/>
          <w:marBottom w:val="0"/>
          <w:divBdr>
            <w:top w:val="none" w:sz="0" w:space="0" w:color="auto"/>
            <w:left w:val="none" w:sz="0" w:space="0" w:color="auto"/>
            <w:bottom w:val="none" w:sz="0" w:space="0" w:color="auto"/>
            <w:right w:val="none" w:sz="0" w:space="0" w:color="auto"/>
          </w:divBdr>
        </w:div>
        <w:div w:id="226766878">
          <w:marLeft w:val="360"/>
          <w:marRight w:val="0"/>
          <w:marTop w:val="200"/>
          <w:marBottom w:val="0"/>
          <w:divBdr>
            <w:top w:val="none" w:sz="0" w:space="0" w:color="auto"/>
            <w:left w:val="none" w:sz="0" w:space="0" w:color="auto"/>
            <w:bottom w:val="none" w:sz="0" w:space="0" w:color="auto"/>
            <w:right w:val="none" w:sz="0" w:space="0" w:color="auto"/>
          </w:divBdr>
        </w:div>
        <w:div w:id="1611006146">
          <w:marLeft w:val="360"/>
          <w:marRight w:val="0"/>
          <w:marTop w:val="200"/>
          <w:marBottom w:val="0"/>
          <w:divBdr>
            <w:top w:val="none" w:sz="0" w:space="0" w:color="auto"/>
            <w:left w:val="none" w:sz="0" w:space="0" w:color="auto"/>
            <w:bottom w:val="none" w:sz="0" w:space="0" w:color="auto"/>
            <w:right w:val="none" w:sz="0" w:space="0" w:color="auto"/>
          </w:divBdr>
        </w:div>
        <w:div w:id="568350528">
          <w:marLeft w:val="360"/>
          <w:marRight w:val="0"/>
          <w:marTop w:val="200"/>
          <w:marBottom w:val="0"/>
          <w:divBdr>
            <w:top w:val="none" w:sz="0" w:space="0" w:color="auto"/>
            <w:left w:val="none" w:sz="0" w:space="0" w:color="auto"/>
            <w:bottom w:val="none" w:sz="0" w:space="0" w:color="auto"/>
            <w:right w:val="none" w:sz="0" w:space="0" w:color="auto"/>
          </w:divBdr>
        </w:div>
        <w:div w:id="807431352">
          <w:marLeft w:val="360"/>
          <w:marRight w:val="0"/>
          <w:marTop w:val="200"/>
          <w:marBottom w:val="0"/>
          <w:divBdr>
            <w:top w:val="none" w:sz="0" w:space="0" w:color="auto"/>
            <w:left w:val="none" w:sz="0" w:space="0" w:color="auto"/>
            <w:bottom w:val="none" w:sz="0" w:space="0" w:color="auto"/>
            <w:right w:val="none" w:sz="0" w:space="0" w:color="auto"/>
          </w:divBdr>
        </w:div>
      </w:divsChild>
    </w:div>
    <w:div w:id="1957174851">
      <w:bodyDiv w:val="1"/>
      <w:marLeft w:val="0"/>
      <w:marRight w:val="0"/>
      <w:marTop w:val="0"/>
      <w:marBottom w:val="0"/>
      <w:divBdr>
        <w:top w:val="none" w:sz="0" w:space="0" w:color="auto"/>
        <w:left w:val="none" w:sz="0" w:space="0" w:color="auto"/>
        <w:bottom w:val="none" w:sz="0" w:space="0" w:color="auto"/>
        <w:right w:val="none" w:sz="0" w:space="0" w:color="auto"/>
      </w:divBdr>
    </w:div>
    <w:div w:id="1964338134">
      <w:bodyDiv w:val="1"/>
      <w:marLeft w:val="0"/>
      <w:marRight w:val="0"/>
      <w:marTop w:val="0"/>
      <w:marBottom w:val="0"/>
      <w:divBdr>
        <w:top w:val="none" w:sz="0" w:space="0" w:color="auto"/>
        <w:left w:val="none" w:sz="0" w:space="0" w:color="auto"/>
        <w:bottom w:val="none" w:sz="0" w:space="0" w:color="auto"/>
        <w:right w:val="none" w:sz="0" w:space="0" w:color="auto"/>
      </w:divBdr>
    </w:div>
    <w:div w:id="1969430845">
      <w:bodyDiv w:val="1"/>
      <w:marLeft w:val="0"/>
      <w:marRight w:val="0"/>
      <w:marTop w:val="0"/>
      <w:marBottom w:val="0"/>
      <w:divBdr>
        <w:top w:val="none" w:sz="0" w:space="0" w:color="auto"/>
        <w:left w:val="none" w:sz="0" w:space="0" w:color="auto"/>
        <w:bottom w:val="none" w:sz="0" w:space="0" w:color="auto"/>
        <w:right w:val="none" w:sz="0" w:space="0" w:color="auto"/>
      </w:divBdr>
    </w:div>
    <w:div w:id="1996446148">
      <w:bodyDiv w:val="1"/>
      <w:marLeft w:val="0"/>
      <w:marRight w:val="0"/>
      <w:marTop w:val="0"/>
      <w:marBottom w:val="0"/>
      <w:divBdr>
        <w:top w:val="none" w:sz="0" w:space="0" w:color="auto"/>
        <w:left w:val="none" w:sz="0" w:space="0" w:color="auto"/>
        <w:bottom w:val="none" w:sz="0" w:space="0" w:color="auto"/>
        <w:right w:val="none" w:sz="0" w:space="0" w:color="auto"/>
      </w:divBdr>
    </w:div>
    <w:div w:id="2016690650">
      <w:bodyDiv w:val="1"/>
      <w:marLeft w:val="0"/>
      <w:marRight w:val="0"/>
      <w:marTop w:val="0"/>
      <w:marBottom w:val="0"/>
      <w:divBdr>
        <w:top w:val="none" w:sz="0" w:space="0" w:color="auto"/>
        <w:left w:val="none" w:sz="0" w:space="0" w:color="auto"/>
        <w:bottom w:val="none" w:sz="0" w:space="0" w:color="auto"/>
        <w:right w:val="none" w:sz="0" w:space="0" w:color="auto"/>
      </w:divBdr>
    </w:div>
    <w:div w:id="2017882494">
      <w:bodyDiv w:val="1"/>
      <w:marLeft w:val="0"/>
      <w:marRight w:val="0"/>
      <w:marTop w:val="0"/>
      <w:marBottom w:val="0"/>
      <w:divBdr>
        <w:top w:val="none" w:sz="0" w:space="0" w:color="auto"/>
        <w:left w:val="none" w:sz="0" w:space="0" w:color="auto"/>
        <w:bottom w:val="none" w:sz="0" w:space="0" w:color="auto"/>
        <w:right w:val="none" w:sz="0" w:space="0" w:color="auto"/>
      </w:divBdr>
    </w:div>
    <w:div w:id="2043941383">
      <w:bodyDiv w:val="1"/>
      <w:marLeft w:val="0"/>
      <w:marRight w:val="0"/>
      <w:marTop w:val="0"/>
      <w:marBottom w:val="0"/>
      <w:divBdr>
        <w:top w:val="none" w:sz="0" w:space="0" w:color="auto"/>
        <w:left w:val="none" w:sz="0" w:space="0" w:color="auto"/>
        <w:bottom w:val="none" w:sz="0" w:space="0" w:color="auto"/>
        <w:right w:val="none" w:sz="0" w:space="0" w:color="auto"/>
      </w:divBdr>
    </w:div>
    <w:div w:id="2054964092">
      <w:bodyDiv w:val="1"/>
      <w:marLeft w:val="0"/>
      <w:marRight w:val="0"/>
      <w:marTop w:val="0"/>
      <w:marBottom w:val="0"/>
      <w:divBdr>
        <w:top w:val="none" w:sz="0" w:space="0" w:color="auto"/>
        <w:left w:val="none" w:sz="0" w:space="0" w:color="auto"/>
        <w:bottom w:val="none" w:sz="0" w:space="0" w:color="auto"/>
        <w:right w:val="none" w:sz="0" w:space="0" w:color="auto"/>
      </w:divBdr>
    </w:div>
    <w:div w:id="2065329684">
      <w:bodyDiv w:val="1"/>
      <w:marLeft w:val="0"/>
      <w:marRight w:val="0"/>
      <w:marTop w:val="0"/>
      <w:marBottom w:val="0"/>
      <w:divBdr>
        <w:top w:val="none" w:sz="0" w:space="0" w:color="auto"/>
        <w:left w:val="none" w:sz="0" w:space="0" w:color="auto"/>
        <w:bottom w:val="none" w:sz="0" w:space="0" w:color="auto"/>
        <w:right w:val="none" w:sz="0" w:space="0" w:color="auto"/>
      </w:divBdr>
    </w:div>
    <w:div w:id="2073000890">
      <w:bodyDiv w:val="1"/>
      <w:marLeft w:val="0"/>
      <w:marRight w:val="0"/>
      <w:marTop w:val="0"/>
      <w:marBottom w:val="0"/>
      <w:divBdr>
        <w:top w:val="none" w:sz="0" w:space="0" w:color="auto"/>
        <w:left w:val="none" w:sz="0" w:space="0" w:color="auto"/>
        <w:bottom w:val="none" w:sz="0" w:space="0" w:color="auto"/>
        <w:right w:val="none" w:sz="0" w:space="0" w:color="auto"/>
      </w:divBdr>
    </w:div>
    <w:div w:id="2073263633">
      <w:bodyDiv w:val="1"/>
      <w:marLeft w:val="0"/>
      <w:marRight w:val="0"/>
      <w:marTop w:val="0"/>
      <w:marBottom w:val="0"/>
      <w:divBdr>
        <w:top w:val="none" w:sz="0" w:space="0" w:color="auto"/>
        <w:left w:val="none" w:sz="0" w:space="0" w:color="auto"/>
        <w:bottom w:val="none" w:sz="0" w:space="0" w:color="auto"/>
        <w:right w:val="none" w:sz="0" w:space="0" w:color="auto"/>
      </w:divBdr>
    </w:div>
    <w:div w:id="2073694065">
      <w:bodyDiv w:val="1"/>
      <w:marLeft w:val="0"/>
      <w:marRight w:val="0"/>
      <w:marTop w:val="0"/>
      <w:marBottom w:val="0"/>
      <w:divBdr>
        <w:top w:val="none" w:sz="0" w:space="0" w:color="auto"/>
        <w:left w:val="none" w:sz="0" w:space="0" w:color="auto"/>
        <w:bottom w:val="none" w:sz="0" w:space="0" w:color="auto"/>
        <w:right w:val="none" w:sz="0" w:space="0" w:color="auto"/>
      </w:divBdr>
    </w:div>
    <w:div w:id="210549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electricianul.ro/legea-184-2018-aduce-noutati-pentru-producatorii-de-energie-regenera/" TargetMode="External"/><Relationship Id="rId18" Type="http://schemas.openxmlformats.org/officeDocument/2006/relationships/hyperlink" Target="https://ec.europa.eu/energy/en/topics/renewable-energy/renewable-energy-directive" TargetMode="External"/><Relationship Id="rId26" Type="http://schemas.openxmlformats.org/officeDocument/2006/relationships/hyperlink" Target="https://www.worldbank.org/en/country/romania/brief/romania-climate-change-and-low-carbon-green-growth-program" TargetMode="External"/><Relationship Id="rId3" Type="http://schemas.openxmlformats.org/officeDocument/2006/relationships/settings" Target="settings.xml"/><Relationship Id="rId21" Type="http://schemas.openxmlformats.org/officeDocument/2006/relationships/hyperlink" Target="http://www.mmediu.ro/categorie/eu-ets/89" TargetMode="External"/><Relationship Id="rId7" Type="http://schemas.openxmlformats.org/officeDocument/2006/relationships/image" Target="media/image1.png"/><Relationship Id="rId12" Type="http://schemas.openxmlformats.org/officeDocument/2006/relationships/hyperlink" Target="https://bankwatch.org/beyond-coal/the-energy-sector-in-romania" TargetMode="External"/><Relationship Id="rId17" Type="http://schemas.openxmlformats.org/officeDocument/2006/relationships/hyperlink" Target="https://ec.europa.eu/clima/policies/ets_en" TargetMode="External"/><Relationship Id="rId25" Type="http://schemas.openxmlformats.org/officeDocument/2006/relationships/hyperlink" Target="https://energiata.org/legea-prosumatorului-normele-aplicare/" TargetMode="External"/><Relationship Id="rId2" Type="http://schemas.openxmlformats.org/officeDocument/2006/relationships/styles" Target="styles.xml"/><Relationship Id="rId16" Type="http://schemas.openxmlformats.org/officeDocument/2006/relationships/hyperlink" Target="https://www.euractiv.ro/economic/tinta-deloc-ambitioasa-pentru-energiile-regenerabile.-romania-nu-vrea-sa-fie-e2-80-9eprea-verde-13899" TargetMode="External"/><Relationship Id="rId20" Type="http://schemas.openxmlformats.org/officeDocument/2006/relationships/hyperlink" Target="https://jurnalul.antena3.ro/stiri/observator/neversea-ar-putea-fi-primul-festival-din-lume-alimentat-exclusiv-cu-energie-regenerabila-815385.html"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lkangreenenergynews.com/romania-mulls-carbon-price-compensation-scheme/" TargetMode="External"/><Relationship Id="rId24" Type="http://schemas.openxmlformats.org/officeDocument/2006/relationships/hyperlink" Target="https://energiata.org/legea-prosumatorilor-promulgata-de-presedintele-romaniei/" TargetMode="External"/><Relationship Id="rId5" Type="http://schemas.openxmlformats.org/officeDocument/2006/relationships/footnotes" Target="footnotes.xml"/><Relationship Id="rId15" Type="http://schemas.openxmlformats.org/officeDocument/2006/relationships/hyperlink" Target="https://eur-lex.europa.eu/legal-content/EN/LSU/?uri=uriserv:OJ.L_.2018.328.01.0001.01.ENG" TargetMode="External"/><Relationship Id="rId23" Type="http://schemas.openxmlformats.org/officeDocument/2006/relationships/hyperlink" Target="https://www.romania-insider.com/ec-romania-renewable-energy" TargetMode="External"/><Relationship Id="rId28" Type="http://schemas.openxmlformats.org/officeDocument/2006/relationships/footer" Target="footer1.xml"/><Relationship Id="rId10" Type="http://schemas.openxmlformats.org/officeDocument/2006/relationships/hyperlink" Target="https://www.anre.ro/ro/legislatie/surse-regenerabile/legislatie-primara-esre" TargetMode="External"/><Relationship Id="rId19" Type="http://schemas.openxmlformats.org/officeDocument/2006/relationships/hyperlink" Target="https://www.green-report.ro/greenpeace-romania-planul-propus-de-romania-referitor-la-energie-si-clima-daunator-lipsit-de-ambitie-si-penalizat-de-comisia-europeana/"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hyperlink" Target="https://www.enpg.ro/analysis-the-draft-of-the-romanian-national-energy-climate-plan-2021-2030/" TargetMode="External"/><Relationship Id="rId22" Type="http://schemas.openxmlformats.org/officeDocument/2006/relationships/hyperlink" Target="http://www.res-legal.eu/search-by-country/romania/single/s/res-e/t/promotion/aid/quota-system-4/lastp/183/" TargetMode="External"/><Relationship Id="rId27" Type="http://schemas.openxmlformats.org/officeDocument/2006/relationships/hyperlink" Target="https://www.worldenergy.org/news-and-media/local-news/romania-ahead-of-europe-on-renewable-target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20</Pages>
  <Words>6240</Words>
  <Characters>35574</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TC</dc:creator>
  <cp:keywords/>
  <dc:description/>
  <cp:lastModifiedBy>R TC</cp:lastModifiedBy>
  <cp:revision>27</cp:revision>
  <dcterms:created xsi:type="dcterms:W3CDTF">2019-07-29T07:48:00Z</dcterms:created>
  <dcterms:modified xsi:type="dcterms:W3CDTF">2020-02-16T21:14:00Z</dcterms:modified>
</cp:coreProperties>
</file>