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736" w:rsidRPr="00AA68EC" w:rsidRDefault="00F539E0" w:rsidP="00AA68EC">
      <w:pPr>
        <w:pStyle w:val="Citationintense"/>
        <w:pBdr>
          <w:bottom w:val="single" w:sz="4" w:space="2" w:color="4F81BD" w:themeColor="accent1"/>
        </w:pBdr>
        <w:ind w:left="0" w:right="-284"/>
        <w:jc w:val="both"/>
        <w:rPr>
          <w:rFonts w:ascii="Arial" w:hAnsi="Arial" w:cs="Arial"/>
          <w:i w:val="0"/>
          <w:iCs w:val="0"/>
          <w:color w:val="auto"/>
          <w:lang w:val="en-US"/>
        </w:rPr>
      </w:pPr>
      <w:r w:rsidRPr="00AA68EC">
        <w:rPr>
          <w:rFonts w:ascii="Arial" w:hAnsi="Arial" w:cs="Arial"/>
          <w:i w:val="0"/>
          <w:iCs w:val="0"/>
          <w:color w:val="auto"/>
          <w:lang w:val="en-US"/>
        </w:rPr>
        <w:t xml:space="preserve">The study of the </w:t>
      </w:r>
      <w:r w:rsidR="00C96313" w:rsidRPr="00AA68EC">
        <w:rPr>
          <w:rFonts w:ascii="Arial" w:hAnsi="Arial" w:cs="Arial"/>
          <w:i w:val="0"/>
          <w:iCs w:val="0"/>
          <w:color w:val="auto"/>
          <w:lang w:val="en-US"/>
        </w:rPr>
        <w:t xml:space="preserve">influence of load’s </w:t>
      </w:r>
      <w:r w:rsidRPr="00AA68EC">
        <w:rPr>
          <w:rFonts w:ascii="Arial" w:hAnsi="Arial" w:cs="Arial"/>
          <w:i w:val="0"/>
          <w:iCs w:val="0"/>
          <w:color w:val="auto"/>
          <w:lang w:val="en-US"/>
        </w:rPr>
        <w:t xml:space="preserve">chemical composition </w:t>
      </w:r>
      <w:r w:rsidR="00C96313" w:rsidRPr="00AA68EC">
        <w:rPr>
          <w:rFonts w:ascii="Arial" w:hAnsi="Arial" w:cs="Arial"/>
          <w:i w:val="0"/>
          <w:iCs w:val="0"/>
          <w:color w:val="auto"/>
          <w:lang w:val="en-US"/>
        </w:rPr>
        <w:t xml:space="preserve">in the coking process on the efficiency </w:t>
      </w:r>
      <w:r w:rsidR="009865B0" w:rsidRPr="00AA68EC">
        <w:rPr>
          <w:rFonts w:ascii="Arial" w:hAnsi="Arial" w:cs="Arial"/>
          <w:i w:val="0"/>
          <w:iCs w:val="0"/>
          <w:color w:val="auto"/>
          <w:lang w:val="en-US"/>
        </w:rPr>
        <w:t>and the</w:t>
      </w:r>
      <w:r w:rsidR="00C96313" w:rsidRPr="00AA68EC">
        <w:rPr>
          <w:rFonts w:ascii="Arial" w:hAnsi="Arial" w:cs="Arial"/>
          <w:i w:val="0"/>
          <w:iCs w:val="0"/>
          <w:color w:val="auto"/>
          <w:lang w:val="en-US"/>
        </w:rPr>
        <w:t xml:space="preserve"> quality </w:t>
      </w:r>
      <w:r w:rsidR="009865B0" w:rsidRPr="00AA68EC">
        <w:rPr>
          <w:rFonts w:ascii="Arial" w:hAnsi="Arial" w:cs="Arial"/>
          <w:i w:val="0"/>
          <w:iCs w:val="0"/>
          <w:color w:val="auto"/>
          <w:lang w:val="en-US"/>
        </w:rPr>
        <w:t>of coke</w:t>
      </w:r>
    </w:p>
    <w:p w:rsidR="00A42736" w:rsidRPr="00AA68EC" w:rsidRDefault="00A42736" w:rsidP="00AA68EC">
      <w:pPr>
        <w:spacing w:after="0"/>
        <w:jc w:val="both"/>
        <w:rPr>
          <w:rFonts w:ascii="Arial" w:hAnsi="Arial" w:cs="Arial"/>
          <w:lang w:val="en-US"/>
        </w:rPr>
      </w:pPr>
      <w:r w:rsidRPr="00AA68EC">
        <w:rPr>
          <w:rFonts w:ascii="Arial" w:hAnsi="Arial" w:cs="Arial"/>
          <w:lang w:val="en-US"/>
        </w:rPr>
        <w:t>Dr. H. MIMOUN</w:t>
      </w:r>
      <w:r w:rsidRPr="00AA68EC">
        <w:rPr>
          <w:rFonts w:ascii="Arial" w:hAnsi="Arial" w:cs="Arial"/>
          <w:vertAlign w:val="superscript"/>
          <w:lang w:val="en-US"/>
        </w:rPr>
        <w:t>*,a</w:t>
      </w:r>
      <w:r w:rsidRPr="00AA68EC">
        <w:rPr>
          <w:rFonts w:ascii="Arial" w:hAnsi="Arial" w:cs="Arial"/>
          <w:lang w:val="en-US"/>
        </w:rPr>
        <w:t>, F. HENNAOUI</w:t>
      </w:r>
      <w:r w:rsidRPr="00AA68EC">
        <w:rPr>
          <w:rFonts w:ascii="Arial" w:hAnsi="Arial" w:cs="Arial"/>
          <w:vertAlign w:val="superscript"/>
          <w:lang w:val="en-US"/>
        </w:rPr>
        <w:t>b</w:t>
      </w:r>
      <w:r w:rsidRPr="00AA68EC">
        <w:rPr>
          <w:rFonts w:ascii="Arial" w:hAnsi="Arial" w:cs="Arial"/>
          <w:lang w:val="en-US"/>
        </w:rPr>
        <w:t>, M. KERBOUA</w:t>
      </w:r>
      <w:r w:rsidRPr="00AA68EC">
        <w:rPr>
          <w:rFonts w:ascii="Arial" w:hAnsi="Arial" w:cs="Arial"/>
          <w:vertAlign w:val="superscript"/>
          <w:lang w:val="en-US"/>
        </w:rPr>
        <w:t>c</w:t>
      </w:r>
      <w:r w:rsidRPr="00AA68EC">
        <w:rPr>
          <w:rFonts w:ascii="Arial" w:hAnsi="Arial" w:cs="Arial"/>
          <w:lang w:val="en-US"/>
        </w:rPr>
        <w:t>,</w:t>
      </w:r>
    </w:p>
    <w:p w:rsidR="001D1F4E" w:rsidRPr="00AA68EC" w:rsidRDefault="00A42736" w:rsidP="00AA68EC">
      <w:pPr>
        <w:spacing w:after="0"/>
        <w:jc w:val="both"/>
        <w:rPr>
          <w:rFonts w:ascii="Arial" w:hAnsi="Arial" w:cs="Arial"/>
        </w:rPr>
      </w:pPr>
      <w:r w:rsidRPr="00AA68EC">
        <w:rPr>
          <w:rFonts w:ascii="Arial" w:hAnsi="Arial" w:cs="Arial"/>
          <w:vertAlign w:val="superscript"/>
        </w:rPr>
        <w:t>a</w:t>
      </w:r>
      <w:r w:rsidRPr="00AA68EC">
        <w:rPr>
          <w:rFonts w:ascii="Arial" w:hAnsi="Arial" w:cs="Arial"/>
        </w:rPr>
        <w:t xml:space="preserve"> Maitre de conferences</w:t>
      </w:r>
      <w:r w:rsidR="001D1F4E" w:rsidRPr="00AA68EC">
        <w:rPr>
          <w:rFonts w:ascii="Arial" w:hAnsi="Arial" w:cs="Arial"/>
        </w:rPr>
        <w:t>,</w:t>
      </w:r>
      <w:r w:rsidRPr="00AA68EC">
        <w:rPr>
          <w:rFonts w:ascii="Arial" w:hAnsi="Arial" w:cs="Arial"/>
        </w:rPr>
        <w:t xml:space="preserve"> Boumerdes, Algerie</w:t>
      </w:r>
      <w:r w:rsidR="001D1F4E" w:rsidRPr="00AA68EC">
        <w:rPr>
          <w:rFonts w:ascii="Arial" w:hAnsi="Arial" w:cs="Arial"/>
        </w:rPr>
        <w:t xml:space="preserve"> ; </w:t>
      </w:r>
      <w:r w:rsidR="001D1F4E" w:rsidRPr="00AA68EC">
        <w:rPr>
          <w:rFonts w:ascii="Arial" w:hAnsi="Arial" w:cs="Arial"/>
          <w:vertAlign w:val="superscript"/>
        </w:rPr>
        <w:t>b</w:t>
      </w:r>
      <w:r w:rsidR="001D1F4E" w:rsidRPr="00AA68EC">
        <w:rPr>
          <w:rFonts w:ascii="Arial" w:hAnsi="Arial" w:cs="Arial"/>
        </w:rPr>
        <w:t xml:space="preserve"> Magister, Boumerdes, Algerie ; </w:t>
      </w:r>
    </w:p>
    <w:p w:rsidR="00A42736" w:rsidRPr="00AA68EC" w:rsidRDefault="001D1F4E" w:rsidP="00AA68EC">
      <w:pPr>
        <w:spacing w:after="0"/>
        <w:jc w:val="both"/>
        <w:rPr>
          <w:rFonts w:ascii="Arial" w:hAnsi="Arial" w:cs="Arial"/>
        </w:rPr>
      </w:pPr>
      <w:r w:rsidRPr="00AA68EC">
        <w:rPr>
          <w:rFonts w:ascii="Arial" w:hAnsi="Arial" w:cs="Arial"/>
          <w:vertAlign w:val="superscript"/>
        </w:rPr>
        <w:t>c</w:t>
      </w:r>
      <w:r w:rsidRPr="00AA68EC">
        <w:rPr>
          <w:rFonts w:ascii="Arial" w:hAnsi="Arial" w:cs="Arial"/>
        </w:rPr>
        <w:t xml:space="preserve"> Ingénieur, Boumerdes, Algerie.</w:t>
      </w:r>
    </w:p>
    <w:p w:rsidR="001D6840" w:rsidRPr="00AA68EC" w:rsidRDefault="001D6840" w:rsidP="00AA68EC">
      <w:pPr>
        <w:spacing w:after="0"/>
        <w:jc w:val="both"/>
        <w:rPr>
          <w:rFonts w:ascii="Arial" w:hAnsi="Arial" w:cs="Arial"/>
        </w:rPr>
      </w:pPr>
      <w:r w:rsidRPr="00AA68EC">
        <w:rPr>
          <w:rFonts w:ascii="Arial" w:hAnsi="Arial" w:cs="Arial"/>
        </w:rPr>
        <w:t>Laboratoire de recherche Technologie des hydrocarbures ; Faculté des hydrocarbures et de la chimie ; Université de Boumerdès</w:t>
      </w:r>
    </w:p>
    <w:p w:rsidR="001D1F4E" w:rsidRPr="00AA68EC" w:rsidRDefault="005D7CB0" w:rsidP="00AA68EC">
      <w:pPr>
        <w:jc w:val="both"/>
        <w:rPr>
          <w:rFonts w:ascii="Arial" w:hAnsi="Arial" w:cs="Arial"/>
          <w:color w:val="1F497D" w:themeColor="text2"/>
          <w:lang w:val="en-US"/>
        </w:rPr>
      </w:pPr>
      <w:hyperlink r:id="rId8" w:history="1">
        <w:r w:rsidR="001D1F4E" w:rsidRPr="00AA68EC">
          <w:rPr>
            <w:rStyle w:val="Lienhypertexte"/>
            <w:rFonts w:ascii="Arial" w:hAnsi="Arial" w:cs="Arial"/>
            <w:lang w:val="en-US"/>
          </w:rPr>
          <w:t>Mimounhadj@yahoo.fr</w:t>
        </w:r>
      </w:hyperlink>
    </w:p>
    <w:p w:rsidR="00440AD3" w:rsidRPr="00AA68EC" w:rsidRDefault="00A53F6A" w:rsidP="00AA68EC">
      <w:pPr>
        <w:pStyle w:val="Citationintense"/>
        <w:pBdr>
          <w:bottom w:val="single" w:sz="4" w:space="2" w:color="4F81BD" w:themeColor="accent1"/>
        </w:pBdr>
        <w:ind w:left="-284" w:right="-284"/>
        <w:jc w:val="both"/>
        <w:rPr>
          <w:rFonts w:ascii="Arial" w:hAnsi="Arial" w:cs="Arial"/>
          <w:i w:val="0"/>
          <w:iCs w:val="0"/>
          <w:lang w:val="en-US"/>
        </w:rPr>
      </w:pPr>
      <w:r w:rsidRPr="00AA68EC">
        <w:rPr>
          <w:rFonts w:ascii="Arial" w:hAnsi="Arial" w:cs="Arial"/>
          <w:i w:val="0"/>
          <w:iCs w:val="0"/>
          <w:lang w:val="en-US"/>
        </w:rPr>
        <w:t>Abstract:</w:t>
      </w:r>
    </w:p>
    <w:p w:rsidR="00A53F6A" w:rsidRPr="00AA68EC" w:rsidRDefault="00A53F6A" w:rsidP="00AA68EC">
      <w:pPr>
        <w:ind w:left="-284"/>
        <w:jc w:val="both"/>
        <w:rPr>
          <w:rFonts w:ascii="Arial" w:hAnsi="Arial" w:cs="Arial"/>
          <w:lang w:val="en-US"/>
        </w:rPr>
        <w:sectPr w:rsidR="00A53F6A" w:rsidRPr="00AA68EC" w:rsidSect="007F77E7">
          <w:type w:val="continuous"/>
          <w:pgSz w:w="11906" w:h="16838"/>
          <w:pgMar w:top="1417" w:right="1417" w:bottom="1417" w:left="1417" w:header="708" w:footer="708" w:gutter="0"/>
          <w:cols w:space="708"/>
          <w:docGrid w:linePitch="360"/>
        </w:sectPr>
      </w:pPr>
    </w:p>
    <w:p w:rsidR="001E5D6D" w:rsidRPr="00AA68EC" w:rsidRDefault="001E5D6D" w:rsidP="00AA68EC">
      <w:pPr>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lastRenderedPageBreak/>
        <w:t xml:space="preserve">This research was performed in order to allow the study of the chemical composition influence of the coking process load on the </w:t>
      </w:r>
      <w:r w:rsidRPr="00AA68EC">
        <w:rPr>
          <w:rStyle w:val="dltargetword"/>
          <w:rFonts w:ascii="Arial" w:hAnsi="Arial" w:cs="Arial"/>
          <w:color w:val="333333"/>
          <w:lang w:val="en-US"/>
        </w:rPr>
        <w:t xml:space="preserve">efficiency </w:t>
      </w:r>
      <w:r w:rsidRPr="00AA68EC">
        <w:rPr>
          <w:rFonts w:ascii="Arial" w:hAnsi="Arial" w:cs="Arial"/>
          <w:color w:val="333333"/>
          <w:lang w:val="en-US"/>
        </w:rPr>
        <w:t>and</w:t>
      </w:r>
      <w:r w:rsidRPr="00AA68EC">
        <w:rPr>
          <w:rFonts w:ascii="Arial" w:eastAsia="Times New Roman" w:hAnsi="Arial" w:cs="Arial"/>
          <w:color w:val="000000"/>
          <w:lang w:val="en-US" w:eastAsia="fr-FR"/>
        </w:rPr>
        <w:t xml:space="preserve"> the quality of coke. For this reason, the coking of the following loads was realized: Atmospheric residue (RAT), vacuum Residue (RSV) and catalytic Residue of cracking (RCC). (The residues are obtained from an Algerian crude oil).As the oil residues are rich for their strongly polar composition, such as the </w:t>
      </w:r>
      <w:r w:rsidRPr="00AA68EC">
        <w:rPr>
          <w:rStyle w:val="dltargetword"/>
          <w:rFonts w:ascii="Arial" w:hAnsi="Arial" w:cs="Arial"/>
          <w:color w:val="333333"/>
          <w:lang w:val="en-US"/>
        </w:rPr>
        <w:t>asphaltene</w:t>
      </w:r>
      <w:r w:rsidRPr="00AA68EC">
        <w:rPr>
          <w:rFonts w:ascii="Arial" w:eastAsia="Times New Roman" w:hAnsi="Arial" w:cs="Arial"/>
          <w:color w:val="000000"/>
          <w:lang w:val="en-US" w:eastAsia="fr-FR"/>
        </w:rPr>
        <w:t xml:space="preserve"> resins, and complex structures units (SCU), which has a role in the formation of coke, and as the dispersion of these latter improves the quality of coke, a study on the stability of aggregation was carried out by the addition of one stabilizer (oil Extract) in the coking process load. The Compounding (Extracted from /RCC oil) has been drived to the best</w:t>
      </w:r>
      <w:r w:rsidRPr="00AA68EC">
        <w:rPr>
          <w:rStyle w:val="dltargetword"/>
          <w:rFonts w:ascii="Arial" w:hAnsi="Arial" w:cs="Arial"/>
          <w:color w:val="333333"/>
          <w:lang w:val="en-US"/>
        </w:rPr>
        <w:t xml:space="preserve"> efficiency of </w:t>
      </w:r>
      <w:r w:rsidRPr="00AA68EC">
        <w:rPr>
          <w:rFonts w:ascii="Arial" w:eastAsia="Times New Roman" w:hAnsi="Arial" w:cs="Arial"/>
          <w:color w:val="000000"/>
          <w:lang w:val="en-US" w:eastAsia="fr-FR"/>
        </w:rPr>
        <w:t xml:space="preserve">coke. The study consists of the influence…., this is characterized by the analyses Infra-red (IR) and x-ray diffraction (XRD). </w:t>
      </w:r>
    </w:p>
    <w:p w:rsidR="001D1F4E" w:rsidRPr="00AA68EC" w:rsidRDefault="003C1BBA" w:rsidP="00AA68EC">
      <w:pPr>
        <w:spacing w:after="0"/>
        <w:ind w:left="-284" w:right="-284"/>
        <w:jc w:val="both"/>
        <w:rPr>
          <w:rFonts w:ascii="Arial" w:hAnsi="Arial" w:cs="Arial"/>
          <w:lang w:val="en-US"/>
        </w:rPr>
        <w:sectPr w:rsidR="001D1F4E" w:rsidRPr="00AA68EC" w:rsidSect="00DC26D1">
          <w:type w:val="continuous"/>
          <w:pgSz w:w="11906" w:h="16838"/>
          <w:pgMar w:top="720" w:right="720" w:bottom="720" w:left="720" w:header="708" w:footer="708" w:gutter="0"/>
          <w:cols w:space="708"/>
          <w:docGrid w:linePitch="360"/>
        </w:sectPr>
      </w:pPr>
      <w:r w:rsidRPr="00AA68EC">
        <w:rPr>
          <w:rFonts w:ascii="Arial" w:hAnsi="Arial" w:cs="Arial"/>
          <w:b/>
          <w:bCs/>
          <w:i/>
          <w:iCs/>
          <w:lang w:val="en-US" w:bidi="ar-SA"/>
        </w:rPr>
        <w:t xml:space="preserve">     </w:t>
      </w:r>
      <w:r w:rsidR="0046159D" w:rsidRPr="00AA68EC">
        <w:rPr>
          <w:rFonts w:ascii="Arial" w:hAnsi="Arial" w:cs="Arial"/>
          <w:b/>
          <w:bCs/>
          <w:i/>
          <w:iCs/>
          <w:lang w:val="en-US" w:bidi="ar-SA"/>
        </w:rPr>
        <w:t xml:space="preserve">Keywords: </w:t>
      </w:r>
      <w:r w:rsidR="001E5D6D" w:rsidRPr="00AA68EC">
        <w:rPr>
          <w:rFonts w:ascii="Arial" w:hAnsi="Arial" w:cs="Arial"/>
          <w:i/>
          <w:iCs/>
          <w:lang w:val="en-US" w:bidi="ar-SA"/>
        </w:rPr>
        <w:t>Coking;</w:t>
      </w:r>
      <w:r w:rsidR="0046159D" w:rsidRPr="00AA68EC">
        <w:rPr>
          <w:rFonts w:ascii="Arial" w:hAnsi="Arial" w:cs="Arial"/>
          <w:i/>
          <w:iCs/>
          <w:lang w:val="en-US" w:bidi="ar-SA"/>
        </w:rPr>
        <w:t xml:space="preserve"> </w:t>
      </w:r>
      <w:r w:rsidR="001E5D6D" w:rsidRPr="00AA68EC">
        <w:rPr>
          <w:rFonts w:ascii="Arial" w:hAnsi="Arial" w:cs="Arial"/>
          <w:i/>
          <w:iCs/>
          <w:lang w:val="en-US" w:bidi="ar-SA"/>
        </w:rPr>
        <w:t>oil</w:t>
      </w:r>
      <w:r w:rsidR="0046159D" w:rsidRPr="00AA68EC">
        <w:rPr>
          <w:rFonts w:ascii="Arial" w:hAnsi="Arial" w:cs="Arial"/>
          <w:i/>
          <w:iCs/>
          <w:lang w:val="en-US" w:bidi="ar-SA"/>
        </w:rPr>
        <w:t xml:space="preserve"> </w:t>
      </w:r>
      <w:r w:rsidR="001E5D6D" w:rsidRPr="00AA68EC">
        <w:rPr>
          <w:rFonts w:ascii="Arial" w:hAnsi="Arial" w:cs="Arial"/>
          <w:i/>
          <w:iCs/>
          <w:lang w:val="en-US" w:bidi="ar-SA"/>
        </w:rPr>
        <w:t>residue;</w:t>
      </w:r>
      <w:r w:rsidR="0046159D" w:rsidRPr="00AA68EC">
        <w:rPr>
          <w:rFonts w:ascii="Arial" w:hAnsi="Arial" w:cs="Arial"/>
          <w:b/>
          <w:bCs/>
          <w:i/>
          <w:iCs/>
          <w:lang w:val="en-US" w:bidi="ar-SA"/>
        </w:rPr>
        <w:t xml:space="preserve"> </w:t>
      </w:r>
      <w:r w:rsidR="001E5D6D" w:rsidRPr="00AA68EC">
        <w:rPr>
          <w:rFonts w:ascii="Arial" w:hAnsi="Arial" w:cs="Arial"/>
          <w:i/>
          <w:iCs/>
          <w:lang w:val="en-US" w:bidi="ar-SA"/>
        </w:rPr>
        <w:t>dispersant;</w:t>
      </w:r>
      <w:r w:rsidR="001E5D6D" w:rsidRPr="00AA68EC">
        <w:rPr>
          <w:rFonts w:ascii="Arial" w:hAnsi="Arial" w:cs="Arial"/>
          <w:b/>
          <w:bCs/>
          <w:i/>
          <w:iCs/>
          <w:lang w:val="en-US" w:bidi="ar-SA"/>
        </w:rPr>
        <w:t xml:space="preserve"> aggregation</w:t>
      </w:r>
      <w:r w:rsidR="0046159D" w:rsidRPr="00AA68EC">
        <w:rPr>
          <w:rFonts w:ascii="Arial" w:hAnsi="Arial" w:cs="Arial"/>
          <w:i/>
          <w:iCs/>
          <w:lang w:val="en-US"/>
        </w:rPr>
        <w:t xml:space="preserve"> stability</w:t>
      </w:r>
    </w:p>
    <w:p w:rsidR="00EF09B5" w:rsidRPr="00AA68EC" w:rsidRDefault="00EF09B5" w:rsidP="00AA68EC">
      <w:pPr>
        <w:pStyle w:val="Citationintense"/>
        <w:pBdr>
          <w:bottom w:val="single" w:sz="4" w:space="2" w:color="4F81BD" w:themeColor="accent1"/>
        </w:pBdr>
        <w:ind w:left="0" w:right="-284"/>
        <w:jc w:val="both"/>
        <w:rPr>
          <w:rFonts w:ascii="Arial" w:hAnsi="Arial" w:cs="Arial"/>
          <w:i w:val="0"/>
          <w:iCs w:val="0"/>
          <w:lang w:val="en-US"/>
        </w:rPr>
        <w:sectPr w:rsidR="00EF09B5" w:rsidRPr="00AA68EC" w:rsidSect="00440AD3">
          <w:type w:val="continuous"/>
          <w:pgSz w:w="11906" w:h="16838"/>
          <w:pgMar w:top="1417" w:right="1417" w:bottom="1417" w:left="1417" w:header="708" w:footer="708" w:gutter="0"/>
          <w:cols w:num="2" w:space="708"/>
          <w:docGrid w:linePitch="360"/>
        </w:sect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F539E0" w:rsidRPr="00AA68EC" w:rsidRDefault="00F539E0" w:rsidP="00AA68EC">
      <w:pPr>
        <w:pStyle w:val="Citationintense"/>
        <w:pBdr>
          <w:bottom w:val="single" w:sz="4" w:space="2" w:color="4F81BD" w:themeColor="accent1"/>
        </w:pBdr>
        <w:ind w:left="-284" w:right="-284"/>
        <w:jc w:val="both"/>
        <w:rPr>
          <w:rFonts w:ascii="Arial" w:hAnsi="Arial" w:cs="Arial"/>
          <w:i w:val="0"/>
          <w:iCs w:val="0"/>
          <w:lang w:val="en-US"/>
        </w:rPr>
      </w:pPr>
    </w:p>
    <w:p w:rsidR="006D6049" w:rsidRPr="00AA68EC" w:rsidRDefault="006D6049" w:rsidP="00AA68EC">
      <w:pPr>
        <w:pStyle w:val="Citationintense"/>
        <w:pBdr>
          <w:bottom w:val="single" w:sz="4" w:space="2" w:color="4F81BD" w:themeColor="accent1"/>
        </w:pBdr>
        <w:ind w:left="-284" w:right="-284"/>
        <w:jc w:val="both"/>
        <w:rPr>
          <w:rFonts w:ascii="Arial" w:hAnsi="Arial" w:cs="Arial"/>
          <w:i w:val="0"/>
          <w:iCs w:val="0"/>
          <w:lang w:val="en-US"/>
        </w:rPr>
      </w:pPr>
      <w:r w:rsidRPr="00AA68EC">
        <w:rPr>
          <w:rFonts w:ascii="Arial" w:hAnsi="Arial" w:cs="Arial"/>
          <w:i w:val="0"/>
          <w:iCs w:val="0"/>
          <w:lang w:val="en-US"/>
        </w:rPr>
        <w:t>Introduction </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coking of the oil residues consists of the decomposition of this latter by the delayed coking process, or by fluidized bed coking [1].</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lastRenderedPageBreak/>
        <w:t>The units of coking, are generally biased by heavy residues, such as: vacuum residue, catalytic residue of cracking, residue of viscoreduction and asphalt or extracted from lubricating oils [2,3]. Coking develops these oil residues, it produces:</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-Gas: they consist of a fuel gases used as fuel in the unit of coking, or sent after washing towards fuel gases of the refinery.</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-Naphtas: light naphtha, after a hydro-</w:t>
      </w:r>
      <w:r w:rsidR="00F47D7E" w:rsidRPr="00AA68EC">
        <w:rPr>
          <w:rFonts w:ascii="Arial" w:eastAsia="Times New Roman" w:hAnsi="Arial" w:cs="Arial"/>
          <w:color w:val="000000"/>
          <w:lang w:val="en-US" w:eastAsia="fr-FR"/>
        </w:rPr>
        <w:t>processing</w:t>
      </w:r>
      <w:r w:rsidRPr="00AA68EC">
        <w:rPr>
          <w:rFonts w:ascii="Arial" w:eastAsia="Times New Roman" w:hAnsi="Arial" w:cs="Arial"/>
          <w:color w:val="000000"/>
          <w:lang w:val="en-US" w:eastAsia="fr-FR"/>
        </w:rPr>
        <w:t xml:space="preserve"> is sent to the pool gasoline, heavy naphtha constitutes a catalytic load of reforming.</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-Distillates: the light distillate, after a hydro-processing is sent to the pool gas oil of the refinery, and heavy distillate </w:t>
      </w:r>
      <w:r w:rsidR="006B106B" w:rsidRPr="00AA68EC">
        <w:rPr>
          <w:rFonts w:ascii="Arial" w:eastAsia="Times New Roman" w:hAnsi="Arial" w:cs="Arial"/>
          <w:color w:val="000000"/>
          <w:lang w:val="en-US" w:eastAsia="fr-FR"/>
        </w:rPr>
        <w:t>is</w:t>
      </w:r>
      <w:r w:rsidRPr="00AA68EC">
        <w:rPr>
          <w:rFonts w:ascii="Arial" w:eastAsia="Times New Roman" w:hAnsi="Arial" w:cs="Arial"/>
          <w:color w:val="000000"/>
          <w:lang w:val="en-US" w:eastAsia="fr-FR"/>
        </w:rPr>
        <w:t xml:space="preserve"> used like charges with FCC, in mixture with the products of distillation [4].</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-Coke: several types of coke can be produced: Coke sponges (Sponge coke), </w:t>
      </w:r>
      <w:r w:rsidRPr="00AA68EC">
        <w:rPr>
          <w:rFonts w:ascii="Arial" w:hAnsi="Arial" w:cs="Arial"/>
          <w:color w:val="000000"/>
          <w:lang w:val="en-US"/>
        </w:rPr>
        <w:t xml:space="preserve">needle </w:t>
      </w:r>
      <w:r w:rsidRPr="00AA68EC">
        <w:rPr>
          <w:rStyle w:val="Accentuation"/>
          <w:rFonts w:ascii="Arial" w:hAnsi="Arial" w:cs="Arial"/>
          <w:color w:val="000000"/>
          <w:lang w:val="en-US"/>
        </w:rPr>
        <w:t>coke</w:t>
      </w:r>
      <w:r w:rsidRPr="00AA68EC">
        <w:rPr>
          <w:rFonts w:ascii="Arial" w:hAnsi="Arial" w:cs="Arial"/>
          <w:color w:val="000000"/>
          <w:lang w:val="en-US"/>
        </w:rPr>
        <w:t xml:space="preserve"> </w:t>
      </w:r>
      <w:r w:rsidRPr="00AA68EC">
        <w:rPr>
          <w:rFonts w:ascii="Arial" w:eastAsia="Times New Roman" w:hAnsi="Arial" w:cs="Arial"/>
          <w:color w:val="000000"/>
          <w:lang w:val="en-US" w:eastAsia="fr-FR"/>
        </w:rPr>
        <w:t>(Needle coke), Coke with balls (Shot coke) and combustible Coke [5].</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use of coke is directed according to the quality of this latter. The four aspects which affect the quality and the price of coke are: </w:t>
      </w:r>
    </w:p>
    <w:p w:rsidR="00D035AD" w:rsidRPr="00AA68EC" w:rsidRDefault="00CE6138"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Sulphur content</w:t>
      </w:r>
      <w:r w:rsidR="00D035AD" w:rsidRPr="00AA68EC">
        <w:rPr>
          <w:rFonts w:ascii="Arial" w:eastAsia="Times New Roman" w:hAnsi="Arial" w:cs="Arial"/>
          <w:color w:val="000000"/>
          <w:lang w:val="en-US" w:eastAsia="fr-FR"/>
        </w:rPr>
        <w:t>, content of metals, hardness and the physical structure [4].</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coke of best quality is used for the manufacture of the anodes, the production out of aluminum or of the electrodes for the production out of steel, is the </w:t>
      </w:r>
      <w:r w:rsidRPr="00AA68EC">
        <w:rPr>
          <w:rFonts w:ascii="Arial" w:hAnsi="Arial" w:cs="Arial"/>
          <w:color w:val="000000"/>
          <w:lang w:val="en-US"/>
        </w:rPr>
        <w:t xml:space="preserve">needle </w:t>
      </w:r>
      <w:r w:rsidRPr="00AA68EC">
        <w:rPr>
          <w:rStyle w:val="Accentuation"/>
          <w:rFonts w:ascii="Arial" w:hAnsi="Arial" w:cs="Arial"/>
          <w:color w:val="000000"/>
          <w:lang w:val="en-US"/>
        </w:rPr>
        <w:t>coke</w:t>
      </w:r>
      <w:r w:rsidRPr="00AA68EC">
        <w:rPr>
          <w:rFonts w:ascii="Arial" w:eastAsia="Times New Roman" w:hAnsi="Arial" w:cs="Arial"/>
          <w:color w:val="000000"/>
          <w:lang w:val="en-US" w:eastAsia="fr-FR"/>
        </w:rPr>
        <w:t xml:space="preserve">, which must be </w:t>
      </w:r>
      <w:r w:rsidR="00CE6138" w:rsidRPr="00AA68EC">
        <w:rPr>
          <w:rFonts w:ascii="Arial" w:eastAsia="Times New Roman" w:hAnsi="Arial" w:cs="Arial"/>
          <w:color w:val="000000"/>
          <w:lang w:val="en-US" w:eastAsia="fr-FR"/>
        </w:rPr>
        <w:t>calcinated before</w:t>
      </w:r>
      <w:r w:rsidRPr="00AA68EC">
        <w:rPr>
          <w:rFonts w:ascii="Arial" w:eastAsia="Times New Roman" w:hAnsi="Arial" w:cs="Arial"/>
          <w:color w:val="000000"/>
          <w:lang w:val="en-US" w:eastAsia="fr-FR"/>
        </w:rPr>
        <w:t xml:space="preserve"> its use [2].</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parameters influencing the quality and the efficiency of coke are: the nature of the load and operating conditions of the coking process [6].</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main objective of this research consists of the realization of a coking (thermal decomposition) of the oil residues for:</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 - To produce a coke of a precise quality. </w:t>
      </w:r>
    </w:p>
    <w:p w:rsidR="00D035AD" w:rsidRPr="00AA68EC" w:rsidRDefault="00D035AD"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 To optimize the load which gives the best efficiency, by coking of various compounding (oil Extract /Residue)? </w:t>
      </w:r>
    </w:p>
    <w:p w:rsidR="00B23709" w:rsidRPr="00AA68EC" w:rsidRDefault="00D035AD"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 Valorization of its residues by recovery of a distillate and gasoline of characteristics defines. </w:t>
      </w:r>
    </w:p>
    <w:p w:rsidR="00B23709" w:rsidRPr="00AA68EC" w:rsidRDefault="003768D1" w:rsidP="00AA68EC">
      <w:pPr>
        <w:shd w:val="clear" w:color="auto" w:fill="FFFFFF"/>
        <w:spacing w:line="288" w:lineRule="atLeast"/>
        <w:jc w:val="both"/>
        <w:rPr>
          <w:rFonts w:ascii="Arial" w:eastAsia="Times New Roman" w:hAnsi="Arial" w:cs="Arial"/>
          <w:b/>
          <w:color w:val="000000"/>
          <w:lang w:val="en-US" w:eastAsia="fr-FR" w:bidi="ar-SA"/>
        </w:rPr>
      </w:pPr>
      <w:r w:rsidRPr="00AA68EC">
        <w:rPr>
          <w:rFonts w:ascii="Arial" w:eastAsia="Times New Roman" w:hAnsi="Arial" w:cs="Arial"/>
          <w:b/>
          <w:color w:val="000000"/>
          <w:lang w:val="en-US" w:eastAsia="fr-FR" w:bidi="ar-SA"/>
        </w:rPr>
        <w:t>Experimental part</w:t>
      </w:r>
      <w:r w:rsidR="00B23709" w:rsidRPr="00AA68EC">
        <w:rPr>
          <w:rFonts w:ascii="Arial" w:eastAsia="Times New Roman" w:hAnsi="Arial" w:cs="Arial"/>
          <w:b/>
          <w:color w:val="000000"/>
          <w:lang w:val="en-US" w:eastAsia="fr-FR" w:bidi="ar-SA"/>
        </w:rPr>
        <w:t>:</w:t>
      </w:r>
    </w:p>
    <w:p w:rsidR="0011734D" w:rsidRPr="00AA68EC" w:rsidRDefault="00B23709" w:rsidP="00AA68EC">
      <w:pPr>
        <w:shd w:val="clear" w:color="auto" w:fill="FFFFFF"/>
        <w:spacing w:line="288" w:lineRule="atLeast"/>
        <w:jc w:val="both"/>
        <w:rPr>
          <w:rFonts w:ascii="Arial" w:hAnsi="Arial" w:cs="Arial"/>
          <w:lang w:val="en-US"/>
        </w:rPr>
        <w:sectPr w:rsidR="0011734D" w:rsidRPr="00AA68EC" w:rsidSect="00B905B1">
          <w:type w:val="continuous"/>
          <w:pgSz w:w="11906" w:h="16838"/>
          <w:pgMar w:top="1417" w:right="1417" w:bottom="1417" w:left="1417" w:header="708" w:footer="708" w:gutter="0"/>
          <w:cols w:space="708"/>
          <w:docGrid w:linePitch="360"/>
        </w:sectPr>
      </w:pPr>
      <w:r w:rsidRPr="00AA68EC">
        <w:rPr>
          <w:rFonts w:ascii="Arial" w:eastAsia="Times New Roman" w:hAnsi="Arial" w:cs="Arial"/>
          <w:color w:val="000000"/>
          <w:lang w:val="en-US" w:eastAsia="fr-FR"/>
        </w:rPr>
        <w:t xml:space="preserve">A coking of the following loads has been realized: RAT of Hassi Messaoud’s refinery, RSV of Arzew’s refinery of, RCC of Adrar’s refinery. (Analysis SARA of the residues is represented </w:t>
      </w:r>
      <w:r w:rsidRPr="00AA68EC">
        <w:rPr>
          <w:rFonts w:ascii="Arial" w:eastAsia="Times New Roman" w:hAnsi="Arial" w:cs="Arial"/>
          <w:color w:val="000000"/>
          <w:lang w:val="en-US" w:eastAsia="fr-FR"/>
        </w:rPr>
        <w:lastRenderedPageBreak/>
        <w:t>in table I). The coking process is carried out at a temperature of 500 °C and the calcination of coke at</w:t>
      </w:r>
      <w:r w:rsidR="001314BA" w:rsidRPr="00AA68EC">
        <w:rPr>
          <w:rFonts w:ascii="Arial" w:eastAsia="Times New Roman" w:hAnsi="Arial" w:cs="Arial"/>
          <w:color w:val="000000"/>
          <w:lang w:val="en-US" w:eastAsia="fr-FR"/>
        </w:rPr>
        <w:t xml:space="preserve"> 550°C according to fig 1.</w:t>
      </w:r>
      <w:r w:rsidR="001314BA" w:rsidRPr="00AA68EC">
        <w:rPr>
          <w:rFonts w:ascii="Arial" w:hAnsi="Arial" w:cs="Arial"/>
          <w:lang w:val="en-US"/>
        </w:rPr>
        <w:t xml:space="preserve"> </w:t>
      </w:r>
    </w:p>
    <w:p w:rsidR="00294E6E" w:rsidRPr="00AA68EC" w:rsidRDefault="00061D17" w:rsidP="00AA68EC">
      <w:pPr>
        <w:shd w:val="clear" w:color="auto" w:fill="FFFFFF"/>
        <w:spacing w:line="288" w:lineRule="atLeast"/>
        <w:jc w:val="both"/>
        <w:rPr>
          <w:rFonts w:ascii="Arial" w:hAnsi="Arial" w:cs="Arial"/>
          <w:lang w:val="en-US"/>
        </w:rPr>
      </w:pPr>
      <w:r w:rsidRPr="00AA68EC">
        <w:rPr>
          <w:rFonts w:ascii="Arial" w:hAnsi="Arial" w:cs="Arial"/>
          <w:lang w:val="en-US"/>
        </w:rPr>
        <w:lastRenderedPageBreak/>
        <w:t>The products of the coking process are:</w:t>
      </w:r>
      <w:r w:rsidR="00294E6E" w:rsidRPr="00AA68EC">
        <w:rPr>
          <w:rFonts w:ascii="Arial" w:hAnsi="Arial" w:cs="Arial"/>
          <w:lang w:val="en-US"/>
        </w:rPr>
        <w:t xml:space="preserve"> Ga</w:t>
      </w:r>
      <w:r w:rsidRPr="00AA68EC">
        <w:rPr>
          <w:rFonts w:ascii="Arial" w:hAnsi="Arial" w:cs="Arial"/>
          <w:lang w:val="en-US"/>
        </w:rPr>
        <w:t>s</w:t>
      </w:r>
      <w:r w:rsidR="00294E6E" w:rsidRPr="00AA68EC">
        <w:rPr>
          <w:rFonts w:ascii="Arial" w:hAnsi="Arial" w:cs="Arial"/>
          <w:lang w:val="en-US"/>
        </w:rPr>
        <w:t xml:space="preserve">, </w:t>
      </w:r>
      <w:r w:rsidRPr="00AA68EC">
        <w:rPr>
          <w:rFonts w:ascii="Arial" w:hAnsi="Arial" w:cs="Arial"/>
          <w:lang w:val="en-US"/>
        </w:rPr>
        <w:t>Distillate and</w:t>
      </w:r>
      <w:r w:rsidR="00294E6E" w:rsidRPr="00AA68EC">
        <w:rPr>
          <w:rFonts w:ascii="Arial" w:hAnsi="Arial" w:cs="Arial"/>
          <w:lang w:val="en-US"/>
        </w:rPr>
        <w:t xml:space="preserve"> coke. </w:t>
      </w:r>
      <w:r w:rsidR="00B91660" w:rsidRPr="00AA68EC">
        <w:rPr>
          <w:rFonts w:ascii="Arial" w:eastAsia="Times New Roman" w:hAnsi="Arial" w:cs="Arial"/>
          <w:color w:val="000000"/>
          <w:lang w:val="en-US" w:eastAsia="fr-FR" w:bidi="ar-SA"/>
        </w:rPr>
        <w:t xml:space="preserve">We will recover the gasoline from </w:t>
      </w:r>
      <w:r w:rsidR="00294E6E" w:rsidRPr="00AA68EC">
        <w:rPr>
          <w:rFonts w:ascii="Arial" w:hAnsi="Arial" w:cs="Arial"/>
          <w:lang w:val="en-US"/>
        </w:rPr>
        <w:t>distillat</w:t>
      </w:r>
      <w:r w:rsidR="00B91660" w:rsidRPr="00AA68EC">
        <w:rPr>
          <w:rFonts w:ascii="Arial" w:hAnsi="Arial" w:cs="Arial"/>
          <w:lang w:val="en-US"/>
        </w:rPr>
        <w:t>e</w:t>
      </w:r>
      <w:r w:rsidR="00294E6E" w:rsidRPr="00AA68EC">
        <w:rPr>
          <w:rFonts w:ascii="Arial" w:hAnsi="Arial" w:cs="Arial"/>
          <w:lang w:val="en-US"/>
        </w:rPr>
        <w:t xml:space="preserve">s </w:t>
      </w:r>
      <w:r w:rsidR="00B91660" w:rsidRPr="00AA68EC">
        <w:rPr>
          <w:rFonts w:ascii="Arial" w:hAnsi="Arial" w:cs="Arial"/>
          <w:lang w:val="en-US"/>
        </w:rPr>
        <w:t xml:space="preserve">of the coking </w:t>
      </w:r>
      <w:r w:rsidR="00306367" w:rsidRPr="00AA68EC">
        <w:rPr>
          <w:rFonts w:ascii="Arial" w:hAnsi="Arial" w:cs="Arial"/>
          <w:lang w:val="en-US"/>
        </w:rPr>
        <w:t>process by</w:t>
      </w:r>
      <w:r w:rsidR="00B91660" w:rsidRPr="00AA68EC">
        <w:rPr>
          <w:rFonts w:ascii="Arial" w:hAnsi="Arial" w:cs="Arial"/>
          <w:lang w:val="en-US"/>
        </w:rPr>
        <w:t xml:space="preserve"> atmospheric </w:t>
      </w:r>
      <w:r w:rsidR="00294E6E" w:rsidRPr="00AA68EC">
        <w:rPr>
          <w:rFonts w:ascii="Arial" w:hAnsi="Arial" w:cs="Arial"/>
          <w:lang w:val="en-US"/>
        </w:rPr>
        <w:t>distillation.</w:t>
      </w:r>
    </w:p>
    <w:p w:rsidR="00AE041B" w:rsidRPr="00AA68EC" w:rsidRDefault="00AE041B" w:rsidP="00AA68EC">
      <w:pPr>
        <w:spacing w:line="360" w:lineRule="auto"/>
        <w:ind w:right="-354"/>
        <w:jc w:val="both"/>
        <w:rPr>
          <w:rFonts w:ascii="Arial" w:hAnsi="Arial" w:cs="Arial"/>
          <w:b/>
          <w:bCs/>
          <w:lang w:val="en-US"/>
        </w:rPr>
      </w:pPr>
    </w:p>
    <w:p w:rsidR="00B905B1" w:rsidRPr="00AA68EC" w:rsidRDefault="00B905B1" w:rsidP="00AA68EC">
      <w:pPr>
        <w:spacing w:line="360" w:lineRule="auto"/>
        <w:ind w:right="-354"/>
        <w:jc w:val="both"/>
        <w:rPr>
          <w:rFonts w:ascii="Arial" w:hAnsi="Arial" w:cs="Arial"/>
          <w:b/>
          <w:bCs/>
          <w:lang w:val="en-US"/>
        </w:rPr>
        <w:sectPr w:rsidR="00B905B1" w:rsidRPr="00AA68EC" w:rsidSect="003B5F27">
          <w:type w:val="continuous"/>
          <w:pgSz w:w="11906" w:h="16838"/>
          <w:pgMar w:top="1417" w:right="1417" w:bottom="1417" w:left="1417" w:header="708" w:footer="708" w:gutter="0"/>
          <w:cols w:num="2" w:space="708"/>
          <w:docGrid w:linePitch="360"/>
        </w:sectPr>
      </w:pPr>
    </w:p>
    <w:p w:rsidR="004979FD" w:rsidRPr="00AA68EC" w:rsidRDefault="004979FD" w:rsidP="00AA68EC">
      <w:pPr>
        <w:pStyle w:val="Paragraphedeliste"/>
        <w:numPr>
          <w:ilvl w:val="0"/>
          <w:numId w:val="2"/>
        </w:numPr>
        <w:spacing w:after="0" w:line="360" w:lineRule="auto"/>
        <w:ind w:left="0" w:right="-354" w:firstLine="0"/>
        <w:jc w:val="both"/>
        <w:rPr>
          <w:rFonts w:ascii="Arial" w:hAnsi="Arial" w:cs="Arial"/>
          <w:b/>
          <w:bCs/>
        </w:rPr>
      </w:pPr>
      <w:r w:rsidRPr="00AA68EC">
        <w:rPr>
          <w:rFonts w:ascii="Arial" w:hAnsi="Arial" w:cs="Arial"/>
          <w:b/>
          <w:bCs/>
        </w:rPr>
        <w:lastRenderedPageBreak/>
        <w:t>Discussion :</w:t>
      </w:r>
      <w:r w:rsidR="00482E0A" w:rsidRPr="00AA68EC">
        <w:rPr>
          <w:rFonts w:ascii="Arial" w:hAnsi="Arial" w:cs="Arial"/>
          <w:b/>
          <w:bCs/>
        </w:rPr>
        <w:t xml:space="preserve">                </w:t>
      </w:r>
    </w:p>
    <w:p w:rsidR="00C657DF" w:rsidRPr="00AA68EC" w:rsidRDefault="00C657DF"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following order shows a decreasing tendency of the coke formation during the thermal processing: Asphaltenes &gt; resins &gt; aromatic compounds &gt; olefin &gt; naphtenes &gt; light paraffin.</w:t>
      </w:r>
    </w:p>
    <w:p w:rsidR="00B520D8" w:rsidRPr="00AA68EC" w:rsidRDefault="00116584" w:rsidP="00AA68EC">
      <w:pPr>
        <w:spacing w:after="0" w:line="360" w:lineRule="auto"/>
        <w:ind w:left="-284" w:right="-354"/>
        <w:jc w:val="both"/>
        <w:rPr>
          <w:rFonts w:ascii="Arial" w:hAnsi="Arial" w:cs="Arial"/>
          <w:lang w:val="en-US"/>
        </w:rPr>
      </w:pPr>
      <w:r w:rsidRPr="00AA68EC">
        <w:rPr>
          <w:rFonts w:ascii="Arial" w:hAnsi="Arial" w:cs="Arial"/>
          <w:lang w:val="en-US"/>
        </w:rPr>
        <w:t xml:space="preserve">According to the activation of formation energy of coke </w:t>
      </w:r>
      <w:r w:rsidR="00E214C6" w:rsidRPr="00AA68EC">
        <w:rPr>
          <w:rFonts w:ascii="Arial" w:hAnsi="Arial" w:cs="Arial"/>
          <w:lang w:val="en-US"/>
        </w:rPr>
        <w:t>[7,8</w:t>
      </w:r>
      <w:r w:rsidR="004D392D" w:rsidRPr="00AA68EC">
        <w:rPr>
          <w:rFonts w:ascii="Arial" w:hAnsi="Arial" w:cs="Arial"/>
          <w:lang w:val="en-US"/>
        </w:rPr>
        <w:t>].</w:t>
      </w:r>
    </w:p>
    <w:p w:rsidR="00A550EC" w:rsidRPr="00AA68EC" w:rsidRDefault="00CE0294" w:rsidP="00AA68EC">
      <w:pPr>
        <w:shd w:val="clear" w:color="auto" w:fill="FFFFFF"/>
        <w:spacing w:line="360" w:lineRule="auto"/>
        <w:jc w:val="both"/>
        <w:rPr>
          <w:rFonts w:ascii="Arial" w:hAnsi="Arial" w:cs="Arial"/>
          <w:b/>
          <w:bCs/>
          <w:rtl/>
          <w:lang w:val="en-US"/>
        </w:rPr>
      </w:pPr>
      <w:r w:rsidRPr="00AA68EC">
        <w:rPr>
          <w:rFonts w:ascii="Arial" w:eastAsia="Times New Roman" w:hAnsi="Arial" w:cs="Arial"/>
          <w:color w:val="000000"/>
          <w:lang w:val="en-US" w:eastAsia="fr-FR"/>
        </w:rPr>
        <w:t xml:space="preserve">The residue of catalytic cracking gives the best coke efficiency of 36%. SARA Analysis showed a low content of resin in the different loads of  coking (Table 1), Therefore the principal factor which influences the coke formation is the content of aromatic. Such as the RCC which  is composed of 74,689% of aromatics. To orient the deposit of the SCU and to avoid their deposit blocks during the formation of coke, it was performed  a compounding of RCC/ oil extract, the coke efficiency is represented in fig </w:t>
      </w:r>
    </w:p>
    <w:p w:rsidR="00A550EC" w:rsidRPr="00AA68EC" w:rsidRDefault="00976C60" w:rsidP="00AA68EC">
      <w:pPr>
        <w:spacing w:line="360" w:lineRule="auto"/>
        <w:ind w:left="-284" w:right="-354"/>
        <w:jc w:val="both"/>
        <w:rPr>
          <w:rFonts w:ascii="Arial" w:hAnsi="Arial" w:cs="Arial"/>
          <w:b/>
          <w:bCs/>
          <w:lang w:val="en-US"/>
        </w:rPr>
      </w:pPr>
      <w:r w:rsidRPr="00AA68EC">
        <w:rPr>
          <w:rFonts w:ascii="Arial" w:hAnsi="Arial" w:cs="Arial"/>
          <w:b/>
          <w:bCs/>
          <w:lang w:val="en-US"/>
        </w:rPr>
        <w:t>The aggregation stability study:</w:t>
      </w:r>
    </w:p>
    <w:p w:rsidR="00A8635A" w:rsidRPr="00AA68EC" w:rsidRDefault="00A8635A"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principle of this method is to determine the stability of asphaltenes and the complex unit structures (SCU) in the catalytic cracking </w:t>
      </w:r>
      <w:r w:rsidR="002827D7" w:rsidRPr="00AA68EC">
        <w:rPr>
          <w:rFonts w:ascii="Arial" w:eastAsia="Times New Roman" w:hAnsi="Arial" w:cs="Arial"/>
          <w:color w:val="000000"/>
          <w:lang w:val="en-US" w:eastAsia="fr-FR"/>
        </w:rPr>
        <w:t>residue by</w:t>
      </w:r>
      <w:r w:rsidRPr="00AA68EC">
        <w:rPr>
          <w:rFonts w:ascii="Arial" w:eastAsia="Times New Roman" w:hAnsi="Arial" w:cs="Arial"/>
          <w:color w:val="000000"/>
          <w:lang w:val="en-US" w:eastAsia="fr-FR"/>
        </w:rPr>
        <w:t xml:space="preserve"> the addition of a dispersing agent by measuring the absorptance in UV/Visible according to the report/ratio (residue/dispersant).</w:t>
      </w:r>
    </w:p>
    <w:p w:rsidR="00CC112E" w:rsidRPr="00AA68EC" w:rsidRDefault="00CC112E"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In test tubes we will vary the volume of the RCC according to the volume of the oil extract, we all respect the fact </w:t>
      </w:r>
      <w:r w:rsidR="002827D7" w:rsidRPr="00AA68EC">
        <w:rPr>
          <w:rFonts w:ascii="Arial" w:eastAsia="Times New Roman" w:hAnsi="Arial" w:cs="Arial"/>
          <w:color w:val="000000"/>
          <w:lang w:val="en-US" w:eastAsia="fr-FR"/>
        </w:rPr>
        <w:t>that the</w:t>
      </w:r>
      <w:r w:rsidRPr="00AA68EC">
        <w:rPr>
          <w:rFonts w:ascii="Arial" w:eastAsia="Times New Roman" w:hAnsi="Arial" w:cs="Arial"/>
          <w:color w:val="000000"/>
          <w:lang w:val="en-US" w:eastAsia="fr-FR"/>
        </w:rPr>
        <w:t xml:space="preserve"> total volume is of 1 ml. The following percentages are used:</w:t>
      </w:r>
    </w:p>
    <w:p w:rsidR="0026173C" w:rsidRPr="00AA68EC" w:rsidRDefault="00CC112E" w:rsidP="00AA68EC">
      <w:pPr>
        <w:shd w:val="clear" w:color="auto" w:fill="FFFFFF"/>
        <w:spacing w:line="288" w:lineRule="atLeast"/>
        <w:jc w:val="both"/>
        <w:rPr>
          <w:rFonts w:ascii="Arial" w:eastAsia="Times New Roman" w:hAnsi="Arial" w:cs="Arial"/>
          <w:lang w:val="en-US" w:eastAsia="fr-FR" w:bidi="ar-SA"/>
        </w:rPr>
      </w:pPr>
      <w:r w:rsidRPr="00AA68EC">
        <w:rPr>
          <w:rFonts w:ascii="Arial" w:eastAsia="Times New Roman" w:hAnsi="Arial" w:cs="Arial"/>
          <w:lang w:val="en-US" w:eastAsia="fr-FR" w:bidi="ar-SA"/>
        </w:rPr>
        <w:t xml:space="preserve"> </w:t>
      </w:r>
      <w:r w:rsidR="00F73D01" w:rsidRPr="00AA68EC">
        <w:rPr>
          <w:rFonts w:ascii="Arial" w:eastAsia="Times New Roman" w:hAnsi="Arial" w:cs="Arial"/>
          <w:lang w:val="en-US" w:eastAsia="fr-FR" w:bidi="ar-SA"/>
        </w:rPr>
        <w:t xml:space="preserve">(100% </w:t>
      </w:r>
      <w:r w:rsidR="00F73D01" w:rsidRPr="00AA68EC">
        <w:rPr>
          <w:rFonts w:ascii="Arial" w:eastAsia="Times New Roman" w:hAnsi="Arial" w:cs="Arial"/>
          <w:b/>
          <w:bCs/>
          <w:lang w:val="en-US" w:eastAsia="fr-FR" w:bidi="ar-SA"/>
        </w:rPr>
        <w:t>/</w:t>
      </w:r>
      <w:r w:rsidR="00A550EC" w:rsidRPr="00AA68EC">
        <w:rPr>
          <w:rFonts w:ascii="Arial" w:eastAsia="Times New Roman" w:hAnsi="Arial" w:cs="Arial"/>
          <w:b/>
          <w:bCs/>
          <w:lang w:val="en-US" w:eastAsia="fr-FR" w:bidi="ar-SA"/>
        </w:rPr>
        <w:t xml:space="preserve"> </w:t>
      </w:r>
      <w:r w:rsidR="00F73D01" w:rsidRPr="00AA68EC">
        <w:rPr>
          <w:rFonts w:ascii="Arial" w:eastAsia="Times New Roman" w:hAnsi="Arial" w:cs="Arial"/>
          <w:lang w:val="en-US" w:eastAsia="fr-FR" w:bidi="ar-SA"/>
        </w:rPr>
        <w:t>0%), (90%</w:t>
      </w:r>
      <w:r w:rsidR="00F73D01" w:rsidRPr="00AA68EC">
        <w:rPr>
          <w:rFonts w:ascii="Arial" w:eastAsia="Times New Roman" w:hAnsi="Arial" w:cs="Arial"/>
          <w:b/>
          <w:bCs/>
          <w:lang w:val="en-US" w:eastAsia="fr-FR" w:bidi="ar-SA"/>
        </w:rPr>
        <w:t xml:space="preserve"> /</w:t>
      </w:r>
      <w:r w:rsidR="00F73D01" w:rsidRPr="00AA68EC">
        <w:rPr>
          <w:rFonts w:ascii="Arial" w:eastAsia="Times New Roman" w:hAnsi="Arial" w:cs="Arial"/>
          <w:lang w:val="en-US" w:eastAsia="fr-FR" w:bidi="ar-SA"/>
        </w:rPr>
        <w:t xml:space="preserve"> 10%), (80%</w:t>
      </w:r>
      <w:r w:rsidR="00F73D01" w:rsidRPr="00AA68EC">
        <w:rPr>
          <w:rFonts w:ascii="Arial" w:eastAsia="Times New Roman" w:hAnsi="Arial" w:cs="Arial"/>
          <w:b/>
          <w:bCs/>
          <w:lang w:val="en-US" w:eastAsia="fr-FR" w:bidi="ar-SA"/>
        </w:rPr>
        <w:t xml:space="preserve"> /</w:t>
      </w:r>
      <w:r w:rsidR="00F73D01" w:rsidRPr="00AA68EC">
        <w:rPr>
          <w:rFonts w:ascii="Arial" w:eastAsia="Times New Roman" w:hAnsi="Arial" w:cs="Arial"/>
          <w:lang w:val="en-US" w:eastAsia="fr-FR" w:bidi="ar-SA"/>
        </w:rPr>
        <w:t xml:space="preserve">20%), (70% </w:t>
      </w:r>
      <w:r w:rsidR="00F73D01" w:rsidRPr="00AA68EC">
        <w:rPr>
          <w:rFonts w:ascii="Arial" w:eastAsia="Times New Roman" w:hAnsi="Arial" w:cs="Arial"/>
          <w:b/>
          <w:bCs/>
          <w:lang w:val="en-US" w:eastAsia="fr-FR" w:bidi="ar-SA"/>
        </w:rPr>
        <w:t>/</w:t>
      </w:r>
      <w:r w:rsidR="00F73D01" w:rsidRPr="00AA68EC">
        <w:rPr>
          <w:rFonts w:ascii="Arial" w:eastAsia="Times New Roman" w:hAnsi="Arial" w:cs="Arial"/>
          <w:lang w:val="en-US" w:eastAsia="fr-FR" w:bidi="ar-SA"/>
        </w:rPr>
        <w:t xml:space="preserve"> 30%), (60% </w:t>
      </w:r>
      <w:r w:rsidR="00F73D01" w:rsidRPr="00AA68EC">
        <w:rPr>
          <w:rFonts w:ascii="Arial" w:eastAsia="Times New Roman" w:hAnsi="Arial" w:cs="Arial"/>
          <w:b/>
          <w:bCs/>
          <w:lang w:val="en-US" w:eastAsia="fr-FR" w:bidi="ar-SA"/>
        </w:rPr>
        <w:t xml:space="preserve">/ </w:t>
      </w:r>
      <w:r w:rsidR="00F73D01" w:rsidRPr="00AA68EC">
        <w:rPr>
          <w:rFonts w:ascii="Arial" w:eastAsia="Times New Roman" w:hAnsi="Arial" w:cs="Arial"/>
          <w:lang w:val="en-US" w:eastAsia="fr-FR" w:bidi="ar-SA"/>
        </w:rPr>
        <w:t xml:space="preserve">40%), (50% </w:t>
      </w:r>
      <w:r w:rsidR="00F73D01" w:rsidRPr="00AA68EC">
        <w:rPr>
          <w:rFonts w:ascii="Arial" w:eastAsia="Times New Roman" w:hAnsi="Arial" w:cs="Arial"/>
          <w:b/>
          <w:bCs/>
          <w:lang w:val="en-US" w:eastAsia="fr-FR" w:bidi="ar-SA"/>
        </w:rPr>
        <w:t>/</w:t>
      </w:r>
      <w:r w:rsidR="00F73D01" w:rsidRPr="00AA68EC">
        <w:rPr>
          <w:rFonts w:ascii="Arial" w:eastAsia="Times New Roman" w:hAnsi="Arial" w:cs="Arial"/>
          <w:lang w:val="en-US" w:eastAsia="fr-FR" w:bidi="ar-SA"/>
        </w:rPr>
        <w:t>50%) et</w:t>
      </w:r>
      <w:r w:rsidR="00A550EC" w:rsidRPr="00AA68EC">
        <w:rPr>
          <w:rFonts w:ascii="Arial" w:eastAsia="Times New Roman" w:hAnsi="Arial" w:cs="Arial"/>
          <w:lang w:val="en-US" w:eastAsia="fr-FR" w:bidi="ar-SA"/>
        </w:rPr>
        <w:t>(</w:t>
      </w:r>
      <w:r w:rsidR="00F73D01" w:rsidRPr="00AA68EC">
        <w:rPr>
          <w:rFonts w:ascii="Arial" w:eastAsia="Times New Roman" w:hAnsi="Arial" w:cs="Arial"/>
          <w:lang w:val="en-US" w:eastAsia="fr-FR" w:bidi="ar-SA"/>
        </w:rPr>
        <w:t xml:space="preserve">0% </w:t>
      </w:r>
      <w:r w:rsidR="00F73D01" w:rsidRPr="00AA68EC">
        <w:rPr>
          <w:rFonts w:ascii="Arial" w:eastAsia="Times New Roman" w:hAnsi="Arial" w:cs="Arial"/>
          <w:b/>
          <w:bCs/>
          <w:lang w:val="en-US" w:eastAsia="fr-FR" w:bidi="ar-SA"/>
        </w:rPr>
        <w:t>/</w:t>
      </w:r>
      <w:r w:rsidR="00A550EC" w:rsidRPr="00AA68EC">
        <w:rPr>
          <w:rFonts w:ascii="Arial" w:eastAsia="Times New Roman" w:hAnsi="Arial" w:cs="Arial"/>
          <w:lang w:val="en-US" w:eastAsia="fr-FR" w:bidi="ar-SA"/>
        </w:rPr>
        <w:t>100%)  (</w:t>
      </w:r>
      <w:r w:rsidR="0054203F" w:rsidRPr="00AA68EC">
        <w:rPr>
          <w:rFonts w:ascii="Arial" w:eastAsia="Times New Roman" w:hAnsi="Arial" w:cs="Arial"/>
          <w:color w:val="000000"/>
          <w:lang w:val="en-US" w:eastAsia="fr-FR" w:bidi="ar-SA"/>
        </w:rPr>
        <w:t>Catalytic residue of cracking</w:t>
      </w:r>
      <w:r w:rsidR="00A550EC" w:rsidRPr="00AA68EC">
        <w:rPr>
          <w:rFonts w:ascii="Arial" w:eastAsia="Times New Roman" w:hAnsi="Arial" w:cs="Arial"/>
          <w:lang w:val="en-US" w:eastAsia="fr-FR" w:bidi="ar-SA"/>
        </w:rPr>
        <w:t xml:space="preserve">, </w:t>
      </w:r>
      <w:r w:rsidR="00A53DE1" w:rsidRPr="00AA68EC">
        <w:rPr>
          <w:rFonts w:ascii="Arial" w:eastAsia="Times New Roman" w:hAnsi="Arial" w:cs="Arial"/>
          <w:b/>
          <w:lang w:val="en-US" w:eastAsia="fr-FR" w:bidi="ar-SA"/>
        </w:rPr>
        <w:t>oil</w:t>
      </w:r>
      <w:r w:rsidR="00A53DE1" w:rsidRPr="00AA68EC">
        <w:rPr>
          <w:rFonts w:ascii="Arial" w:eastAsia="Times New Roman" w:hAnsi="Arial" w:cs="Arial"/>
          <w:lang w:val="en-US" w:eastAsia="fr-FR" w:bidi="ar-SA"/>
        </w:rPr>
        <w:t xml:space="preserve"> extract</w:t>
      </w:r>
      <w:r w:rsidR="003B5F27" w:rsidRPr="00AA68EC">
        <w:rPr>
          <w:rFonts w:ascii="Arial" w:eastAsia="Times New Roman" w:hAnsi="Arial" w:cs="Arial"/>
          <w:lang w:val="en-US" w:eastAsia="fr-FR" w:bidi="ar-SA"/>
        </w:rPr>
        <w:t xml:space="preserve">) (% </w:t>
      </w:r>
      <w:r w:rsidR="00A53DE1" w:rsidRPr="00AA68EC">
        <w:rPr>
          <w:rFonts w:ascii="Arial" w:eastAsia="Times New Roman" w:hAnsi="Arial" w:cs="Arial"/>
          <w:lang w:val="en-US" w:eastAsia="fr-FR" w:bidi="ar-SA"/>
        </w:rPr>
        <w:t>mass</w:t>
      </w:r>
      <w:r w:rsidR="003B5F27" w:rsidRPr="00AA68EC">
        <w:rPr>
          <w:rFonts w:ascii="Arial" w:eastAsia="Times New Roman" w:hAnsi="Arial" w:cs="Arial"/>
          <w:lang w:val="en-US" w:eastAsia="fr-FR" w:bidi="ar-SA"/>
        </w:rPr>
        <w:t>).</w:t>
      </w:r>
    </w:p>
    <w:p w:rsidR="0026173C" w:rsidRPr="00AA68EC" w:rsidRDefault="0026173C" w:rsidP="00AA68EC">
      <w:pPr>
        <w:pStyle w:val="Paragraphedeliste"/>
        <w:numPr>
          <w:ilvl w:val="0"/>
          <w:numId w:val="3"/>
        </w:numPr>
        <w:shd w:val="clear" w:color="auto" w:fill="FFFFFF"/>
        <w:spacing w:line="288" w:lineRule="atLeast"/>
        <w:jc w:val="both"/>
        <w:rPr>
          <w:rFonts w:ascii="Arial" w:eastAsia="Times New Roman" w:hAnsi="Arial" w:cs="Arial"/>
          <w:lang w:val="en-US" w:eastAsia="fr-FR" w:bidi="ar-SA"/>
        </w:rPr>
      </w:pPr>
      <w:r w:rsidRPr="00AA68EC">
        <w:rPr>
          <w:rFonts w:ascii="Arial" w:eastAsia="Times New Roman" w:hAnsi="Arial" w:cs="Arial"/>
          <w:color w:val="000000"/>
          <w:lang w:val="en-US" w:eastAsia="fr-FR"/>
        </w:rPr>
        <w:t>We add in each tube 1ml toluene and N-heptane 4ml .we all install in a centrifugal machine, at a predefined angular speed of 4000 tr/min during 10 min;</w:t>
      </w:r>
    </w:p>
    <w:p w:rsidR="005E44FE" w:rsidRPr="00AA68EC" w:rsidRDefault="005E44FE" w:rsidP="00AA68EC">
      <w:pPr>
        <w:pStyle w:val="Paragraphedeliste"/>
        <w:numPr>
          <w:ilvl w:val="0"/>
          <w:numId w:val="3"/>
        </w:numPr>
        <w:shd w:val="clear" w:color="auto" w:fill="FFFFFF"/>
        <w:spacing w:before="120" w:after="240"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We will determine the optical density (absorptance) of the upper part and the lower part by the </w:t>
      </w:r>
      <w:r w:rsidR="000D65DB" w:rsidRPr="00AA68EC">
        <w:rPr>
          <w:rFonts w:ascii="Arial" w:eastAsia="Times New Roman" w:hAnsi="Arial" w:cs="Arial"/>
          <w:color w:val="000000"/>
          <w:lang w:val="en-US" w:eastAsia="fr-FR"/>
        </w:rPr>
        <w:t>spectrophotometer’s</w:t>
      </w:r>
      <w:r w:rsidRPr="00AA68EC">
        <w:rPr>
          <w:rFonts w:ascii="Arial" w:eastAsia="Times New Roman" w:hAnsi="Arial" w:cs="Arial"/>
          <w:color w:val="000000"/>
          <w:lang w:val="en-US" w:eastAsia="fr-FR"/>
        </w:rPr>
        <w:t xml:space="preserve"> analysis, in the UV-Visible spectrophotometer [9];</w:t>
      </w:r>
    </w:p>
    <w:p w:rsidR="003C1BBA" w:rsidRPr="00AA68EC" w:rsidRDefault="003C1BBA" w:rsidP="00AA68EC">
      <w:pPr>
        <w:pStyle w:val="Paragraphedeliste"/>
        <w:numPr>
          <w:ilvl w:val="0"/>
          <w:numId w:val="3"/>
        </w:numPr>
        <w:shd w:val="clear" w:color="auto" w:fill="FFFFFF"/>
        <w:spacing w:before="120" w:after="240"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We will determine F;</w:t>
      </w:r>
    </w:p>
    <w:p w:rsidR="00F73D01" w:rsidRPr="00AA68EC" w:rsidRDefault="00F73D01" w:rsidP="00AA68EC">
      <w:pPr>
        <w:pStyle w:val="Paragraphedeliste"/>
        <w:spacing w:after="0" w:line="360" w:lineRule="auto"/>
        <w:ind w:left="-284" w:right="-284"/>
        <w:jc w:val="both"/>
        <w:rPr>
          <w:rFonts w:ascii="Arial" w:eastAsia="Times New Roman" w:hAnsi="Arial" w:cs="Arial"/>
          <w:lang w:eastAsia="fr-FR" w:bidi="ar-SA"/>
        </w:rPr>
      </w:pPr>
    </w:p>
    <w:p w:rsidR="006714ED" w:rsidRPr="00AA68EC" w:rsidRDefault="006714ED" w:rsidP="00AA68EC">
      <w:pPr>
        <w:pStyle w:val="Paragraphedeliste"/>
        <w:spacing w:after="0" w:line="360" w:lineRule="auto"/>
        <w:ind w:left="-284" w:right="-284"/>
        <w:jc w:val="both"/>
        <w:rPr>
          <w:rFonts w:ascii="Arial" w:eastAsia="Times New Roman" w:hAnsi="Arial" w:cs="Arial"/>
          <w:b/>
          <w:vertAlign w:val="subscript"/>
          <w:lang w:eastAsia="fr-FR" w:bidi="ar-SA"/>
        </w:rPr>
      </w:pPr>
      <w:r w:rsidRPr="00AA68EC">
        <w:rPr>
          <w:rFonts w:ascii="Arial" w:eastAsia="Times New Roman" w:hAnsi="Arial" w:cs="Arial"/>
          <w:b/>
          <w:lang w:eastAsia="fr-FR" w:bidi="ar-SA"/>
        </w:rPr>
        <w:t>F = A</w:t>
      </w:r>
      <w:r w:rsidRPr="00AA68EC">
        <w:rPr>
          <w:rFonts w:ascii="Arial" w:eastAsia="Times New Roman" w:hAnsi="Arial" w:cs="Arial"/>
          <w:b/>
          <w:vertAlign w:val="subscript"/>
          <w:lang w:eastAsia="fr-FR" w:bidi="ar-SA"/>
        </w:rPr>
        <w:t>sup</w:t>
      </w:r>
      <w:r w:rsidRPr="00AA68EC">
        <w:rPr>
          <w:rFonts w:ascii="Arial" w:eastAsia="Times New Roman" w:hAnsi="Arial" w:cs="Arial"/>
          <w:b/>
          <w:lang w:eastAsia="fr-FR" w:bidi="ar-SA"/>
        </w:rPr>
        <w:t xml:space="preserve"> / A</w:t>
      </w:r>
      <w:r w:rsidRPr="00AA68EC">
        <w:rPr>
          <w:rFonts w:ascii="Arial" w:eastAsia="Times New Roman" w:hAnsi="Arial" w:cs="Arial"/>
          <w:b/>
          <w:vertAlign w:val="subscript"/>
          <w:lang w:eastAsia="fr-FR" w:bidi="ar-SA"/>
        </w:rPr>
        <w:t>inf</w:t>
      </w:r>
    </w:p>
    <w:p w:rsidR="006714ED" w:rsidRPr="00AA68EC" w:rsidRDefault="00B439B5" w:rsidP="00AA68EC">
      <w:pPr>
        <w:pStyle w:val="Paragraphedeliste"/>
        <w:spacing w:after="0" w:line="360" w:lineRule="auto"/>
        <w:ind w:left="-284" w:right="-284"/>
        <w:jc w:val="both"/>
        <w:rPr>
          <w:rFonts w:ascii="Arial" w:eastAsia="Times New Roman" w:hAnsi="Arial" w:cs="Arial"/>
          <w:lang w:val="en-US" w:eastAsia="fr-FR" w:bidi="ar-SA"/>
        </w:rPr>
      </w:pPr>
      <w:r w:rsidRPr="00AA68EC">
        <w:rPr>
          <w:rFonts w:ascii="Arial" w:eastAsia="Times New Roman" w:hAnsi="Arial" w:cs="Arial"/>
          <w:lang w:val="en-US" w:eastAsia="fr-FR" w:bidi="ar-SA"/>
        </w:rPr>
        <w:t>Where:</w:t>
      </w:r>
    </w:p>
    <w:p w:rsidR="006714ED" w:rsidRPr="00AA68EC" w:rsidRDefault="006714ED" w:rsidP="00AA68EC">
      <w:pPr>
        <w:shd w:val="clear" w:color="auto" w:fill="FFFFFF"/>
        <w:spacing w:line="288" w:lineRule="atLeast"/>
        <w:jc w:val="both"/>
        <w:rPr>
          <w:rFonts w:ascii="Arial" w:eastAsia="Times New Roman" w:hAnsi="Arial" w:cs="Arial"/>
          <w:lang w:val="en-US" w:eastAsia="fr-FR" w:bidi="ar-SA"/>
        </w:rPr>
      </w:pPr>
      <w:r w:rsidRPr="00AA68EC">
        <w:rPr>
          <w:rFonts w:ascii="Arial" w:eastAsia="Times New Roman" w:hAnsi="Arial" w:cs="Arial"/>
          <w:b/>
          <w:lang w:val="en-US" w:eastAsia="fr-FR" w:bidi="ar-SA"/>
        </w:rPr>
        <w:t>A</w:t>
      </w:r>
      <w:r w:rsidRPr="00AA68EC">
        <w:rPr>
          <w:rFonts w:ascii="Arial" w:eastAsia="Times New Roman" w:hAnsi="Arial" w:cs="Arial"/>
          <w:b/>
          <w:vertAlign w:val="subscript"/>
          <w:lang w:val="en-US" w:eastAsia="fr-FR" w:bidi="ar-SA"/>
        </w:rPr>
        <w:t>sup </w:t>
      </w:r>
      <w:r w:rsidRPr="00AA68EC">
        <w:rPr>
          <w:rFonts w:ascii="Arial" w:eastAsia="Times New Roman" w:hAnsi="Arial" w:cs="Arial"/>
          <w:b/>
          <w:lang w:val="en-US" w:eastAsia="fr-FR" w:bidi="ar-SA"/>
        </w:rPr>
        <w:t>:</w:t>
      </w:r>
      <w:r w:rsidRPr="00AA68EC">
        <w:rPr>
          <w:rFonts w:ascii="Arial" w:eastAsia="Times New Roman" w:hAnsi="Arial" w:cs="Arial"/>
          <w:lang w:val="en-US" w:eastAsia="fr-FR" w:bidi="ar-SA"/>
        </w:rPr>
        <w:t xml:space="preserve"> </w:t>
      </w:r>
      <w:r w:rsidR="00257A8B" w:rsidRPr="00AA68EC">
        <w:rPr>
          <w:rFonts w:ascii="Arial" w:eastAsia="Times New Roman" w:hAnsi="Arial" w:cs="Arial"/>
          <w:color w:val="000000"/>
          <w:lang w:val="en-US" w:eastAsia="fr-FR" w:bidi="ar-SA"/>
        </w:rPr>
        <w:t>absorptance (optical density) of the higher phase</w:t>
      </w:r>
      <w:r w:rsidRPr="00AA68EC">
        <w:rPr>
          <w:rFonts w:ascii="Arial" w:eastAsia="Times New Roman" w:hAnsi="Arial" w:cs="Arial"/>
          <w:lang w:val="en-US" w:eastAsia="fr-FR" w:bidi="ar-SA"/>
        </w:rPr>
        <w:t>.</w:t>
      </w:r>
    </w:p>
    <w:p w:rsidR="00257A8B" w:rsidRPr="00AA68EC" w:rsidRDefault="006714ED"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eastAsia="Times New Roman" w:hAnsi="Arial" w:cs="Arial"/>
          <w:b/>
          <w:lang w:val="en-US" w:eastAsia="fr-FR" w:bidi="ar-SA"/>
        </w:rPr>
        <w:t>A</w:t>
      </w:r>
      <w:r w:rsidRPr="00AA68EC">
        <w:rPr>
          <w:rFonts w:ascii="Arial" w:eastAsia="Times New Roman" w:hAnsi="Arial" w:cs="Arial"/>
          <w:b/>
          <w:vertAlign w:val="subscript"/>
          <w:lang w:val="en-US" w:eastAsia="fr-FR" w:bidi="ar-SA"/>
        </w:rPr>
        <w:t xml:space="preserve">inf  </w:t>
      </w:r>
      <w:r w:rsidRPr="00AA68EC">
        <w:rPr>
          <w:rFonts w:ascii="Arial" w:eastAsia="Times New Roman" w:hAnsi="Arial" w:cs="Arial"/>
          <w:b/>
          <w:lang w:val="en-US" w:eastAsia="fr-FR" w:bidi="ar-SA"/>
        </w:rPr>
        <w:t xml:space="preserve">: </w:t>
      </w:r>
      <w:r w:rsidR="00257A8B" w:rsidRPr="00AA68EC">
        <w:rPr>
          <w:rFonts w:ascii="Arial" w:eastAsia="Times New Roman" w:hAnsi="Arial" w:cs="Arial"/>
          <w:color w:val="000000"/>
          <w:lang w:val="en-US" w:eastAsia="fr-FR" w:bidi="ar-SA"/>
        </w:rPr>
        <w:t>absorptance (optical density) of the lower phase</w:t>
      </w:r>
      <w:r w:rsidR="00D046C6" w:rsidRPr="00AA68EC">
        <w:rPr>
          <w:rFonts w:ascii="Arial" w:eastAsia="Times New Roman" w:hAnsi="Arial" w:cs="Arial"/>
          <w:color w:val="000000"/>
          <w:lang w:val="en-US" w:eastAsia="fr-FR" w:bidi="ar-SA"/>
        </w:rPr>
        <w:t>.</w:t>
      </w:r>
    </w:p>
    <w:p w:rsidR="006714ED" w:rsidRPr="00AA68EC" w:rsidRDefault="003C1BBA" w:rsidP="00AA68EC">
      <w:pPr>
        <w:pStyle w:val="Paragraphedeliste"/>
        <w:spacing w:after="0" w:line="360" w:lineRule="auto"/>
        <w:ind w:left="-284" w:right="-284"/>
        <w:jc w:val="both"/>
        <w:rPr>
          <w:rFonts w:ascii="Arial" w:eastAsia="Times New Roman" w:hAnsi="Arial" w:cs="Arial"/>
          <w:lang w:val="en-US" w:eastAsia="fr-FR" w:bidi="ar-SA"/>
        </w:rPr>
      </w:pPr>
      <w:r w:rsidRPr="00AA68EC">
        <w:rPr>
          <w:rFonts w:ascii="Arial" w:eastAsia="Times New Roman" w:hAnsi="Arial" w:cs="Arial"/>
          <w:lang w:val="en-US" w:eastAsia="fr-FR" w:bidi="ar-SA"/>
        </w:rPr>
        <w:t xml:space="preserve">  </w:t>
      </w:r>
      <w:r w:rsidR="00E23D60" w:rsidRPr="00AA68EC">
        <w:rPr>
          <w:rFonts w:ascii="Arial" w:eastAsia="Times New Roman" w:hAnsi="Arial" w:cs="Arial"/>
          <w:b/>
          <w:bCs/>
          <w:lang w:val="en-US" w:eastAsia="fr-FR" w:bidi="ar-SA"/>
        </w:rPr>
        <w:t>Results:</w:t>
      </w:r>
    </w:p>
    <w:p w:rsidR="006714ED" w:rsidRPr="00AA68EC" w:rsidRDefault="008B5BCD" w:rsidP="00AA68EC">
      <w:pPr>
        <w:spacing w:after="0" w:line="360" w:lineRule="auto"/>
        <w:ind w:right="-284"/>
        <w:jc w:val="both"/>
        <w:rPr>
          <w:rFonts w:ascii="Arial" w:eastAsia="Times New Roman" w:hAnsi="Arial" w:cs="Arial"/>
          <w:lang w:val="en-US" w:eastAsia="fr-FR" w:bidi="ar-SA"/>
        </w:rPr>
      </w:pPr>
      <w:r w:rsidRPr="00AA68EC">
        <w:rPr>
          <w:rFonts w:ascii="Arial" w:eastAsia="Times New Roman" w:hAnsi="Arial" w:cs="Arial"/>
          <w:lang w:val="en-US" w:eastAsia="fr-FR" w:bidi="ar-SA"/>
        </w:rPr>
        <w:lastRenderedPageBreak/>
        <w:t xml:space="preserve">The increase </w:t>
      </w:r>
      <w:r w:rsidR="006714ED" w:rsidRPr="00AA68EC">
        <w:rPr>
          <w:rFonts w:ascii="Arial" w:eastAsia="Times New Roman" w:hAnsi="Arial" w:cs="Arial"/>
          <w:lang w:val="en-US" w:eastAsia="fr-FR" w:bidi="ar-SA"/>
        </w:rPr>
        <w:t xml:space="preserve"> </w:t>
      </w:r>
      <w:r w:rsidRPr="00AA68EC">
        <w:rPr>
          <w:rFonts w:ascii="Arial" w:eastAsia="Times New Roman" w:hAnsi="Arial" w:cs="Arial"/>
          <w:lang w:val="en-US" w:eastAsia="fr-FR" w:bidi="ar-SA"/>
        </w:rPr>
        <w:t>of the stability factor</w:t>
      </w:r>
      <w:r w:rsidR="006714ED" w:rsidRPr="00AA68EC">
        <w:rPr>
          <w:rFonts w:ascii="Arial" w:eastAsia="Times New Roman" w:hAnsi="Arial" w:cs="Arial"/>
          <w:lang w:val="en-US" w:eastAsia="fr-FR" w:bidi="ar-SA"/>
        </w:rPr>
        <w:t xml:space="preserve"> (F), </w:t>
      </w:r>
      <w:r w:rsidR="009A4BC7" w:rsidRPr="00AA68EC">
        <w:rPr>
          <w:rFonts w:ascii="Arial" w:eastAsia="Times New Roman" w:hAnsi="Arial" w:cs="Arial"/>
          <w:lang w:val="en-US" w:eastAsia="fr-FR" w:bidi="ar-SA"/>
        </w:rPr>
        <w:t xml:space="preserve">can be explained by the stability of the </w:t>
      </w:r>
      <w:r w:rsidR="006714ED" w:rsidRPr="00AA68EC">
        <w:rPr>
          <w:rFonts w:ascii="Arial" w:eastAsia="Times New Roman" w:hAnsi="Arial" w:cs="Arial"/>
          <w:lang w:val="en-US" w:eastAsia="fr-FR" w:bidi="ar-SA"/>
        </w:rPr>
        <w:t>asphalt</w:t>
      </w:r>
      <w:r w:rsidR="009A4BC7" w:rsidRPr="00AA68EC">
        <w:rPr>
          <w:rFonts w:ascii="Arial" w:eastAsia="Times New Roman" w:hAnsi="Arial" w:cs="Arial"/>
          <w:lang w:val="en-US" w:eastAsia="fr-FR" w:bidi="ar-SA"/>
        </w:rPr>
        <w:t>e</w:t>
      </w:r>
      <w:r w:rsidR="006714ED" w:rsidRPr="00AA68EC">
        <w:rPr>
          <w:rFonts w:ascii="Arial" w:eastAsia="Times New Roman" w:hAnsi="Arial" w:cs="Arial"/>
          <w:lang w:val="en-US" w:eastAsia="fr-FR" w:bidi="ar-SA"/>
        </w:rPr>
        <w:t xml:space="preserve">nes </w:t>
      </w:r>
      <w:r w:rsidR="009A4BC7" w:rsidRPr="00AA68EC">
        <w:rPr>
          <w:rFonts w:ascii="Arial" w:eastAsia="Times New Roman" w:hAnsi="Arial" w:cs="Arial"/>
          <w:lang w:val="en-US" w:eastAsia="fr-FR" w:bidi="ar-SA"/>
        </w:rPr>
        <w:t>in the samples by the addition of the extract</w:t>
      </w:r>
      <w:r w:rsidR="004D0CBD" w:rsidRPr="00AA68EC">
        <w:rPr>
          <w:rFonts w:ascii="Arial" w:eastAsia="Times New Roman" w:hAnsi="Arial" w:cs="Arial"/>
          <w:lang w:val="en-US" w:eastAsia="fr-FR" w:bidi="ar-SA"/>
        </w:rPr>
        <w:t>;</w:t>
      </w:r>
    </w:p>
    <w:p w:rsidR="00C65996" w:rsidRPr="00AA68EC" w:rsidRDefault="00C65996" w:rsidP="00AA68EC">
      <w:pPr>
        <w:pStyle w:val="Paragraphedeliste"/>
        <w:numPr>
          <w:ilvl w:val="0"/>
          <w:numId w:val="6"/>
        </w:numPr>
        <w:shd w:val="clear" w:color="auto" w:fill="FFFFFF"/>
        <w:spacing w:before="120" w:after="240"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reduction of the stability factor (F), depends on the quantity of the extract added, such as the addition of a dispersant in the residue, acts on the stabilization of asphaltenes in three ways: (all depends on the added quantity);</w:t>
      </w:r>
    </w:p>
    <w:p w:rsidR="008807A7" w:rsidRPr="00AA68EC" w:rsidRDefault="00D65C24" w:rsidP="00AA68EC">
      <w:pPr>
        <w:pStyle w:val="Paragraphedeliste"/>
        <w:numPr>
          <w:ilvl w:val="0"/>
          <w:numId w:val="6"/>
        </w:numPr>
        <w:shd w:val="clear" w:color="auto" w:fill="FFFFFF"/>
        <w:spacing w:before="120" w:after="240"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adsorption on the surface of the resins which envelop  the particles of asphaltenes and the formation of an asphaltene envelope, from where, the increase of stability factor; the dissolution of the adsorbed resins on the surface of asphaltenes, therefore the latter tend towards association, from where reduction in the factor of stability. </w:t>
      </w:r>
    </w:p>
    <w:p w:rsidR="00870368" w:rsidRPr="00AA68EC" w:rsidRDefault="00870368" w:rsidP="00AA68EC">
      <w:pPr>
        <w:shd w:val="clear" w:color="auto" w:fill="FFFFFF"/>
        <w:spacing w:line="288" w:lineRule="atLeast"/>
        <w:jc w:val="both"/>
        <w:rPr>
          <w:rFonts w:ascii="Arial" w:hAnsi="Arial" w:cs="Arial"/>
          <w:b/>
          <w:color w:val="000000"/>
          <w:lang w:val="en-US"/>
        </w:rPr>
      </w:pPr>
      <w:r w:rsidRPr="00AA68EC">
        <w:rPr>
          <w:rFonts w:ascii="Arial" w:hAnsi="Arial" w:cs="Arial"/>
          <w:b/>
          <w:color w:val="000000"/>
          <w:lang w:val="en-US"/>
        </w:rPr>
        <w:t xml:space="preserve">Analyses of </w:t>
      </w:r>
      <w:r w:rsidRPr="00AA68EC">
        <w:rPr>
          <w:rFonts w:ascii="Arial" w:hAnsi="Arial" w:cs="Arial"/>
          <w:b/>
          <w:color w:val="000000"/>
        </w:rPr>
        <w:t>produced</w:t>
      </w:r>
      <w:r w:rsidRPr="00AA68EC">
        <w:rPr>
          <w:rFonts w:ascii="Arial" w:hAnsi="Arial" w:cs="Arial"/>
          <w:b/>
          <w:color w:val="000000"/>
          <w:lang w:val="en-US"/>
        </w:rPr>
        <w:t xml:space="preserve"> coke </w:t>
      </w:r>
    </w:p>
    <w:p w:rsidR="00870368" w:rsidRPr="00AA68EC" w:rsidRDefault="00870368" w:rsidP="00AA68EC">
      <w:pPr>
        <w:pStyle w:val="Paragraphedeliste"/>
        <w:numPr>
          <w:ilvl w:val="0"/>
          <w:numId w:val="2"/>
        </w:num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density of the obtained cokes of compounding (oil RCC/Extract) is: 2, 05. </w:t>
      </w:r>
    </w:p>
    <w:p w:rsidR="00870368" w:rsidRPr="00AA68EC" w:rsidRDefault="00870368" w:rsidP="00AA68EC">
      <w:pPr>
        <w:pStyle w:val="Paragraphedeliste"/>
        <w:numPr>
          <w:ilvl w:val="0"/>
          <w:numId w:val="2"/>
        </w:num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A magnifying glass interconnected to software will provide images o</w:t>
      </w:r>
      <w:r w:rsidR="005F4828" w:rsidRPr="00AA68EC">
        <w:rPr>
          <w:rFonts w:ascii="Arial" w:eastAsia="Times New Roman" w:hAnsi="Arial" w:cs="Arial"/>
          <w:color w:val="000000"/>
          <w:lang w:val="en-US" w:eastAsia="fr-FR"/>
        </w:rPr>
        <w:t>f</w:t>
      </w:r>
      <w:r w:rsidRPr="00AA68EC">
        <w:rPr>
          <w:rFonts w:ascii="Arial" w:eastAsia="Times New Roman" w:hAnsi="Arial" w:cs="Arial"/>
          <w:color w:val="000000"/>
          <w:lang w:val="en-US" w:eastAsia="fr-FR"/>
        </w:rPr>
        <w:t xml:space="preserve"> coke, to know the physical aspect of this lat</w:t>
      </w:r>
      <w:r w:rsidR="005F4828" w:rsidRPr="00AA68EC">
        <w:rPr>
          <w:rFonts w:ascii="Arial" w:eastAsia="Times New Roman" w:hAnsi="Arial" w:cs="Arial"/>
          <w:color w:val="000000"/>
          <w:lang w:val="en-US" w:eastAsia="fr-FR"/>
        </w:rPr>
        <w:t>ter</w:t>
      </w:r>
      <w:r w:rsidRPr="00AA68EC">
        <w:rPr>
          <w:rFonts w:ascii="Arial" w:eastAsia="Times New Roman" w:hAnsi="Arial" w:cs="Arial"/>
          <w:color w:val="000000"/>
          <w:lang w:val="en-US" w:eastAsia="fr-FR"/>
        </w:rPr>
        <w:t>; the form, the color and porosity</w:t>
      </w:r>
      <w:r w:rsidR="005F4828" w:rsidRPr="00AA68EC">
        <w:rPr>
          <w:rFonts w:ascii="Arial" w:eastAsia="Times New Roman" w:hAnsi="Arial" w:cs="Arial"/>
          <w:color w:val="000000"/>
          <w:lang w:val="en-US" w:eastAsia="fr-FR"/>
        </w:rPr>
        <w:t>.</w:t>
      </w:r>
    </w:p>
    <w:p w:rsidR="008807A7" w:rsidRPr="00AA68EC" w:rsidRDefault="00EE4FA1" w:rsidP="00AA68EC">
      <w:pPr>
        <w:spacing w:after="0" w:line="360" w:lineRule="auto"/>
        <w:ind w:right="-284"/>
        <w:jc w:val="both"/>
        <w:rPr>
          <w:rFonts w:ascii="Arial" w:eastAsia="Times New Roman" w:hAnsi="Arial" w:cs="Arial"/>
          <w:b/>
          <w:bCs/>
          <w:lang w:val="en-US" w:eastAsia="fr-FR" w:bidi="ar-SA"/>
        </w:rPr>
      </w:pPr>
      <w:r w:rsidRPr="00AA68EC">
        <w:rPr>
          <w:rFonts w:ascii="Arial" w:eastAsia="Times New Roman" w:hAnsi="Arial" w:cs="Arial"/>
          <w:b/>
          <w:bCs/>
          <w:lang w:val="en-US" w:eastAsia="fr-FR" w:bidi="ar-SA"/>
        </w:rPr>
        <w:t xml:space="preserve">IR </w:t>
      </w:r>
      <w:r w:rsidR="00255E30" w:rsidRPr="00AA68EC">
        <w:rPr>
          <w:rFonts w:ascii="Arial" w:eastAsia="Times New Roman" w:hAnsi="Arial" w:cs="Arial"/>
          <w:b/>
          <w:bCs/>
          <w:lang w:val="en-US" w:eastAsia="fr-FR" w:bidi="ar-SA"/>
        </w:rPr>
        <w:t>Analysis:</w:t>
      </w:r>
    </w:p>
    <w:p w:rsidR="00B01D8A" w:rsidRPr="00AA68EC" w:rsidRDefault="00255E30"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infra-red analysis (IR) on coke, showed the presence of the connections: CH, C=N, C=C, C=O and the presence of aromatic cycles and alkanes.</w:t>
      </w:r>
    </w:p>
    <w:p w:rsidR="0066793C" w:rsidRPr="00AA68EC" w:rsidRDefault="0066793C" w:rsidP="00AA68EC">
      <w:pPr>
        <w:shd w:val="clear" w:color="auto" w:fill="FFFFFF"/>
        <w:spacing w:line="288" w:lineRule="atLeast"/>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structure is practically amorphous; however, there is a beginning of the structure arrangement  `crystalline', which results in a pretence of very large peaks with approximately 3,45 Å and 2,065 Å. We note the presence of a compound of crystalline structure to 1, 81921 [A°]. </w:t>
      </w:r>
    </w:p>
    <w:p w:rsidR="008807A7" w:rsidRPr="00AA68EC" w:rsidRDefault="00B510F4" w:rsidP="00AA68EC">
      <w:pPr>
        <w:pStyle w:val="Citationintense"/>
        <w:pBdr>
          <w:bottom w:val="single" w:sz="4" w:space="2" w:color="4F81BD" w:themeColor="accent1"/>
        </w:pBdr>
        <w:ind w:left="0" w:right="-284"/>
        <w:jc w:val="both"/>
        <w:rPr>
          <w:rFonts w:ascii="Arial" w:hAnsi="Arial" w:cs="Arial"/>
          <w:i w:val="0"/>
          <w:iCs w:val="0"/>
          <w:lang w:val="en-US"/>
        </w:rPr>
      </w:pPr>
      <w:r w:rsidRPr="00AA68EC">
        <w:rPr>
          <w:rFonts w:ascii="Arial" w:hAnsi="Arial" w:cs="Arial"/>
          <w:i w:val="0"/>
          <w:iCs w:val="0"/>
          <w:lang w:val="en-US"/>
        </w:rPr>
        <w:t>Conclusion :</w:t>
      </w:r>
    </w:p>
    <w:p w:rsidR="00C14506" w:rsidRPr="00AA68EC" w:rsidRDefault="00C14506"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We have been realized a coking process of following compounding: (Oil RAT/Extract), (oil RSV/Extract) and (oil RCC/Extract).</w:t>
      </w:r>
    </w:p>
    <w:p w:rsidR="00C14506" w:rsidRPr="00AA68EC" w:rsidRDefault="00C14506"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initial objective points out the  use of a dispersant (Extracted from oil) at in order  to direct the deposit of the aggregates formed from the asphaltenes and complex Structures units (SCU) characterized by the stability of aggregation, which is the objective  end-up by  a coke of a crystalline structure.</w:t>
      </w:r>
    </w:p>
    <w:p w:rsidR="00C14506" w:rsidRPr="00AA68EC" w:rsidRDefault="00C14506" w:rsidP="00AA68EC">
      <w:pPr>
        <w:shd w:val="clear" w:color="auto" w:fill="FFFFFF"/>
        <w:spacing w:line="360" w:lineRule="auto"/>
        <w:jc w:val="both"/>
        <w:rPr>
          <w:rFonts w:ascii="Arial" w:hAnsi="Arial" w:cs="Arial"/>
          <w:lang w:val="en-US"/>
        </w:rPr>
      </w:pPr>
      <w:r w:rsidRPr="00AA68EC">
        <w:rPr>
          <w:rFonts w:ascii="Arial" w:eastAsia="Times New Roman" w:hAnsi="Arial" w:cs="Arial"/>
          <w:color w:val="000000"/>
          <w:lang w:val="en-US" w:eastAsia="fr-FR"/>
        </w:rPr>
        <w:t>The study of the various loads of coking is to be added to the following mass efficiency: More than 36% from 100% RCC, between 25% and 26% starting from the following loads:</w:t>
      </w:r>
    </w:p>
    <w:p w:rsidR="00C14506" w:rsidRPr="00AA68EC" w:rsidRDefault="00C14506" w:rsidP="00AA68EC">
      <w:pPr>
        <w:shd w:val="clear" w:color="auto" w:fill="FFFFFF"/>
        <w:spacing w:line="360" w:lineRule="auto"/>
        <w:jc w:val="both"/>
        <w:rPr>
          <w:rFonts w:ascii="Arial" w:eastAsia="Times New Roman" w:hAnsi="Arial" w:cs="Arial"/>
          <w:color w:val="000000"/>
          <w:lang w:val="en-US" w:eastAsia="fr-FR" w:bidi="ar-SA"/>
        </w:rPr>
      </w:pPr>
      <w:r w:rsidRPr="00AA68EC">
        <w:rPr>
          <w:rFonts w:ascii="Arial" w:eastAsia="Times New Roman" w:hAnsi="Arial" w:cs="Arial"/>
          <w:color w:val="000000"/>
          <w:lang w:val="en-US" w:eastAsia="fr-FR" w:bidi="ar-SA"/>
        </w:rPr>
        <w:t>95% RCC + 5% Extract of oil, 90% RCC + 10% Extract of oil, 50% RCC + 50%RSV and 40% RCC + 40% RSV + 20% Extract of oil.</w:t>
      </w:r>
    </w:p>
    <w:p w:rsidR="00C14506" w:rsidRPr="00AA68EC" w:rsidRDefault="00C14506"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The coke efficiency depends on the content of the load of heavy aromatic compounds, such as SARA analysis of the oil residues which has been demonstrated .</w:t>
      </w:r>
    </w:p>
    <w:p w:rsidR="00C14506" w:rsidRPr="00AA68EC" w:rsidRDefault="00C14506" w:rsidP="00AA68EC">
      <w:pPr>
        <w:shd w:val="clear" w:color="auto" w:fill="FFFFFF"/>
        <w:spacing w:line="360" w:lineRule="auto"/>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The best efficiency of gasoline that can be recovered is 20,69%, it was obtained starting from the distillate of the coking process  of the load (40% BRA+ 60% oil Extract ). The CPG of the </w:t>
      </w:r>
      <w:r w:rsidRPr="00AA68EC">
        <w:rPr>
          <w:rFonts w:ascii="Arial" w:eastAsia="Times New Roman" w:hAnsi="Arial" w:cs="Arial"/>
          <w:color w:val="000000"/>
          <w:lang w:val="en-US" w:eastAsia="fr-FR"/>
        </w:rPr>
        <w:lastRenderedPageBreak/>
        <w:t xml:space="preserve">gasoline revealed a content olefin higher than 9%, and more than 30% of aromatics. The x-rays diffraction showed an amorphous structure, however, with a beginning of their crystalline structures arrangement. The DRX of the coke  obtained from (95% RCC + 5% Extract of oil), proves the presence of peaks corresponding to components of crystalline structures, 1,81921 [A°]. </w:t>
      </w:r>
    </w:p>
    <w:p w:rsidR="00246D58" w:rsidRPr="00AA68EC" w:rsidRDefault="00C14506" w:rsidP="00AA68EC">
      <w:pPr>
        <w:spacing w:after="0" w:line="360" w:lineRule="auto"/>
        <w:ind w:left="-284" w:right="-354"/>
        <w:jc w:val="both"/>
        <w:rPr>
          <w:rFonts w:ascii="Arial" w:hAnsi="Arial" w:cs="Arial"/>
          <w:b/>
          <w:bCs/>
          <w:lang w:val="en-US"/>
        </w:rPr>
      </w:pPr>
      <w:r w:rsidRPr="00AA68EC">
        <w:rPr>
          <w:rFonts w:ascii="Arial" w:hAnsi="Arial" w:cs="Arial"/>
          <w:b/>
          <w:bCs/>
          <w:lang w:val="en-US"/>
        </w:rPr>
        <w:t>Refe</w:t>
      </w:r>
      <w:r w:rsidR="00246D58" w:rsidRPr="00AA68EC">
        <w:rPr>
          <w:rFonts w:ascii="Arial" w:hAnsi="Arial" w:cs="Arial"/>
          <w:b/>
          <w:bCs/>
          <w:lang w:val="en-US"/>
        </w:rPr>
        <w:t>rences :</w:t>
      </w:r>
    </w:p>
    <w:p w:rsidR="00E214C6" w:rsidRPr="00AA68EC" w:rsidRDefault="00E214C6" w:rsidP="00AA68EC">
      <w:pPr>
        <w:spacing w:after="0" w:line="360" w:lineRule="auto"/>
        <w:ind w:left="-284" w:right="-354"/>
        <w:jc w:val="both"/>
        <w:rPr>
          <w:rFonts w:ascii="Arial" w:hAnsi="Arial" w:cs="Arial"/>
          <w:lang w:val="en-US"/>
        </w:rPr>
        <w:sectPr w:rsidR="00E214C6" w:rsidRPr="00AA68EC" w:rsidSect="008807A7">
          <w:type w:val="continuous"/>
          <w:pgSz w:w="11906" w:h="16838"/>
          <w:pgMar w:top="1417" w:right="1417" w:bottom="1417" w:left="1417" w:header="708" w:footer="708" w:gutter="0"/>
          <w:cols w:space="708"/>
          <w:docGrid w:linePitch="360"/>
        </w:sectPr>
      </w:pPr>
    </w:p>
    <w:p w:rsidR="008675A7" w:rsidRPr="00AA68EC" w:rsidRDefault="008675A7" w:rsidP="00AA68EC">
      <w:pPr>
        <w:spacing w:after="0"/>
        <w:ind w:left="-284" w:right="-354"/>
        <w:jc w:val="both"/>
        <w:rPr>
          <w:rFonts w:ascii="Arial" w:hAnsi="Arial" w:cs="Arial"/>
          <w:lang w:val="en-US"/>
        </w:rPr>
      </w:pPr>
      <w:r w:rsidRPr="00AA68EC">
        <w:rPr>
          <w:rFonts w:ascii="Arial" w:hAnsi="Arial" w:cs="Arial"/>
          <w:lang w:val="en-US"/>
        </w:rPr>
        <w:lastRenderedPageBreak/>
        <w:t>[1] Surinder Parkash, Refining processes handbook, 2003;</w:t>
      </w:r>
    </w:p>
    <w:p w:rsidR="008675A7" w:rsidRPr="00AA68EC" w:rsidRDefault="008675A7" w:rsidP="00AA68EC">
      <w:pPr>
        <w:spacing w:after="0"/>
        <w:ind w:left="-284" w:right="-284"/>
        <w:jc w:val="both"/>
        <w:rPr>
          <w:rFonts w:ascii="Arial" w:hAnsi="Arial" w:cs="Arial"/>
        </w:rPr>
      </w:pPr>
      <w:r w:rsidRPr="00AA68EC">
        <w:rPr>
          <w:rFonts w:ascii="Arial" w:hAnsi="Arial" w:cs="Arial"/>
        </w:rPr>
        <w:t>[2] P. Le prince, Le raffinage du pétrole procédés de transformation, Tome 3;</w:t>
      </w:r>
    </w:p>
    <w:p w:rsidR="00E5269C" w:rsidRPr="00AA68EC" w:rsidRDefault="00E5269C" w:rsidP="00AA68EC">
      <w:pPr>
        <w:spacing w:after="0"/>
        <w:ind w:left="-284" w:right="-284"/>
        <w:jc w:val="both"/>
        <w:rPr>
          <w:rFonts w:ascii="Arial" w:hAnsi="Arial" w:cs="Arial"/>
          <w:lang w:val="en-US"/>
        </w:rPr>
      </w:pPr>
      <w:r w:rsidRPr="00AA68EC">
        <w:rPr>
          <w:rFonts w:ascii="Arial" w:hAnsi="Arial" w:cs="Arial"/>
          <w:lang w:val="en-US"/>
        </w:rPr>
        <w:t>[3] N.     P.      Lieberman,     Troubleshouting      Process     Operations,     1991,</w:t>
      </w:r>
    </w:p>
    <w:p w:rsidR="008675A7" w:rsidRPr="00AA68EC" w:rsidRDefault="00E214C6" w:rsidP="00AA68EC">
      <w:pPr>
        <w:spacing w:after="0"/>
        <w:ind w:left="-284" w:right="-284"/>
        <w:jc w:val="both"/>
        <w:rPr>
          <w:rFonts w:ascii="Arial" w:hAnsi="Arial" w:cs="Arial"/>
          <w:lang w:val="en-US"/>
        </w:rPr>
      </w:pPr>
      <w:r w:rsidRPr="00AA68EC">
        <w:rPr>
          <w:rFonts w:ascii="Arial" w:hAnsi="Arial" w:cs="Arial"/>
          <w:lang w:val="en-US"/>
        </w:rPr>
        <w:t>[4</w:t>
      </w:r>
      <w:r w:rsidR="008675A7" w:rsidRPr="00AA68EC">
        <w:rPr>
          <w:rFonts w:ascii="Arial" w:hAnsi="Arial" w:cs="Arial"/>
          <w:lang w:val="en-US"/>
        </w:rPr>
        <w:t>] N. P. Lieberman, Troubleshouting Process Operations, 1991, pp 30-38;</w:t>
      </w:r>
    </w:p>
    <w:p w:rsidR="008675A7" w:rsidRPr="00AA68EC" w:rsidRDefault="00E214C6" w:rsidP="00AA68EC">
      <w:pPr>
        <w:spacing w:after="0"/>
        <w:ind w:left="-284" w:right="-284"/>
        <w:jc w:val="both"/>
        <w:rPr>
          <w:rFonts w:ascii="Arial" w:hAnsi="Arial" w:cs="Arial"/>
          <w:lang w:val="en-US"/>
        </w:rPr>
      </w:pPr>
      <w:r w:rsidRPr="00AA68EC">
        <w:rPr>
          <w:rFonts w:ascii="Arial" w:hAnsi="Arial" w:cs="Arial"/>
          <w:lang w:val="en-US"/>
        </w:rPr>
        <w:t>[5</w:t>
      </w:r>
      <w:r w:rsidR="008675A7" w:rsidRPr="00AA68EC">
        <w:rPr>
          <w:rFonts w:ascii="Arial" w:hAnsi="Arial" w:cs="Arial"/>
          <w:lang w:val="en-US"/>
        </w:rPr>
        <w:t>] E. Totten. George; R. Steven Westbrook; J. Rajesh. Shah, Fuels and lubricants</w:t>
      </w:r>
    </w:p>
    <w:p w:rsidR="008675A7" w:rsidRPr="00AA68EC" w:rsidRDefault="008675A7" w:rsidP="00AA68EC">
      <w:pPr>
        <w:spacing w:after="0"/>
        <w:ind w:right="-284"/>
        <w:jc w:val="both"/>
        <w:rPr>
          <w:rFonts w:ascii="Arial" w:hAnsi="Arial" w:cs="Arial"/>
          <w:lang w:val="en-US"/>
        </w:rPr>
      </w:pPr>
      <w:r w:rsidRPr="00AA68EC">
        <w:rPr>
          <w:rFonts w:ascii="Arial" w:hAnsi="Arial" w:cs="Arial"/>
          <w:lang w:val="en-US"/>
        </w:rPr>
        <w:t>Handbook technology properties performance and testing, 2003;</w:t>
      </w:r>
    </w:p>
    <w:p w:rsidR="008675A7" w:rsidRPr="00AA68EC" w:rsidRDefault="00E214C6" w:rsidP="00AA68EC">
      <w:pPr>
        <w:spacing w:after="0"/>
        <w:ind w:left="-284" w:right="-284"/>
        <w:jc w:val="both"/>
        <w:rPr>
          <w:rFonts w:ascii="Arial" w:hAnsi="Arial" w:cs="Arial"/>
        </w:rPr>
      </w:pPr>
      <w:r w:rsidRPr="00AA68EC">
        <w:rPr>
          <w:rFonts w:ascii="Arial" w:hAnsi="Arial" w:cs="Arial"/>
        </w:rPr>
        <w:t>[6</w:t>
      </w:r>
      <w:r w:rsidR="008675A7" w:rsidRPr="00AA68EC">
        <w:rPr>
          <w:rFonts w:ascii="Arial" w:hAnsi="Arial" w:cs="Arial"/>
        </w:rPr>
        <w:t xml:space="preserve">] J.F. Le page ; S.G. Chatila ; M. Davidson, Raffinage et conversion des produits lourds </w:t>
      </w:r>
    </w:p>
    <w:p w:rsidR="008675A7" w:rsidRPr="00AA68EC" w:rsidRDefault="008675A7" w:rsidP="00AA68EC">
      <w:pPr>
        <w:spacing w:after="0"/>
        <w:ind w:right="-284"/>
        <w:jc w:val="both"/>
        <w:rPr>
          <w:rFonts w:ascii="Arial" w:hAnsi="Arial" w:cs="Arial"/>
          <w:lang w:val="en-US"/>
        </w:rPr>
      </w:pPr>
      <w:r w:rsidRPr="00AA68EC">
        <w:rPr>
          <w:rFonts w:ascii="Arial" w:hAnsi="Arial" w:cs="Arial"/>
          <w:lang w:val="en-US"/>
        </w:rPr>
        <w:t>du pétrole, édition Technip, 1990.</w:t>
      </w:r>
    </w:p>
    <w:p w:rsidR="00E214C6" w:rsidRPr="00AA68EC" w:rsidRDefault="00E214C6" w:rsidP="00AA68EC">
      <w:pPr>
        <w:spacing w:after="0"/>
        <w:ind w:left="-284" w:right="-284"/>
        <w:jc w:val="both"/>
        <w:rPr>
          <w:rFonts w:ascii="Arial" w:hAnsi="Arial" w:cs="Arial"/>
          <w:lang w:val="en-US"/>
        </w:rPr>
      </w:pPr>
      <w:r w:rsidRPr="00AA68EC">
        <w:rPr>
          <w:rFonts w:ascii="Arial" w:hAnsi="Arial" w:cs="Arial"/>
          <w:lang w:val="en-US"/>
        </w:rPr>
        <w:t>[7</w:t>
      </w:r>
      <w:r w:rsidR="00E5269C" w:rsidRPr="00AA68EC">
        <w:rPr>
          <w:rFonts w:ascii="Arial" w:hAnsi="Arial" w:cs="Arial"/>
          <w:lang w:val="en-US"/>
        </w:rPr>
        <w:t>] V. Simanzhenkov; R. Idem, Crud  oil chemistry, CRC Press, 2003, pp 337-344.</w:t>
      </w:r>
    </w:p>
    <w:p w:rsidR="00E214C6" w:rsidRPr="00AA68EC" w:rsidRDefault="00E214C6" w:rsidP="00AA68EC">
      <w:pPr>
        <w:spacing w:after="0"/>
        <w:ind w:left="-284" w:right="-284"/>
        <w:jc w:val="both"/>
        <w:rPr>
          <w:rFonts w:ascii="Arial" w:hAnsi="Arial" w:cs="Arial"/>
          <w:lang w:val="en-US"/>
        </w:rPr>
      </w:pPr>
      <w:r w:rsidRPr="00AA68EC">
        <w:rPr>
          <w:rFonts w:ascii="Arial" w:hAnsi="Arial" w:cs="Arial"/>
          <w:lang w:val="en-US"/>
        </w:rPr>
        <w:t xml:space="preserve">[8] T. Nakajima; I. Shikura; T. Asuka; I. Hand Yamakawa, Thermal cracking of Asphaltènes          </w:t>
      </w:r>
    </w:p>
    <w:p w:rsidR="00E214C6" w:rsidRPr="00AA68EC" w:rsidRDefault="00E214C6" w:rsidP="00AA68EC">
      <w:pPr>
        <w:spacing w:after="0"/>
        <w:ind w:left="-284" w:right="-284"/>
        <w:jc w:val="both"/>
        <w:rPr>
          <w:rFonts w:ascii="Arial" w:hAnsi="Arial" w:cs="Arial"/>
          <w:lang w:val="en-US"/>
        </w:rPr>
      </w:pPr>
      <w:r w:rsidRPr="00AA68EC">
        <w:rPr>
          <w:rFonts w:ascii="Arial" w:hAnsi="Arial" w:cs="Arial"/>
          <w:lang w:val="en-US"/>
        </w:rPr>
        <w:t xml:space="preserve">      fractionated  from  khafjji asphalt,  Oil  &amp; Gas Science  and Technology, Rev IFP, Vol 14, N1, </w:t>
      </w:r>
    </w:p>
    <w:p w:rsidR="00E214C6" w:rsidRPr="00AA68EC" w:rsidRDefault="00E214C6" w:rsidP="00AA68EC">
      <w:pPr>
        <w:spacing w:after="0"/>
        <w:ind w:left="-284" w:right="-284"/>
        <w:jc w:val="both"/>
        <w:rPr>
          <w:rFonts w:ascii="Arial" w:hAnsi="Arial" w:cs="Arial"/>
        </w:rPr>
      </w:pPr>
      <w:r w:rsidRPr="00AA68EC">
        <w:rPr>
          <w:rFonts w:ascii="Arial" w:hAnsi="Arial" w:cs="Arial"/>
          <w:lang w:val="en-US"/>
        </w:rPr>
        <w:t xml:space="preserve">      </w:t>
      </w:r>
      <w:r w:rsidRPr="00AA68EC">
        <w:rPr>
          <w:rFonts w:ascii="Arial" w:hAnsi="Arial" w:cs="Arial"/>
        </w:rPr>
        <w:t>1981</w:t>
      </w:r>
    </w:p>
    <w:p w:rsidR="00E5269C" w:rsidRPr="00AA68EC" w:rsidRDefault="00E214C6" w:rsidP="00AA68EC">
      <w:pPr>
        <w:spacing w:after="0"/>
        <w:ind w:left="-284" w:right="-284"/>
        <w:jc w:val="both"/>
        <w:rPr>
          <w:rFonts w:ascii="Arial" w:hAnsi="Arial" w:cs="Arial"/>
        </w:rPr>
      </w:pPr>
      <w:r w:rsidRPr="00AA68EC">
        <w:rPr>
          <w:rFonts w:ascii="Arial" w:hAnsi="Arial" w:cs="Arial"/>
        </w:rPr>
        <w:t>[9</w:t>
      </w:r>
      <w:r w:rsidR="00E5269C" w:rsidRPr="00AA68EC">
        <w:rPr>
          <w:rFonts w:ascii="Arial" w:hAnsi="Arial" w:cs="Arial"/>
        </w:rPr>
        <w:t>] H. MIMOUN, Etude</w:t>
      </w:r>
      <w:r w:rsidR="00E5269C" w:rsidRPr="00AA68EC">
        <w:rPr>
          <w:rFonts w:ascii="Arial" w:hAnsi="Arial" w:cs="Arial"/>
          <w:rtl/>
        </w:rPr>
        <w:t xml:space="preserve"> </w:t>
      </w:r>
      <w:r w:rsidR="00E5269C" w:rsidRPr="00AA68EC">
        <w:rPr>
          <w:rFonts w:ascii="Arial" w:hAnsi="Arial" w:cs="Arial"/>
        </w:rPr>
        <w:t>de</w:t>
      </w:r>
      <w:r w:rsidR="00E5269C" w:rsidRPr="00AA68EC">
        <w:rPr>
          <w:rFonts w:ascii="Arial" w:hAnsi="Arial" w:cs="Arial"/>
          <w:rtl/>
        </w:rPr>
        <w:t xml:space="preserve">  </w:t>
      </w:r>
      <w:r w:rsidR="00E5269C" w:rsidRPr="00AA68EC">
        <w:rPr>
          <w:rFonts w:ascii="Arial" w:hAnsi="Arial" w:cs="Arial"/>
        </w:rPr>
        <w:t>la stabilité d’agrégation</w:t>
      </w:r>
      <w:r w:rsidR="00E5269C" w:rsidRPr="00AA68EC">
        <w:rPr>
          <w:rFonts w:ascii="Arial" w:hAnsi="Arial" w:cs="Arial"/>
          <w:rtl/>
        </w:rPr>
        <w:t xml:space="preserve"> </w:t>
      </w:r>
      <w:r w:rsidR="00E5269C" w:rsidRPr="00AA68EC">
        <w:rPr>
          <w:rFonts w:ascii="Arial" w:hAnsi="Arial" w:cs="Arial"/>
        </w:rPr>
        <w:t>des</w:t>
      </w:r>
      <w:r w:rsidR="00E5269C" w:rsidRPr="00AA68EC">
        <w:rPr>
          <w:rFonts w:ascii="Arial" w:hAnsi="Arial" w:cs="Arial"/>
          <w:rtl/>
        </w:rPr>
        <w:t xml:space="preserve"> </w:t>
      </w:r>
      <w:r w:rsidR="00E5269C" w:rsidRPr="00AA68EC">
        <w:rPr>
          <w:rFonts w:ascii="Arial" w:hAnsi="Arial" w:cs="Arial"/>
        </w:rPr>
        <w:t>résidus pétroliers, Masla</w:t>
      </w:r>
      <w:r w:rsidR="00E5269C" w:rsidRPr="00AA68EC">
        <w:rPr>
          <w:rFonts w:ascii="Arial" w:hAnsi="Arial" w:cs="Arial"/>
          <w:rtl/>
        </w:rPr>
        <w:t xml:space="preserve"> </w:t>
      </w:r>
      <w:r w:rsidR="00E5269C" w:rsidRPr="00AA68EC">
        <w:rPr>
          <w:rFonts w:ascii="Arial" w:hAnsi="Arial" w:cs="Arial"/>
        </w:rPr>
        <w:t>et</w:t>
      </w:r>
      <w:r w:rsidR="00E5269C" w:rsidRPr="00AA68EC">
        <w:rPr>
          <w:rFonts w:ascii="Arial" w:hAnsi="Arial" w:cs="Arial"/>
          <w:rtl/>
        </w:rPr>
        <w:t xml:space="preserve"> </w:t>
      </w:r>
      <w:r w:rsidR="00E5269C" w:rsidRPr="00AA68EC">
        <w:rPr>
          <w:rFonts w:ascii="Arial" w:hAnsi="Arial" w:cs="Arial"/>
        </w:rPr>
        <w:t xml:space="preserve"> Topliva</w:t>
      </w:r>
    </w:p>
    <w:p w:rsidR="00E5269C" w:rsidRPr="00AA68EC" w:rsidRDefault="00E5269C" w:rsidP="00AA68EC">
      <w:pPr>
        <w:spacing w:after="0"/>
        <w:ind w:left="-284" w:right="-284"/>
        <w:jc w:val="both"/>
        <w:rPr>
          <w:rFonts w:ascii="Arial" w:hAnsi="Arial" w:cs="Arial"/>
        </w:rPr>
      </w:pPr>
      <w:r w:rsidRPr="00AA68EC">
        <w:rPr>
          <w:rFonts w:ascii="Arial" w:hAnsi="Arial" w:cs="Arial"/>
        </w:rPr>
        <w:t xml:space="preserve">      Moscou, 1983.</w:t>
      </w:r>
    </w:p>
    <w:p w:rsidR="00E214C6" w:rsidRPr="00AA68EC" w:rsidRDefault="00E214C6" w:rsidP="00AA68EC">
      <w:pPr>
        <w:spacing w:after="0"/>
        <w:ind w:right="-284"/>
        <w:jc w:val="both"/>
        <w:rPr>
          <w:rFonts w:ascii="Arial" w:hAnsi="Arial" w:cs="Arial"/>
          <w:lang w:val="en-US"/>
        </w:rPr>
        <w:sectPr w:rsidR="00E214C6" w:rsidRPr="00AA68EC" w:rsidSect="00E214C6">
          <w:type w:val="continuous"/>
          <w:pgSz w:w="11906" w:h="16838"/>
          <w:pgMar w:top="1417" w:right="1417" w:bottom="1417" w:left="1417" w:header="708" w:footer="708" w:gutter="0"/>
          <w:cols w:space="708"/>
          <w:docGrid w:linePitch="360"/>
        </w:sectPr>
      </w:pPr>
    </w:p>
    <w:p w:rsidR="00E214C6" w:rsidRPr="00AA68EC" w:rsidRDefault="00E214C6" w:rsidP="00AA68EC">
      <w:pPr>
        <w:spacing w:after="0" w:line="360" w:lineRule="auto"/>
        <w:ind w:right="-284"/>
        <w:jc w:val="both"/>
        <w:rPr>
          <w:rFonts w:ascii="Arial" w:hAnsi="Arial" w:cs="Arial"/>
          <w:lang w:val="en-US"/>
        </w:rPr>
      </w:pPr>
    </w:p>
    <w:p w:rsidR="005605BB" w:rsidRPr="00AA68EC" w:rsidRDefault="005605BB" w:rsidP="00AA68EC">
      <w:pPr>
        <w:spacing w:after="0" w:line="360" w:lineRule="auto"/>
        <w:ind w:right="-284"/>
        <w:jc w:val="both"/>
        <w:rPr>
          <w:rFonts w:ascii="Arial" w:hAnsi="Arial" w:cs="Arial"/>
          <w:lang w:val="en-US"/>
        </w:rPr>
      </w:pPr>
    </w:p>
    <w:p w:rsidR="005605BB" w:rsidRPr="00AA68EC" w:rsidRDefault="005605BB" w:rsidP="00AA68EC">
      <w:pPr>
        <w:spacing w:after="0" w:line="360" w:lineRule="auto"/>
        <w:ind w:right="-284"/>
        <w:jc w:val="both"/>
        <w:rPr>
          <w:rFonts w:ascii="Arial" w:hAnsi="Arial" w:cs="Arial"/>
          <w:lang w:val="en-US"/>
        </w:rPr>
      </w:pPr>
    </w:p>
    <w:p w:rsidR="005605BB" w:rsidRPr="00AA68EC" w:rsidRDefault="005605BB" w:rsidP="00AA68EC">
      <w:pPr>
        <w:spacing w:after="0" w:line="360" w:lineRule="auto"/>
        <w:ind w:right="-284"/>
        <w:jc w:val="both"/>
        <w:rPr>
          <w:rFonts w:ascii="Arial" w:hAnsi="Arial" w:cs="Arial"/>
          <w:lang w:val="en-US"/>
        </w:rPr>
        <w:sectPr w:rsidR="005605BB" w:rsidRPr="00AA68EC" w:rsidSect="00E214C6">
          <w:type w:val="continuous"/>
          <w:pgSz w:w="11906" w:h="16838"/>
          <w:pgMar w:top="1417" w:right="1417" w:bottom="1417" w:left="1417" w:header="708" w:footer="708" w:gutter="0"/>
          <w:cols w:num="2" w:space="708"/>
          <w:docGrid w:linePitch="360"/>
        </w:sectPr>
      </w:pPr>
    </w:p>
    <w:p w:rsidR="008675A7" w:rsidRPr="00AA68EC" w:rsidRDefault="008675A7" w:rsidP="00AA68EC">
      <w:pPr>
        <w:spacing w:after="0" w:line="360" w:lineRule="auto"/>
        <w:ind w:right="-284"/>
        <w:jc w:val="both"/>
        <w:rPr>
          <w:rFonts w:ascii="Arial" w:hAnsi="Arial" w:cs="Arial"/>
          <w:lang w:val="en-US"/>
        </w:rPr>
      </w:pPr>
    </w:p>
    <w:p w:rsidR="008675A7" w:rsidRPr="00AA68EC" w:rsidRDefault="008675A7" w:rsidP="00AA68EC">
      <w:pPr>
        <w:spacing w:after="0" w:line="360" w:lineRule="auto"/>
        <w:ind w:left="-284" w:right="-284"/>
        <w:jc w:val="both"/>
        <w:rPr>
          <w:rFonts w:ascii="Arial" w:hAnsi="Arial" w:cs="Arial"/>
          <w:lang w:val="en-US"/>
        </w:rPr>
      </w:pPr>
    </w:p>
    <w:p w:rsidR="00967875" w:rsidRPr="00AA68EC" w:rsidRDefault="00967875" w:rsidP="00AA68EC">
      <w:pPr>
        <w:spacing w:after="0" w:line="360" w:lineRule="auto"/>
        <w:ind w:left="-284" w:right="-284"/>
        <w:jc w:val="both"/>
        <w:rPr>
          <w:rFonts w:ascii="Arial" w:hAnsi="Arial" w:cs="Arial"/>
          <w:lang w:val="en-US"/>
        </w:rPr>
      </w:pPr>
    </w:p>
    <w:p w:rsidR="00967875" w:rsidRPr="00AA68EC" w:rsidRDefault="00967875" w:rsidP="00AA68EC">
      <w:pPr>
        <w:spacing w:after="0" w:line="360" w:lineRule="auto"/>
        <w:ind w:left="-284" w:right="-284"/>
        <w:jc w:val="both"/>
        <w:rPr>
          <w:rFonts w:ascii="Arial" w:hAnsi="Arial" w:cs="Arial"/>
          <w:lang w:val="en-US"/>
        </w:rPr>
      </w:pP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p>
    <w:tbl>
      <w:tblPr>
        <w:tblStyle w:val="Grilleclaire-Accent11"/>
        <w:tblW w:w="4650" w:type="dxa"/>
        <w:jc w:val="center"/>
        <w:tblLook w:val="04A0"/>
      </w:tblPr>
      <w:tblGrid>
        <w:gridCol w:w="1384"/>
        <w:gridCol w:w="992"/>
        <w:gridCol w:w="1418"/>
        <w:gridCol w:w="856"/>
      </w:tblGrid>
      <w:tr w:rsidR="00B905B1" w:rsidRPr="00AA68EC" w:rsidTr="00B905B1">
        <w:trPr>
          <w:cnfStyle w:val="100000000000"/>
          <w:trHeight w:val="420"/>
          <w:jc w:val="center"/>
        </w:trPr>
        <w:tc>
          <w:tcPr>
            <w:cnfStyle w:val="001000000000"/>
            <w:tcW w:w="1384" w:type="dxa"/>
          </w:tcPr>
          <w:p w:rsidR="00B905B1" w:rsidRPr="00AA68EC" w:rsidRDefault="00B905B1" w:rsidP="00AA68EC">
            <w:pPr>
              <w:spacing w:line="360" w:lineRule="auto"/>
              <w:ind w:right="-354"/>
              <w:jc w:val="both"/>
              <w:rPr>
                <w:rFonts w:ascii="Arial" w:hAnsi="Arial" w:cs="Arial"/>
              </w:rPr>
            </w:pPr>
            <w:r w:rsidRPr="00AA68EC">
              <w:rPr>
                <w:rFonts w:ascii="Arial" w:hAnsi="Arial" w:cs="Arial"/>
              </w:rPr>
              <w:t>% massique</w:t>
            </w:r>
          </w:p>
        </w:tc>
        <w:tc>
          <w:tcPr>
            <w:tcW w:w="992" w:type="dxa"/>
          </w:tcPr>
          <w:p w:rsidR="00B905B1" w:rsidRPr="00AA68EC" w:rsidRDefault="00B905B1" w:rsidP="00AA68EC">
            <w:pPr>
              <w:spacing w:line="360" w:lineRule="auto"/>
              <w:ind w:left="-108" w:right="-354" w:firstLine="108"/>
              <w:jc w:val="both"/>
              <w:cnfStyle w:val="100000000000"/>
              <w:rPr>
                <w:rFonts w:ascii="Arial" w:hAnsi="Arial" w:cs="Arial"/>
              </w:rPr>
            </w:pPr>
            <w:r w:rsidRPr="00AA68EC">
              <w:rPr>
                <w:rFonts w:ascii="Arial" w:hAnsi="Arial" w:cs="Arial"/>
              </w:rPr>
              <w:t>Saturés</w:t>
            </w:r>
          </w:p>
        </w:tc>
        <w:tc>
          <w:tcPr>
            <w:tcW w:w="1418" w:type="dxa"/>
          </w:tcPr>
          <w:p w:rsidR="00B905B1" w:rsidRPr="00AA68EC" w:rsidRDefault="00B905B1" w:rsidP="00AA68EC">
            <w:pPr>
              <w:spacing w:line="360" w:lineRule="auto"/>
              <w:ind w:left="-108" w:right="-354"/>
              <w:jc w:val="both"/>
              <w:cnfStyle w:val="100000000000"/>
              <w:rPr>
                <w:rFonts w:ascii="Arial" w:hAnsi="Arial" w:cs="Arial"/>
              </w:rPr>
            </w:pPr>
            <w:r w:rsidRPr="00AA68EC">
              <w:rPr>
                <w:rFonts w:ascii="Arial" w:hAnsi="Arial" w:cs="Arial"/>
              </w:rPr>
              <w:t>Aromatiques</w:t>
            </w:r>
          </w:p>
        </w:tc>
        <w:tc>
          <w:tcPr>
            <w:tcW w:w="856" w:type="dxa"/>
          </w:tcPr>
          <w:p w:rsidR="00B905B1" w:rsidRPr="00AA68EC" w:rsidRDefault="00B905B1" w:rsidP="00AA68EC">
            <w:pPr>
              <w:spacing w:line="360" w:lineRule="auto"/>
              <w:ind w:left="-108" w:right="-354"/>
              <w:jc w:val="both"/>
              <w:cnfStyle w:val="100000000000"/>
              <w:rPr>
                <w:rFonts w:ascii="Arial" w:hAnsi="Arial" w:cs="Arial"/>
              </w:rPr>
            </w:pPr>
            <w:r w:rsidRPr="00AA68EC">
              <w:rPr>
                <w:rFonts w:ascii="Arial" w:hAnsi="Arial" w:cs="Arial"/>
              </w:rPr>
              <w:t>Résines</w:t>
            </w:r>
          </w:p>
        </w:tc>
      </w:tr>
      <w:tr w:rsidR="00B905B1" w:rsidRPr="00AA68EC" w:rsidTr="00B905B1">
        <w:trPr>
          <w:cnfStyle w:val="000000100000"/>
          <w:trHeight w:val="420"/>
          <w:jc w:val="center"/>
        </w:trPr>
        <w:tc>
          <w:tcPr>
            <w:cnfStyle w:val="001000000000"/>
            <w:tcW w:w="1384" w:type="dxa"/>
          </w:tcPr>
          <w:p w:rsidR="00B905B1" w:rsidRPr="00AA68EC" w:rsidRDefault="00B905B1" w:rsidP="00AA68EC">
            <w:pPr>
              <w:spacing w:line="360" w:lineRule="auto"/>
              <w:ind w:right="-354"/>
              <w:jc w:val="both"/>
              <w:rPr>
                <w:rFonts w:ascii="Arial" w:hAnsi="Arial" w:cs="Arial"/>
              </w:rPr>
            </w:pPr>
            <w:r w:rsidRPr="00AA68EC">
              <w:rPr>
                <w:rFonts w:ascii="Arial" w:hAnsi="Arial" w:cs="Arial"/>
              </w:rPr>
              <w:t>RAT</w:t>
            </w:r>
          </w:p>
        </w:tc>
        <w:tc>
          <w:tcPr>
            <w:tcW w:w="992"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73,259</w:t>
            </w:r>
          </w:p>
        </w:tc>
        <w:tc>
          <w:tcPr>
            <w:tcW w:w="1418"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19,805</w:t>
            </w:r>
          </w:p>
        </w:tc>
        <w:tc>
          <w:tcPr>
            <w:tcW w:w="856"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6,936</w:t>
            </w:r>
          </w:p>
        </w:tc>
      </w:tr>
      <w:tr w:rsidR="00B905B1" w:rsidRPr="00AA68EC" w:rsidTr="00B905B1">
        <w:trPr>
          <w:cnfStyle w:val="000000010000"/>
          <w:trHeight w:val="420"/>
          <w:jc w:val="center"/>
        </w:trPr>
        <w:tc>
          <w:tcPr>
            <w:cnfStyle w:val="001000000000"/>
            <w:tcW w:w="1384" w:type="dxa"/>
          </w:tcPr>
          <w:p w:rsidR="00B905B1" w:rsidRPr="00AA68EC" w:rsidRDefault="00B905B1" w:rsidP="00AA68EC">
            <w:pPr>
              <w:spacing w:line="360" w:lineRule="auto"/>
              <w:ind w:right="-354"/>
              <w:jc w:val="both"/>
              <w:rPr>
                <w:rFonts w:ascii="Arial" w:hAnsi="Arial" w:cs="Arial"/>
              </w:rPr>
            </w:pPr>
            <w:r w:rsidRPr="00AA68EC">
              <w:rPr>
                <w:rFonts w:ascii="Arial" w:hAnsi="Arial" w:cs="Arial"/>
              </w:rPr>
              <w:t>RSV</w:t>
            </w:r>
          </w:p>
        </w:tc>
        <w:tc>
          <w:tcPr>
            <w:tcW w:w="992"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49,274</w:t>
            </w:r>
          </w:p>
        </w:tc>
        <w:tc>
          <w:tcPr>
            <w:tcW w:w="1418"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41,025</w:t>
            </w:r>
          </w:p>
        </w:tc>
        <w:tc>
          <w:tcPr>
            <w:tcW w:w="856"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9,701</w:t>
            </w:r>
          </w:p>
        </w:tc>
      </w:tr>
      <w:tr w:rsidR="00B905B1" w:rsidRPr="00AA68EC" w:rsidTr="00B905B1">
        <w:trPr>
          <w:cnfStyle w:val="000000100000"/>
          <w:trHeight w:val="420"/>
          <w:jc w:val="center"/>
        </w:trPr>
        <w:tc>
          <w:tcPr>
            <w:cnfStyle w:val="001000000000"/>
            <w:tcW w:w="1384" w:type="dxa"/>
          </w:tcPr>
          <w:p w:rsidR="00B905B1" w:rsidRPr="00AA68EC" w:rsidRDefault="00B905B1" w:rsidP="00AA68EC">
            <w:pPr>
              <w:spacing w:line="360" w:lineRule="auto"/>
              <w:ind w:right="-354"/>
              <w:jc w:val="both"/>
              <w:rPr>
                <w:rFonts w:ascii="Arial" w:hAnsi="Arial" w:cs="Arial"/>
              </w:rPr>
            </w:pPr>
            <w:r w:rsidRPr="00AA68EC">
              <w:rPr>
                <w:rFonts w:ascii="Arial" w:hAnsi="Arial" w:cs="Arial"/>
              </w:rPr>
              <w:t>RCC</w:t>
            </w:r>
          </w:p>
        </w:tc>
        <w:tc>
          <w:tcPr>
            <w:tcW w:w="992"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23,336</w:t>
            </w:r>
          </w:p>
        </w:tc>
        <w:tc>
          <w:tcPr>
            <w:tcW w:w="1418"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74,689</w:t>
            </w:r>
          </w:p>
        </w:tc>
        <w:tc>
          <w:tcPr>
            <w:tcW w:w="856" w:type="dxa"/>
          </w:tcPr>
          <w:p w:rsidR="00B905B1" w:rsidRPr="00AA68EC" w:rsidRDefault="00B905B1" w:rsidP="00AA68EC">
            <w:pPr>
              <w:spacing w:line="360" w:lineRule="auto"/>
              <w:ind w:right="-354"/>
              <w:jc w:val="both"/>
              <w:cnfStyle w:val="000000100000"/>
              <w:rPr>
                <w:rFonts w:ascii="Arial" w:hAnsi="Arial" w:cs="Arial"/>
              </w:rPr>
            </w:pPr>
            <w:r w:rsidRPr="00AA68EC">
              <w:rPr>
                <w:rFonts w:ascii="Arial" w:hAnsi="Arial" w:cs="Arial"/>
              </w:rPr>
              <w:t>1,975</w:t>
            </w:r>
          </w:p>
        </w:tc>
      </w:tr>
      <w:tr w:rsidR="00B905B1" w:rsidRPr="00AA68EC" w:rsidTr="00B905B1">
        <w:trPr>
          <w:cnfStyle w:val="000000010000"/>
          <w:trHeight w:val="840"/>
          <w:jc w:val="center"/>
        </w:trPr>
        <w:tc>
          <w:tcPr>
            <w:cnfStyle w:val="001000000000"/>
            <w:tcW w:w="1384" w:type="dxa"/>
          </w:tcPr>
          <w:p w:rsidR="00B905B1" w:rsidRPr="00AA68EC" w:rsidRDefault="00B905B1" w:rsidP="00AA68EC">
            <w:pPr>
              <w:spacing w:line="360" w:lineRule="auto"/>
              <w:ind w:right="-354"/>
              <w:jc w:val="both"/>
              <w:rPr>
                <w:rFonts w:ascii="Arial" w:hAnsi="Arial" w:cs="Arial"/>
              </w:rPr>
            </w:pPr>
            <w:r w:rsidRPr="00AA68EC">
              <w:rPr>
                <w:rFonts w:ascii="Arial" w:hAnsi="Arial" w:cs="Arial"/>
              </w:rPr>
              <w:t xml:space="preserve">Extrait </w:t>
            </w:r>
          </w:p>
          <w:p w:rsidR="00B905B1" w:rsidRPr="00AA68EC" w:rsidRDefault="00B905B1" w:rsidP="00AA68EC">
            <w:pPr>
              <w:spacing w:line="360" w:lineRule="auto"/>
              <w:ind w:right="-354"/>
              <w:jc w:val="both"/>
              <w:rPr>
                <w:rFonts w:ascii="Arial" w:hAnsi="Arial" w:cs="Arial"/>
              </w:rPr>
            </w:pPr>
            <w:r w:rsidRPr="00AA68EC">
              <w:rPr>
                <w:rFonts w:ascii="Arial" w:hAnsi="Arial" w:cs="Arial"/>
              </w:rPr>
              <w:t>d’huile</w:t>
            </w:r>
          </w:p>
        </w:tc>
        <w:tc>
          <w:tcPr>
            <w:tcW w:w="992"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27,134</w:t>
            </w:r>
          </w:p>
        </w:tc>
        <w:tc>
          <w:tcPr>
            <w:tcW w:w="1418"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71,288</w:t>
            </w:r>
          </w:p>
        </w:tc>
        <w:tc>
          <w:tcPr>
            <w:tcW w:w="856" w:type="dxa"/>
          </w:tcPr>
          <w:p w:rsidR="00B905B1" w:rsidRPr="00AA68EC" w:rsidRDefault="00B905B1" w:rsidP="00AA68EC">
            <w:pPr>
              <w:spacing w:line="360" w:lineRule="auto"/>
              <w:ind w:right="-354"/>
              <w:jc w:val="both"/>
              <w:cnfStyle w:val="000000010000"/>
              <w:rPr>
                <w:rFonts w:ascii="Arial" w:hAnsi="Arial" w:cs="Arial"/>
              </w:rPr>
            </w:pPr>
            <w:r w:rsidRPr="00AA68EC">
              <w:rPr>
                <w:rFonts w:ascii="Arial" w:hAnsi="Arial" w:cs="Arial"/>
              </w:rPr>
              <w:t>1,578</w:t>
            </w:r>
          </w:p>
        </w:tc>
      </w:tr>
    </w:tbl>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eastAsia="Times New Roman" w:hAnsi="Arial" w:cs="Arial"/>
          <w:color w:val="000000"/>
          <w:lang w:val="en-US" w:eastAsia="fr-FR" w:bidi="ar-SA"/>
        </w:rPr>
        <w:t>Table 1: analysis of SARA’s coking process loads.</w:t>
      </w: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eastAsia="Times New Roman" w:hAnsi="Arial" w:cs="Arial"/>
          <w:noProof/>
          <w:color w:val="000000"/>
          <w:lang w:eastAsia="fr-FR" w:bidi="ar-SA"/>
        </w:rPr>
        <w:lastRenderedPageBreak/>
        <w:drawing>
          <wp:inline distT="0" distB="0" distL="0" distR="0">
            <wp:extent cx="5610225" cy="2372674"/>
            <wp:effectExtent l="19050" t="19050" r="28575" b="27626"/>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610225" cy="2372674"/>
                    </a:xfrm>
                    <a:prstGeom prst="rect">
                      <a:avLst/>
                    </a:prstGeom>
                    <a:noFill/>
                    <a:ln w="9525">
                      <a:solidFill>
                        <a:schemeClr val="tx1"/>
                      </a:solidFill>
                      <a:miter lim="800000"/>
                      <a:headEnd/>
                      <a:tailEnd/>
                    </a:ln>
                  </pic:spPr>
                </pic:pic>
              </a:graphicData>
            </a:graphic>
          </wp:inline>
        </w:drawing>
      </w: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hAnsi="Arial" w:cs="Arial"/>
          <w:b/>
          <w:bCs/>
          <w:lang w:val="en-US"/>
        </w:rPr>
        <w:t xml:space="preserve">   Fig 1</w:t>
      </w:r>
      <w:r w:rsidRPr="00AA68EC">
        <w:rPr>
          <w:rFonts w:ascii="Arial" w:hAnsi="Arial" w:cs="Arial"/>
          <w:lang w:val="en-US"/>
        </w:rPr>
        <w:t xml:space="preserve">: </w:t>
      </w:r>
      <w:r w:rsidRPr="00AA68EC">
        <w:rPr>
          <w:rFonts w:ascii="Arial" w:eastAsia="Times New Roman" w:hAnsi="Arial" w:cs="Arial"/>
          <w:color w:val="000000"/>
          <w:lang w:val="en-US" w:eastAsia="fr-FR" w:bidi="ar-SA"/>
        </w:rPr>
        <w:t>Installation of the coking process.</w:t>
      </w:r>
    </w:p>
    <w:p w:rsidR="00B905B1" w:rsidRPr="00AA68EC" w:rsidRDefault="00B905B1" w:rsidP="00AA68EC">
      <w:pPr>
        <w:shd w:val="clear" w:color="auto" w:fill="FFFFFF"/>
        <w:spacing w:line="288" w:lineRule="atLeast"/>
        <w:ind w:left="360"/>
        <w:jc w:val="both"/>
        <w:rPr>
          <w:rFonts w:ascii="Arial" w:eastAsia="Times New Roman" w:hAnsi="Arial" w:cs="Arial"/>
          <w:color w:val="000000"/>
          <w:lang w:val="en-US" w:eastAsia="fr-FR" w:bidi="ar-SA"/>
        </w:rPr>
      </w:pPr>
      <w:r w:rsidRPr="00AA68EC">
        <w:rPr>
          <w:rFonts w:ascii="Arial" w:hAnsi="Arial" w:cs="Arial"/>
          <w:color w:val="000000"/>
          <w:lang w:val="en-US"/>
        </w:rPr>
        <w:t xml:space="preserve">1. Steel reactor of 76 mm diameter and 150 mm height.               </w:t>
      </w:r>
      <w:r w:rsidRPr="00AA68EC">
        <w:rPr>
          <w:rFonts w:ascii="Arial" w:hAnsi="Arial" w:cs="Arial"/>
          <w:lang w:val="en-US"/>
        </w:rPr>
        <w:t xml:space="preserve">2. </w:t>
      </w:r>
      <w:r w:rsidRPr="00AA68EC">
        <w:rPr>
          <w:rFonts w:ascii="Arial" w:eastAsia="Times New Roman" w:hAnsi="Arial" w:cs="Arial"/>
          <w:color w:val="000000"/>
          <w:lang w:val="en-US" w:eastAsia="fr-FR" w:bidi="ar-SA"/>
        </w:rPr>
        <w:t>gas Control.</w:t>
      </w:r>
    </w:p>
    <w:p w:rsidR="00B905B1" w:rsidRPr="00AA68EC" w:rsidRDefault="00B905B1" w:rsidP="00AA68EC">
      <w:pPr>
        <w:pStyle w:val="Paragraphedeliste"/>
        <w:spacing w:after="0" w:line="360" w:lineRule="auto"/>
        <w:ind w:left="284" w:right="-284"/>
        <w:jc w:val="both"/>
        <w:rPr>
          <w:rFonts w:ascii="Arial" w:hAnsi="Arial" w:cs="Arial"/>
          <w:lang w:val="en-US"/>
        </w:rPr>
      </w:pPr>
      <w:r w:rsidRPr="00AA68EC">
        <w:rPr>
          <w:rFonts w:ascii="Arial" w:hAnsi="Arial" w:cs="Arial"/>
          <w:lang w:val="en-US"/>
        </w:rPr>
        <w:t xml:space="preserve"> 3. </w:t>
      </w:r>
      <w:r w:rsidRPr="00AA68EC">
        <w:rPr>
          <w:rFonts w:ascii="Arial" w:eastAsia="Times New Roman" w:hAnsi="Arial" w:cs="Arial"/>
          <w:color w:val="000000"/>
          <w:lang w:val="en-US" w:eastAsia="fr-FR" w:bidi="ar-SA"/>
        </w:rPr>
        <w:t xml:space="preserve">Electric oven                                                                               </w:t>
      </w:r>
      <w:r w:rsidRPr="00AA68EC">
        <w:rPr>
          <w:rFonts w:ascii="Arial" w:hAnsi="Arial" w:cs="Arial"/>
          <w:lang w:val="en-US"/>
        </w:rPr>
        <w:t>4. Temperature control.</w:t>
      </w:r>
    </w:p>
    <w:p w:rsidR="00B905B1" w:rsidRPr="00AA68EC" w:rsidRDefault="00B905B1"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hAnsi="Arial" w:cs="Arial"/>
          <w:lang w:val="en-US"/>
        </w:rPr>
        <w:t xml:space="preserve">      5. </w:t>
      </w:r>
      <w:r w:rsidRPr="00AA68EC">
        <w:rPr>
          <w:rFonts w:ascii="Arial" w:eastAsia="Times New Roman" w:hAnsi="Arial" w:cs="Arial"/>
          <w:color w:val="000000"/>
          <w:lang w:val="en-US" w:eastAsia="fr-FR" w:bidi="ar-SA"/>
        </w:rPr>
        <w:t>The drill (to detect the reactor temperature).</w:t>
      </w:r>
      <w:r w:rsidR="00866CDE" w:rsidRPr="00AA68EC">
        <w:rPr>
          <w:rFonts w:ascii="Arial" w:eastAsia="Times New Roman" w:hAnsi="Arial" w:cs="Arial"/>
          <w:color w:val="000000"/>
          <w:lang w:val="en-US" w:eastAsia="fr-FR" w:bidi="ar-SA"/>
        </w:rPr>
        <w:t xml:space="preserve">      </w:t>
      </w:r>
    </w:p>
    <w:p w:rsidR="00866CDE" w:rsidRPr="00AA68EC" w:rsidRDefault="00866CDE" w:rsidP="00AA68EC">
      <w:pPr>
        <w:spacing w:after="0" w:line="360" w:lineRule="auto"/>
        <w:ind w:right="-284"/>
        <w:jc w:val="both"/>
        <w:rPr>
          <w:rFonts w:ascii="Arial" w:hAnsi="Arial" w:cs="Arial"/>
          <w:lang w:val="en-US"/>
        </w:rPr>
      </w:pPr>
      <w:r w:rsidRPr="00AA68EC">
        <w:rPr>
          <w:rFonts w:ascii="Arial" w:hAnsi="Arial" w:cs="Arial"/>
          <w:lang w:val="en-US"/>
        </w:rPr>
        <w:t xml:space="preserve">     6. </w:t>
      </w:r>
      <w:r w:rsidRPr="00AA68EC">
        <w:rPr>
          <w:rFonts w:ascii="Arial" w:eastAsia="Times New Roman" w:hAnsi="Arial" w:cs="Arial"/>
          <w:color w:val="000000"/>
          <w:lang w:val="en-US" w:eastAsia="fr-FR" w:bidi="ar-SA"/>
        </w:rPr>
        <w:t xml:space="preserve">Receipt Flask of the liquid products.                                 </w:t>
      </w:r>
      <w:r w:rsidRPr="00AA68EC">
        <w:rPr>
          <w:rFonts w:ascii="Arial" w:hAnsi="Arial" w:cs="Arial"/>
          <w:lang w:val="en-US"/>
        </w:rPr>
        <w:t xml:space="preserve">7. Gas toward  the atmosphere.      </w:t>
      </w:r>
      <w:r w:rsidRPr="00AA68EC">
        <w:rPr>
          <w:rFonts w:ascii="Arial" w:eastAsia="Times New Roman" w:hAnsi="Arial" w:cs="Arial"/>
          <w:color w:val="000000"/>
          <w:lang w:val="en-US" w:eastAsia="fr-FR" w:bidi="ar-SA"/>
        </w:rPr>
        <w:t xml:space="preserve">  </w:t>
      </w:r>
      <w:r w:rsidRPr="00AA68EC">
        <w:rPr>
          <w:rFonts w:ascii="Arial" w:hAnsi="Arial" w:cs="Arial"/>
          <w:lang w:val="en-US"/>
        </w:rPr>
        <w:t>8. Manometer.</w:t>
      </w: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866CDE" w:rsidRPr="00AA68EC" w:rsidRDefault="00866CDE" w:rsidP="00AA68EC">
      <w:pPr>
        <w:jc w:val="both"/>
        <w:rPr>
          <w:rFonts w:ascii="Arial" w:hAnsi="Arial" w:cs="Arial"/>
          <w:noProof/>
          <w:lang w:val="en-US" w:eastAsia="fr-FR"/>
        </w:rPr>
      </w:pPr>
      <w:r w:rsidRPr="00AA68EC">
        <w:rPr>
          <w:rFonts w:ascii="Arial" w:hAnsi="Arial" w:cs="Arial"/>
          <w:noProof/>
          <w:lang w:eastAsia="fr-FR" w:bidi="ar-SA"/>
        </w:rPr>
        <w:drawing>
          <wp:inline distT="0" distB="0" distL="0" distR="0">
            <wp:extent cx="2809875" cy="2533650"/>
            <wp:effectExtent l="19050" t="0" r="9525" b="0"/>
            <wp:docPr id="1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AA68EC">
        <w:rPr>
          <w:rFonts w:ascii="Arial" w:hAnsi="Arial" w:cs="Arial"/>
          <w:noProof/>
          <w:lang w:val="en-US" w:eastAsia="fr-FR"/>
        </w:rPr>
        <w:t xml:space="preserve"> </w:t>
      </w:r>
      <w:r w:rsidRPr="00AA68EC">
        <w:rPr>
          <w:rFonts w:ascii="Arial" w:hAnsi="Arial" w:cs="Arial"/>
          <w:noProof/>
          <w:lang w:eastAsia="fr-FR" w:bidi="ar-SA"/>
        </w:rPr>
        <w:drawing>
          <wp:inline distT="0" distB="0" distL="0" distR="0">
            <wp:extent cx="2809875" cy="2543175"/>
            <wp:effectExtent l="19050" t="0" r="9525" b="0"/>
            <wp:docPr id="1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66CDE" w:rsidRPr="00AA68EC" w:rsidRDefault="00866CDE" w:rsidP="00AA68EC">
      <w:pPr>
        <w:spacing w:line="360" w:lineRule="auto"/>
        <w:ind w:right="-354"/>
        <w:jc w:val="both"/>
        <w:rPr>
          <w:rFonts w:ascii="Arial" w:hAnsi="Arial" w:cs="Arial"/>
          <w:lang w:val="en-US"/>
        </w:rPr>
      </w:pPr>
      <w:r w:rsidRPr="00AA68EC">
        <w:rPr>
          <w:rFonts w:ascii="Arial" w:hAnsi="Arial" w:cs="Arial"/>
          <w:b/>
          <w:bCs/>
          <w:lang w:val="en-US"/>
        </w:rPr>
        <w:t xml:space="preserve">                     Fig 2</w:t>
      </w:r>
      <w:r w:rsidRPr="00AA68EC">
        <w:rPr>
          <w:rFonts w:ascii="Arial" w:hAnsi="Arial" w:cs="Arial"/>
          <w:lang w:val="en-US"/>
        </w:rPr>
        <w:t xml:space="preserve">: coke efficiency                            </w:t>
      </w:r>
      <w:r w:rsidRPr="00AA68EC">
        <w:rPr>
          <w:rFonts w:ascii="Arial" w:hAnsi="Arial" w:cs="Arial"/>
          <w:b/>
          <w:bCs/>
          <w:lang w:val="en-US"/>
        </w:rPr>
        <w:t>Fig 3</w:t>
      </w:r>
      <w:r w:rsidRPr="00AA68EC">
        <w:rPr>
          <w:rFonts w:ascii="Arial" w:hAnsi="Arial" w:cs="Arial"/>
          <w:lang w:val="en-US"/>
        </w:rPr>
        <w:t> : gas and distillate efficiency</w:t>
      </w:r>
    </w:p>
    <w:p w:rsidR="00866CDE" w:rsidRPr="00AA68EC" w:rsidRDefault="00866CDE" w:rsidP="00AA68EC">
      <w:pPr>
        <w:spacing w:line="360" w:lineRule="auto"/>
        <w:ind w:right="-354"/>
        <w:jc w:val="both"/>
        <w:rPr>
          <w:rFonts w:ascii="Arial" w:hAnsi="Arial" w:cs="Arial"/>
          <w:lang w:val="en-US"/>
        </w:rPr>
      </w:pPr>
      <w:r w:rsidRPr="00AA68EC">
        <w:rPr>
          <w:rFonts w:ascii="Arial" w:hAnsi="Arial" w:cs="Arial"/>
          <w:b/>
          <w:lang w:val="en-US"/>
        </w:rPr>
        <w:lastRenderedPageBreak/>
        <w:t>Efficiency</w:t>
      </w:r>
      <w:r w:rsidRPr="00AA68EC">
        <w:rPr>
          <w:rFonts w:ascii="Arial" w:hAnsi="Arial" w:cs="Arial"/>
          <w:b/>
          <w:bCs/>
          <w:lang w:val="en-US"/>
        </w:rPr>
        <w:t xml:space="preserve"> of gas, distillate and coke for compounding</w:t>
      </w:r>
    </w:p>
    <w:p w:rsidR="00866CDE" w:rsidRPr="00AA68EC" w:rsidRDefault="00866CDE" w:rsidP="00AA68EC">
      <w:pPr>
        <w:spacing w:after="0" w:line="360" w:lineRule="auto"/>
        <w:jc w:val="both"/>
        <w:rPr>
          <w:rFonts w:ascii="Arial" w:hAnsi="Arial" w:cs="Arial"/>
          <w:b/>
          <w:bCs/>
          <w:lang w:val="en-US"/>
        </w:rPr>
      </w:pPr>
      <w:r w:rsidRPr="00AA68EC">
        <w:rPr>
          <w:rFonts w:ascii="Arial" w:hAnsi="Arial" w:cs="Arial"/>
          <w:b/>
          <w:bCs/>
          <w:lang w:val="en-US"/>
        </w:rPr>
        <w:t>(RCC/RSV/oil extracts) :</w:t>
      </w:r>
    </w:p>
    <w:p w:rsidR="00866CDE" w:rsidRPr="00AA68EC" w:rsidRDefault="00866CDE" w:rsidP="00AA68EC">
      <w:pPr>
        <w:pStyle w:val="Paragraphedeliste"/>
        <w:spacing w:after="0" w:line="360" w:lineRule="auto"/>
        <w:ind w:left="0" w:right="-284"/>
        <w:jc w:val="both"/>
        <w:rPr>
          <w:rFonts w:ascii="Arial" w:eastAsia="Times New Roman" w:hAnsi="Arial" w:cs="Arial"/>
          <w:lang w:eastAsia="fr-FR" w:bidi="ar-SA"/>
        </w:rPr>
      </w:pPr>
      <w:r w:rsidRPr="00AA68EC">
        <w:rPr>
          <w:rFonts w:ascii="Arial" w:eastAsia="Times New Roman" w:hAnsi="Arial" w:cs="Arial"/>
          <w:noProof/>
          <w:lang w:eastAsia="fr-FR" w:bidi="ar-SA"/>
        </w:rPr>
        <w:drawing>
          <wp:inline distT="0" distB="0" distL="0" distR="0">
            <wp:extent cx="5114925" cy="2514600"/>
            <wp:effectExtent l="19050" t="0" r="9525" b="0"/>
            <wp:docPr id="20"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66CDE" w:rsidRPr="00AA68EC" w:rsidRDefault="00866CDE" w:rsidP="00AA68EC">
      <w:pPr>
        <w:spacing w:after="0" w:line="360" w:lineRule="auto"/>
        <w:ind w:right="-354"/>
        <w:jc w:val="both"/>
        <w:rPr>
          <w:rFonts w:ascii="Arial" w:eastAsia="Times New Roman" w:hAnsi="Arial" w:cs="Arial"/>
          <w:lang w:val="en-US" w:eastAsia="fr-FR" w:bidi="ar-SA"/>
        </w:rPr>
      </w:pPr>
      <w:r w:rsidRPr="00AA68EC">
        <w:rPr>
          <w:rFonts w:ascii="Arial" w:hAnsi="Arial" w:cs="Arial"/>
          <w:lang w:val="en-US"/>
        </w:rPr>
        <w:t xml:space="preserve">                </w:t>
      </w:r>
      <w:r w:rsidRPr="00AA68EC">
        <w:rPr>
          <w:rFonts w:ascii="Arial" w:hAnsi="Arial" w:cs="Arial"/>
          <w:b/>
          <w:bCs/>
          <w:lang w:val="en-US"/>
        </w:rPr>
        <w:t>Fig 4</w:t>
      </w:r>
      <w:r w:rsidRPr="00AA68EC">
        <w:rPr>
          <w:rFonts w:ascii="Arial" w:hAnsi="Arial" w:cs="Arial"/>
          <w:lang w:val="en-US"/>
        </w:rPr>
        <w:t>: Efficiency of Coke, Distillate and Gas of compounding.</w:t>
      </w:r>
    </w:p>
    <w:p w:rsidR="00866CDE" w:rsidRPr="00AA68EC" w:rsidRDefault="00866CDE" w:rsidP="00AA68EC">
      <w:pPr>
        <w:spacing w:after="0" w:line="360" w:lineRule="auto"/>
        <w:jc w:val="both"/>
        <w:rPr>
          <w:rFonts w:ascii="Arial" w:hAnsi="Arial" w:cs="Arial"/>
          <w:lang w:val="en-US"/>
        </w:rPr>
      </w:pPr>
      <w:r w:rsidRPr="00AA68EC">
        <w:rPr>
          <w:rFonts w:ascii="Arial" w:hAnsi="Arial" w:cs="Arial"/>
          <w:b/>
          <w:bCs/>
          <w:lang w:val="en-US"/>
        </w:rPr>
        <w:t xml:space="preserve">                                                      </w:t>
      </w:r>
      <w:r w:rsidRPr="00AA68EC">
        <w:rPr>
          <w:rFonts w:ascii="Arial" w:hAnsi="Arial" w:cs="Arial"/>
          <w:lang w:val="en-US"/>
        </w:rPr>
        <w:t>(RCC/RSV/oil Extract).</w:t>
      </w:r>
    </w:p>
    <w:p w:rsidR="00866CDE" w:rsidRPr="00AA68EC" w:rsidRDefault="005D7CB0" w:rsidP="00AA68EC">
      <w:pPr>
        <w:spacing w:after="0" w:line="360" w:lineRule="auto"/>
        <w:ind w:left="284"/>
        <w:jc w:val="both"/>
        <w:rPr>
          <w:rFonts w:ascii="Arial" w:hAnsi="Arial" w:cs="Arial"/>
          <w:lang w:val="en-US"/>
        </w:rPr>
      </w:pPr>
      <w:r>
        <w:rPr>
          <w:rFonts w:ascii="Arial" w:hAnsi="Arial" w:cs="Arial"/>
          <w:noProof/>
          <w:lang w:eastAsia="fr-FR" w:bidi="ar-SA"/>
        </w:rPr>
        <w:pict>
          <v:shapetype id="_x0000_t32" coordsize="21600,21600" o:spt="32" o:oned="t" path="m,l21600,21600e" filled="f">
            <v:path arrowok="t" fillok="f" o:connecttype="none"/>
            <o:lock v:ext="edit" shapetype="t"/>
          </v:shapetype>
          <v:shape id="_x0000_s1043" type="#_x0000_t32" style="position:absolute;left:0;text-align:left;margin-left:25.9pt;margin-top:8pt;width:42.75pt;height:.05pt;z-index:251655680" o:connectortype="straight">
            <v:stroke endarrow="block"/>
          </v:shape>
        </w:pict>
      </w:r>
      <w:r w:rsidR="00866CDE" w:rsidRPr="00AA68EC">
        <w:rPr>
          <w:rFonts w:ascii="Arial" w:hAnsi="Arial" w:cs="Arial"/>
          <w:lang w:val="en-US"/>
        </w:rPr>
        <w:t>1                  100% RSV</w:t>
      </w:r>
    </w:p>
    <w:p w:rsidR="00866CDE" w:rsidRPr="00AA68EC" w:rsidRDefault="005D7CB0" w:rsidP="00AA68EC">
      <w:pPr>
        <w:spacing w:after="0" w:line="360" w:lineRule="auto"/>
        <w:ind w:left="284"/>
        <w:jc w:val="both"/>
        <w:rPr>
          <w:rFonts w:ascii="Arial" w:hAnsi="Arial" w:cs="Arial"/>
          <w:lang w:val="en-US"/>
        </w:rPr>
      </w:pPr>
      <w:r>
        <w:rPr>
          <w:rFonts w:ascii="Arial" w:hAnsi="Arial" w:cs="Arial"/>
          <w:noProof/>
          <w:lang w:eastAsia="fr-FR" w:bidi="ar-SA"/>
        </w:rPr>
        <w:pict>
          <v:shape id="_x0000_s1044" type="#_x0000_t32" style="position:absolute;left:0;text-align:left;margin-left:25.9pt;margin-top:6.8pt;width:42.75pt;height:.05pt;z-index:251656704" o:connectortype="straight">
            <v:stroke endarrow="block"/>
          </v:shape>
        </w:pict>
      </w:r>
      <w:r w:rsidR="00866CDE" w:rsidRPr="00AA68EC">
        <w:rPr>
          <w:rFonts w:ascii="Arial" w:hAnsi="Arial" w:cs="Arial"/>
          <w:lang w:val="en-US"/>
        </w:rPr>
        <w:t>2                  50% RCC + 40% RSV + 10 % oil Extract</w:t>
      </w:r>
    </w:p>
    <w:p w:rsidR="00866CDE" w:rsidRPr="00AA68EC" w:rsidRDefault="005D7CB0" w:rsidP="00AA68EC">
      <w:pPr>
        <w:spacing w:after="0" w:line="360" w:lineRule="auto"/>
        <w:ind w:left="284"/>
        <w:jc w:val="both"/>
        <w:rPr>
          <w:rFonts w:ascii="Arial" w:hAnsi="Arial" w:cs="Arial"/>
          <w:lang w:val="en-US"/>
        </w:rPr>
      </w:pPr>
      <w:r>
        <w:rPr>
          <w:rFonts w:ascii="Arial" w:hAnsi="Arial" w:cs="Arial"/>
          <w:noProof/>
          <w:lang w:eastAsia="fr-FR" w:bidi="ar-SA"/>
        </w:rPr>
        <w:pict>
          <v:shape id="_x0000_s1045" type="#_x0000_t32" style="position:absolute;left:0;text-align:left;margin-left:25.9pt;margin-top:7.85pt;width:42.75pt;height:.05pt;z-index:251657728" o:connectortype="straight">
            <v:stroke endarrow="block"/>
          </v:shape>
        </w:pict>
      </w:r>
      <w:r w:rsidR="00866CDE" w:rsidRPr="00AA68EC">
        <w:rPr>
          <w:rFonts w:ascii="Arial" w:hAnsi="Arial" w:cs="Arial"/>
          <w:lang w:val="en-US"/>
        </w:rPr>
        <w:t>3                  40% RCC + 40% RSV + 20 % oil Extract</w:t>
      </w:r>
    </w:p>
    <w:p w:rsidR="00866CDE" w:rsidRPr="00AA68EC" w:rsidRDefault="005D7CB0" w:rsidP="00AA68EC">
      <w:pPr>
        <w:spacing w:after="0" w:line="360" w:lineRule="auto"/>
        <w:ind w:left="284"/>
        <w:jc w:val="both"/>
        <w:rPr>
          <w:rFonts w:ascii="Arial" w:hAnsi="Arial" w:cs="Arial"/>
          <w:lang w:val="en-US"/>
        </w:rPr>
      </w:pPr>
      <w:r>
        <w:rPr>
          <w:rFonts w:ascii="Arial" w:hAnsi="Arial" w:cs="Arial"/>
          <w:noProof/>
          <w:lang w:eastAsia="fr-FR" w:bidi="ar-SA"/>
        </w:rPr>
        <w:pict>
          <v:shape id="_x0000_s1046" type="#_x0000_t32" style="position:absolute;left:0;text-align:left;margin-left:25.9pt;margin-top:7.4pt;width:42.75pt;height:.05pt;z-index:251658752" o:connectortype="straight">
            <v:stroke endarrow="block"/>
          </v:shape>
        </w:pict>
      </w:r>
      <w:r w:rsidR="00866CDE" w:rsidRPr="00AA68EC">
        <w:rPr>
          <w:rFonts w:ascii="Arial" w:hAnsi="Arial" w:cs="Arial"/>
          <w:lang w:val="en-US"/>
        </w:rPr>
        <w:t>4                  50% RCC + 50% RSV</w:t>
      </w:r>
    </w:p>
    <w:p w:rsidR="00866CDE" w:rsidRPr="00AA68EC" w:rsidRDefault="005D7CB0" w:rsidP="00AA68EC">
      <w:pPr>
        <w:tabs>
          <w:tab w:val="left" w:pos="1245"/>
        </w:tabs>
        <w:spacing w:after="0" w:line="360" w:lineRule="auto"/>
        <w:ind w:left="284"/>
        <w:jc w:val="both"/>
        <w:rPr>
          <w:rFonts w:ascii="Arial" w:hAnsi="Arial" w:cs="Arial"/>
        </w:rPr>
      </w:pPr>
      <w:r>
        <w:rPr>
          <w:rFonts w:ascii="Arial" w:hAnsi="Arial" w:cs="Arial"/>
          <w:noProof/>
          <w:lang w:eastAsia="fr-FR" w:bidi="ar-SA"/>
        </w:rPr>
        <w:pict>
          <v:shape id="_x0000_s1047" type="#_x0000_t32" style="position:absolute;left:0;text-align:left;margin-left:25.9pt;margin-top:6.35pt;width:42.75pt;height:.05pt;z-index:251659776" o:connectortype="straight">
            <v:stroke endarrow="block"/>
          </v:shape>
        </w:pict>
      </w:r>
      <w:r w:rsidR="00866CDE" w:rsidRPr="00AA68EC">
        <w:rPr>
          <w:rFonts w:ascii="Arial" w:hAnsi="Arial" w:cs="Arial"/>
        </w:rPr>
        <w:t>5                  100% RCC</w:t>
      </w:r>
    </w:p>
    <w:p w:rsidR="00866CDE"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p>
    <w:p w:rsidR="00B905B1" w:rsidRPr="00AA68EC" w:rsidRDefault="00866CDE" w:rsidP="00AA68EC">
      <w:pPr>
        <w:shd w:val="clear" w:color="auto" w:fill="FFFFFF"/>
        <w:spacing w:line="288" w:lineRule="atLeast"/>
        <w:jc w:val="both"/>
        <w:rPr>
          <w:rFonts w:ascii="Arial" w:eastAsia="Times New Roman" w:hAnsi="Arial" w:cs="Arial"/>
          <w:color w:val="000000"/>
          <w:lang w:val="en-US" w:eastAsia="fr-FR" w:bidi="ar-SA"/>
        </w:rPr>
      </w:pPr>
      <w:r w:rsidRPr="00AA68EC">
        <w:rPr>
          <w:rFonts w:ascii="Arial" w:eastAsia="Times New Roman" w:hAnsi="Arial" w:cs="Arial"/>
          <w:noProof/>
          <w:color w:val="000000"/>
          <w:lang w:eastAsia="fr-FR" w:bidi="ar-SA"/>
        </w:rPr>
        <w:drawing>
          <wp:inline distT="0" distB="0" distL="0" distR="0">
            <wp:extent cx="4467225" cy="1838325"/>
            <wp:effectExtent l="19050" t="0" r="9525" b="0"/>
            <wp:docPr id="2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05B1" w:rsidRPr="00AA68EC" w:rsidRDefault="00866CDE" w:rsidP="00AA68EC">
      <w:pPr>
        <w:spacing w:line="360" w:lineRule="auto"/>
        <w:ind w:right="-354"/>
        <w:jc w:val="both"/>
        <w:rPr>
          <w:rFonts w:ascii="Arial" w:hAnsi="Arial" w:cs="Arial"/>
          <w:lang w:val="en-US"/>
        </w:rPr>
      </w:pPr>
      <w:r w:rsidRPr="00AA68EC">
        <w:rPr>
          <w:rFonts w:ascii="Arial" w:hAnsi="Arial" w:cs="Arial"/>
          <w:b/>
          <w:bCs/>
          <w:lang w:val="en-US"/>
        </w:rPr>
        <w:t xml:space="preserve">                Fig 5</w:t>
      </w:r>
      <w:r w:rsidRPr="00AA68EC">
        <w:rPr>
          <w:rFonts w:ascii="Arial" w:hAnsi="Arial" w:cs="Arial"/>
          <w:lang w:val="en-US"/>
        </w:rPr>
        <w:t>: Efficiency of coke with respect to the load (RCC/ oil Extract)</w:t>
      </w:r>
    </w:p>
    <w:p w:rsidR="00866CDE" w:rsidRPr="00AA68EC" w:rsidRDefault="005D7CB0" w:rsidP="00AA68EC">
      <w:pPr>
        <w:pStyle w:val="Paragraphedeliste"/>
        <w:spacing w:after="0" w:line="360" w:lineRule="auto"/>
        <w:ind w:left="0" w:right="-284"/>
        <w:jc w:val="both"/>
        <w:rPr>
          <w:rFonts w:ascii="Arial" w:eastAsia="Times New Roman" w:hAnsi="Arial" w:cs="Arial"/>
          <w:lang w:eastAsia="fr-FR" w:bidi="ar-SA"/>
        </w:rPr>
      </w:pPr>
      <w:r w:rsidRPr="005D7CB0">
        <w:rPr>
          <w:rFonts w:ascii="Arial" w:hAnsi="Arial" w:cs="Arial"/>
          <w:noProof/>
          <w:lang w:eastAsia="fr-FR" w:bidi="ar-SA"/>
        </w:rPr>
        <w:lastRenderedPageBreak/>
        <w:pict>
          <v:group id="_x0000_s1048" style="position:absolute;left:0;text-align:left;margin-left:363.4pt;margin-top:44.65pt;width:12pt;height:93pt;z-index:251660800" coordorigin="8685,14773" coordsize="240,1860">
            <v:shapetype id="_x0000_t202" coordsize="21600,21600" o:spt="202" path="m,l,21600r21600,l21600,xe">
              <v:stroke joinstyle="miter"/>
              <v:path gradientshapeok="t" o:connecttype="rect"/>
            </v:shapetype>
            <v:shape id="_x0000_s1049" type="#_x0000_t202" style="position:absolute;left:8685;top:14773;width:240;height:450" strokecolor="white [3212]">
              <v:textbox style="mso-next-textbox:#_x0000_s1049">
                <w:txbxContent>
                  <w:p w:rsidR="00967875" w:rsidRDefault="00967875" w:rsidP="00866CDE">
                    <w:r>
                      <w:t>λ</w:t>
                    </w:r>
                  </w:p>
                </w:txbxContent>
              </v:textbox>
            </v:shape>
            <v:shape id="_x0000_s1050" type="#_x0000_t202" style="position:absolute;left:8685;top:15118;width:240;height:450" strokecolor="white [3212]">
              <v:textbox style="mso-next-textbox:#_x0000_s1050">
                <w:txbxContent>
                  <w:p w:rsidR="00967875" w:rsidRDefault="00967875" w:rsidP="00866CDE">
                    <w:r>
                      <w:t>λ</w:t>
                    </w:r>
                  </w:p>
                </w:txbxContent>
              </v:textbox>
            </v:shape>
            <v:shape id="_x0000_s1051" type="#_x0000_t202" style="position:absolute;left:8685;top:15403;width:240;height:450" strokecolor="white [3212]">
              <v:textbox style="mso-next-textbox:#_x0000_s1051">
                <w:txbxContent>
                  <w:p w:rsidR="00967875" w:rsidRDefault="00967875" w:rsidP="00866CDE">
                    <w:r>
                      <w:t>λ</w:t>
                    </w:r>
                  </w:p>
                </w:txbxContent>
              </v:textbox>
            </v:shape>
            <v:shape id="_x0000_s1052" type="#_x0000_t202" style="position:absolute;left:8685;top:15853;width:240;height:450" strokecolor="white [3212]">
              <v:textbox style="mso-next-textbox:#_x0000_s1052">
                <w:txbxContent>
                  <w:p w:rsidR="00967875" w:rsidRDefault="00967875" w:rsidP="00866CDE">
                    <w:r>
                      <w:t>λ</w:t>
                    </w:r>
                  </w:p>
                </w:txbxContent>
              </v:textbox>
            </v:shape>
            <v:shape id="_x0000_s1053" type="#_x0000_t202" style="position:absolute;left:8685;top:16183;width:240;height:450" strokecolor="white [3212]">
              <v:textbox style="mso-next-textbox:#_x0000_s1053">
                <w:txbxContent>
                  <w:p w:rsidR="00967875" w:rsidRDefault="00967875" w:rsidP="00866CDE">
                    <w:r>
                      <w:t>λ</w:t>
                    </w:r>
                  </w:p>
                </w:txbxContent>
              </v:textbox>
            </v:shape>
          </v:group>
        </w:pict>
      </w:r>
      <w:r w:rsidR="00866CDE" w:rsidRPr="00AA68EC">
        <w:rPr>
          <w:rFonts w:ascii="Arial" w:eastAsia="Times New Roman" w:hAnsi="Arial" w:cs="Arial"/>
          <w:noProof/>
          <w:lang w:eastAsia="fr-FR" w:bidi="ar-SA"/>
        </w:rPr>
        <w:drawing>
          <wp:inline distT="0" distB="0" distL="0" distR="0">
            <wp:extent cx="4438650" cy="2324100"/>
            <wp:effectExtent l="19050" t="0" r="19050" b="0"/>
            <wp:docPr id="2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66CDE" w:rsidRPr="00AA68EC" w:rsidRDefault="00866CDE" w:rsidP="00AA68EC">
      <w:pPr>
        <w:spacing w:after="0" w:line="360" w:lineRule="auto"/>
        <w:ind w:right="-354"/>
        <w:jc w:val="both"/>
        <w:rPr>
          <w:rFonts w:ascii="Arial" w:eastAsia="Times New Roman" w:hAnsi="Arial" w:cs="Arial"/>
          <w:bCs/>
          <w:lang w:val="en-US" w:eastAsia="fr-FR" w:bidi="ar-SA"/>
        </w:rPr>
      </w:pPr>
      <w:r w:rsidRPr="00AA68EC">
        <w:rPr>
          <w:rFonts w:ascii="Arial" w:hAnsi="Arial" w:cs="Arial"/>
          <w:b/>
          <w:bCs/>
          <w:lang w:val="en-US"/>
        </w:rPr>
        <w:t xml:space="preserve">                  Fig 6</w:t>
      </w:r>
      <w:r w:rsidRPr="00AA68EC">
        <w:rPr>
          <w:rFonts w:ascii="Arial" w:hAnsi="Arial" w:cs="Arial"/>
          <w:lang w:val="en-US"/>
        </w:rPr>
        <w:t xml:space="preserve"> : </w:t>
      </w:r>
      <w:r w:rsidRPr="00AA68EC">
        <w:rPr>
          <w:rFonts w:ascii="Arial" w:eastAsia="Times New Roman" w:hAnsi="Arial" w:cs="Arial"/>
          <w:bCs/>
          <w:lang w:val="en-US" w:eastAsia="fr-FR" w:bidi="ar-SA"/>
        </w:rPr>
        <w:t>F with respect to  % (RCC, oil extract) for different wave lengths  (</w:t>
      </w:r>
      <w:r w:rsidRPr="00AA68EC">
        <w:rPr>
          <w:rFonts w:ascii="Arial" w:eastAsia="Times New Roman" w:hAnsi="Arial" w:cs="Arial"/>
          <w:bCs/>
          <w:lang w:eastAsia="fr-FR" w:bidi="ar-SA"/>
        </w:rPr>
        <w:t>λ</w:t>
      </w:r>
      <w:r w:rsidRPr="00AA68EC">
        <w:rPr>
          <w:rFonts w:ascii="Arial" w:eastAsia="Times New Roman" w:hAnsi="Arial" w:cs="Arial"/>
          <w:bCs/>
          <w:lang w:val="en-US" w:eastAsia="fr-FR" w:bidi="ar-SA"/>
        </w:rPr>
        <w:t xml:space="preserve"> en nm)</w:t>
      </w:r>
    </w:p>
    <w:p w:rsidR="00145F8D" w:rsidRPr="00AA68EC" w:rsidRDefault="00145F8D" w:rsidP="00AA68EC">
      <w:pPr>
        <w:spacing w:after="0" w:line="360" w:lineRule="auto"/>
        <w:ind w:right="-354"/>
        <w:jc w:val="both"/>
        <w:rPr>
          <w:rFonts w:ascii="Arial" w:eastAsia="Times New Roman" w:hAnsi="Arial" w:cs="Arial"/>
          <w:bCs/>
          <w:lang w:val="en-US" w:eastAsia="fr-FR" w:bidi="ar-SA"/>
        </w:rPr>
      </w:pPr>
    </w:p>
    <w:p w:rsidR="00145F8D" w:rsidRPr="00AA68EC" w:rsidRDefault="00145F8D" w:rsidP="00AA68EC">
      <w:pPr>
        <w:spacing w:after="0" w:line="360" w:lineRule="auto"/>
        <w:ind w:right="-284"/>
        <w:jc w:val="both"/>
        <w:rPr>
          <w:rFonts w:ascii="Arial" w:eastAsiaTheme="minorEastAsia" w:hAnsi="Arial" w:cs="Arial"/>
          <w:lang w:val="en-US"/>
        </w:rPr>
      </w:pPr>
      <w:r w:rsidRPr="00AA68EC">
        <w:rPr>
          <w:rFonts w:ascii="Arial" w:eastAsiaTheme="minorEastAsia" w:hAnsi="Arial" w:cs="Arial"/>
          <w:lang w:val="en-US"/>
        </w:rPr>
        <w:t xml:space="preserve">         </w:t>
      </w:r>
    </w:p>
    <w:p w:rsidR="00145F8D" w:rsidRPr="00AA68EC" w:rsidRDefault="00145F8D" w:rsidP="00AA68EC">
      <w:pPr>
        <w:spacing w:after="0" w:line="360" w:lineRule="auto"/>
        <w:ind w:right="-284"/>
        <w:jc w:val="both"/>
        <w:rPr>
          <w:rFonts w:ascii="Arial" w:eastAsia="Times New Roman" w:hAnsi="Arial" w:cs="Arial"/>
          <w:b/>
          <w:bCs/>
          <w:lang w:val="en-US" w:eastAsia="fr-FR" w:bidi="ar-SA"/>
        </w:rPr>
      </w:pPr>
      <w:r w:rsidRPr="00AA68EC">
        <w:rPr>
          <w:rFonts w:ascii="Arial" w:eastAsiaTheme="minorEastAsia" w:hAnsi="Arial" w:cs="Arial"/>
          <w:noProof/>
          <w:lang w:eastAsia="fr-FR" w:bidi="ar-SA"/>
        </w:rPr>
        <w:drawing>
          <wp:inline distT="0" distB="0" distL="0" distR="0">
            <wp:extent cx="5610225" cy="2219325"/>
            <wp:effectExtent l="19050" t="19050" r="28575" b="28575"/>
            <wp:docPr id="2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610225" cy="2219325"/>
                    </a:xfrm>
                    <a:prstGeom prst="rect">
                      <a:avLst/>
                    </a:prstGeom>
                    <a:noFill/>
                    <a:ln w="9525">
                      <a:solidFill>
                        <a:schemeClr val="tx1"/>
                      </a:solidFill>
                      <a:miter lim="800000"/>
                      <a:headEnd/>
                      <a:tailEnd/>
                    </a:ln>
                  </pic:spPr>
                </pic:pic>
              </a:graphicData>
            </a:graphic>
          </wp:inline>
        </w:drawing>
      </w:r>
      <w:r w:rsidRPr="00AA68EC">
        <w:rPr>
          <w:rFonts w:ascii="Arial" w:eastAsiaTheme="minorEastAsia" w:hAnsi="Arial" w:cs="Arial"/>
          <w:lang w:val="en-US"/>
        </w:rPr>
        <w:t xml:space="preserve">                                                                                                                    </w:t>
      </w:r>
    </w:p>
    <w:p w:rsidR="008E5E2E" w:rsidRPr="00AA68EC" w:rsidRDefault="00122E63" w:rsidP="00AA68EC">
      <w:pPr>
        <w:spacing w:after="0" w:line="360" w:lineRule="auto"/>
        <w:ind w:right="-354"/>
        <w:jc w:val="both"/>
        <w:rPr>
          <w:rFonts w:ascii="Arial" w:eastAsia="Times New Roman" w:hAnsi="Arial" w:cs="Arial"/>
          <w:color w:val="000000"/>
          <w:lang w:val="en-US" w:eastAsia="fr-FR"/>
        </w:rPr>
      </w:pPr>
      <w:r w:rsidRPr="00AA68EC">
        <w:rPr>
          <w:rFonts w:ascii="Arial" w:eastAsiaTheme="minorEastAsia" w:hAnsi="Arial" w:cs="Arial"/>
          <w:b/>
          <w:bCs/>
          <w:lang w:val="en-US"/>
        </w:rPr>
        <w:t>Fig07</w:t>
      </w:r>
      <w:r w:rsidR="00145F8D" w:rsidRPr="00AA68EC">
        <w:rPr>
          <w:rFonts w:ascii="Arial" w:eastAsiaTheme="minorEastAsia" w:hAnsi="Arial" w:cs="Arial"/>
          <w:b/>
          <w:bCs/>
          <w:lang w:val="en-US"/>
        </w:rPr>
        <w:t> </w:t>
      </w:r>
      <w:r w:rsidR="00145F8D" w:rsidRPr="00AA68EC">
        <w:rPr>
          <w:rFonts w:ascii="Arial" w:eastAsiaTheme="minorEastAsia" w:hAnsi="Arial" w:cs="Arial"/>
          <w:lang w:val="en-US"/>
        </w:rPr>
        <w:t xml:space="preserve">: </w:t>
      </w:r>
      <w:r w:rsidR="00145F8D" w:rsidRPr="00AA68EC">
        <w:rPr>
          <w:rFonts w:ascii="Arial" w:eastAsia="Times New Roman" w:hAnsi="Arial" w:cs="Arial"/>
          <w:color w:val="000000"/>
          <w:lang w:val="en-US" w:eastAsia="fr-FR"/>
        </w:rPr>
        <w:t xml:space="preserve">The IR Band of a coke sample obtained from 10% oil Extract  + 90% RCC </w:t>
      </w:r>
    </w:p>
    <w:p w:rsidR="00145F8D" w:rsidRPr="00AA68EC" w:rsidRDefault="008E5E2E" w:rsidP="00AA68EC">
      <w:pPr>
        <w:spacing w:after="0" w:line="360" w:lineRule="auto"/>
        <w:ind w:right="-354"/>
        <w:jc w:val="both"/>
        <w:rPr>
          <w:rFonts w:ascii="Arial" w:eastAsia="Times New Roman" w:hAnsi="Arial" w:cs="Arial"/>
          <w:color w:val="000000"/>
          <w:lang w:val="en-US" w:eastAsia="fr-FR"/>
        </w:rPr>
      </w:pPr>
      <w:r w:rsidRPr="00AA68EC">
        <w:rPr>
          <w:rFonts w:ascii="Arial" w:eastAsia="Times New Roman" w:hAnsi="Arial" w:cs="Arial"/>
          <w:color w:val="000000"/>
          <w:lang w:val="en-US" w:eastAsia="fr-FR"/>
        </w:rPr>
        <w:t xml:space="preserve">                   </w:t>
      </w:r>
      <w:r w:rsidR="00145F8D" w:rsidRPr="00AA68EC">
        <w:rPr>
          <w:rFonts w:ascii="Arial" w:eastAsia="Times New Roman" w:hAnsi="Arial" w:cs="Arial"/>
          <w:color w:val="000000"/>
          <w:lang w:val="en-US" w:eastAsia="fr-FR"/>
        </w:rPr>
        <w:t>(% of Transmittance (T) with resp</w:t>
      </w:r>
      <w:r w:rsidRPr="00AA68EC">
        <w:rPr>
          <w:rFonts w:ascii="Arial" w:eastAsia="Times New Roman" w:hAnsi="Arial" w:cs="Arial"/>
          <w:color w:val="000000"/>
          <w:lang w:val="en-US" w:eastAsia="fr-FR"/>
        </w:rPr>
        <w:t>ect to the number of wave cm-1)</w:t>
      </w:r>
      <w:r w:rsidR="00145F8D" w:rsidRPr="00AA68EC">
        <w:rPr>
          <w:rFonts w:ascii="Arial" w:eastAsia="Times New Roman" w:hAnsi="Arial" w:cs="Arial"/>
          <w:color w:val="000000"/>
          <w:lang w:val="en-US" w:eastAsia="fr-FR"/>
        </w:rPr>
        <w:t>.</w:t>
      </w:r>
    </w:p>
    <w:p w:rsidR="008E5E2E" w:rsidRPr="00AA68EC" w:rsidRDefault="008E5E2E" w:rsidP="00AA68EC">
      <w:pPr>
        <w:spacing w:after="0" w:line="360" w:lineRule="auto"/>
        <w:ind w:right="-354"/>
        <w:jc w:val="both"/>
        <w:rPr>
          <w:rFonts w:ascii="Arial" w:eastAsia="Times New Roman" w:hAnsi="Arial" w:cs="Arial"/>
          <w:bCs/>
          <w:lang w:val="en-US" w:eastAsia="fr-FR"/>
        </w:rPr>
      </w:pPr>
      <w:r w:rsidRPr="00AA68EC">
        <w:rPr>
          <w:rFonts w:ascii="Arial" w:eastAsia="Times New Roman" w:hAnsi="Arial" w:cs="Arial"/>
          <w:bCs/>
          <w:noProof/>
          <w:lang w:eastAsia="fr-FR" w:bidi="ar-SA"/>
        </w:rPr>
        <w:drawing>
          <wp:inline distT="0" distB="0" distL="0" distR="0">
            <wp:extent cx="5476875" cy="2181225"/>
            <wp:effectExtent l="19050" t="19050" r="28575" b="28575"/>
            <wp:docPr id="3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476875" cy="2181225"/>
                    </a:xfrm>
                    <a:prstGeom prst="rect">
                      <a:avLst/>
                    </a:prstGeom>
                    <a:noFill/>
                    <a:ln w="9525">
                      <a:solidFill>
                        <a:schemeClr val="tx1"/>
                      </a:solidFill>
                      <a:miter lim="800000"/>
                      <a:headEnd/>
                      <a:tailEnd/>
                    </a:ln>
                  </pic:spPr>
                </pic:pic>
              </a:graphicData>
            </a:graphic>
          </wp:inline>
        </w:drawing>
      </w:r>
    </w:p>
    <w:p w:rsidR="008E5E2E" w:rsidRPr="00AA68EC" w:rsidRDefault="008E5E2E" w:rsidP="00AA68EC">
      <w:pPr>
        <w:tabs>
          <w:tab w:val="left" w:pos="2355"/>
        </w:tabs>
        <w:spacing w:after="0"/>
        <w:jc w:val="both"/>
        <w:rPr>
          <w:rFonts w:ascii="Arial" w:eastAsiaTheme="minorEastAsia" w:hAnsi="Arial" w:cs="Arial"/>
          <w:lang w:val="en-US"/>
        </w:rPr>
      </w:pPr>
      <w:r w:rsidRPr="00AA68EC">
        <w:rPr>
          <w:rFonts w:ascii="Arial" w:eastAsiaTheme="minorEastAsia" w:hAnsi="Arial" w:cs="Arial"/>
          <w:b/>
          <w:bCs/>
          <w:lang w:val="en-US"/>
        </w:rPr>
        <w:t>Fig</w:t>
      </w:r>
      <w:r w:rsidR="00122E63" w:rsidRPr="00AA68EC">
        <w:rPr>
          <w:rFonts w:ascii="Arial" w:eastAsiaTheme="minorEastAsia" w:hAnsi="Arial" w:cs="Arial"/>
          <w:b/>
          <w:bCs/>
          <w:lang w:val="en-US"/>
        </w:rPr>
        <w:t>08</w:t>
      </w:r>
      <w:r w:rsidRPr="00AA68EC">
        <w:rPr>
          <w:rFonts w:ascii="Arial" w:eastAsiaTheme="minorEastAsia" w:hAnsi="Arial" w:cs="Arial"/>
          <w:lang w:val="en-US"/>
        </w:rPr>
        <w:t xml:space="preserve">: The IR Band of a coke sample obtained from 50% from Extract + 50% RCC </w:t>
      </w:r>
    </w:p>
    <w:p w:rsidR="008E5E2E" w:rsidRPr="00AA68EC" w:rsidRDefault="008E5E2E" w:rsidP="00AA68EC">
      <w:pPr>
        <w:tabs>
          <w:tab w:val="left" w:pos="2355"/>
        </w:tabs>
        <w:spacing w:after="0"/>
        <w:jc w:val="both"/>
        <w:rPr>
          <w:rFonts w:ascii="Arial" w:eastAsiaTheme="minorEastAsia" w:hAnsi="Arial" w:cs="Arial"/>
          <w:lang w:val="en-US"/>
        </w:rPr>
      </w:pPr>
      <w:r w:rsidRPr="00AA68EC">
        <w:rPr>
          <w:rFonts w:ascii="Arial" w:eastAsiaTheme="minorEastAsia" w:hAnsi="Arial" w:cs="Arial"/>
          <w:lang w:val="en-US"/>
        </w:rPr>
        <w:t xml:space="preserve">                    (% of Transmittance (T) with respect to the wave number cm</w:t>
      </w:r>
      <w:r w:rsidRPr="00AA68EC">
        <w:rPr>
          <w:rFonts w:ascii="Arial" w:eastAsiaTheme="minorEastAsia" w:hAnsi="Arial" w:cs="Arial"/>
          <w:vertAlign w:val="superscript"/>
          <w:lang w:val="en-US"/>
        </w:rPr>
        <w:t>-1</w:t>
      </w:r>
      <w:r w:rsidRPr="00AA68EC">
        <w:rPr>
          <w:rFonts w:ascii="Arial" w:eastAsiaTheme="minorEastAsia" w:hAnsi="Arial" w:cs="Arial"/>
          <w:lang w:val="en-US"/>
        </w:rPr>
        <w:t>)</w:t>
      </w:r>
    </w:p>
    <w:p w:rsidR="008E5E2E" w:rsidRPr="00AA68EC" w:rsidRDefault="008E5E2E" w:rsidP="00AA68EC">
      <w:pPr>
        <w:tabs>
          <w:tab w:val="left" w:pos="2355"/>
        </w:tabs>
        <w:spacing w:after="0"/>
        <w:jc w:val="both"/>
        <w:rPr>
          <w:rFonts w:ascii="Arial" w:eastAsiaTheme="minorEastAsia" w:hAnsi="Arial" w:cs="Arial"/>
          <w:lang w:val="en-US"/>
        </w:rPr>
      </w:pPr>
    </w:p>
    <w:p w:rsidR="0031665B" w:rsidRPr="00AA68EC" w:rsidRDefault="0031665B" w:rsidP="00AA68EC">
      <w:pPr>
        <w:tabs>
          <w:tab w:val="left" w:pos="2355"/>
        </w:tabs>
        <w:spacing w:after="0"/>
        <w:jc w:val="both"/>
        <w:rPr>
          <w:rFonts w:ascii="Arial" w:eastAsiaTheme="minorEastAsia" w:hAnsi="Arial" w:cs="Arial"/>
          <w:b/>
          <w:bCs/>
        </w:rPr>
      </w:pPr>
      <w:r w:rsidRPr="00AA68EC">
        <w:rPr>
          <w:rFonts w:ascii="Arial" w:eastAsiaTheme="minorEastAsia" w:hAnsi="Arial" w:cs="Arial"/>
          <w:b/>
          <w:bCs/>
        </w:rPr>
        <w:lastRenderedPageBreak/>
        <w:t>X-rays diffraction:</w:t>
      </w:r>
    </w:p>
    <w:p w:rsidR="0031665B" w:rsidRPr="00AA68EC" w:rsidRDefault="0031665B" w:rsidP="00AA68EC">
      <w:pPr>
        <w:tabs>
          <w:tab w:val="left" w:pos="2355"/>
        </w:tabs>
        <w:spacing w:after="0"/>
        <w:ind w:left="-284"/>
        <w:jc w:val="both"/>
        <w:rPr>
          <w:rFonts w:ascii="Arial" w:eastAsiaTheme="minorEastAsia" w:hAnsi="Arial" w:cs="Arial"/>
        </w:rPr>
      </w:pPr>
      <w:r w:rsidRPr="00AA68EC">
        <w:rPr>
          <w:rFonts w:ascii="Arial" w:eastAsiaTheme="minorEastAsia" w:hAnsi="Arial" w:cs="Arial"/>
          <w:noProof/>
          <w:lang w:eastAsia="fr-FR" w:bidi="ar-SA"/>
        </w:rPr>
        <w:drawing>
          <wp:inline distT="0" distB="0" distL="0" distR="0">
            <wp:extent cx="6334125" cy="3752850"/>
            <wp:effectExtent l="19050" t="19050" r="28575" b="19050"/>
            <wp:docPr id="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6334125" cy="3752850"/>
                    </a:xfrm>
                    <a:prstGeom prst="rect">
                      <a:avLst/>
                    </a:prstGeom>
                    <a:noFill/>
                    <a:ln w="9525">
                      <a:solidFill>
                        <a:schemeClr val="tx1"/>
                      </a:solidFill>
                      <a:miter lim="800000"/>
                      <a:headEnd/>
                      <a:tailEnd/>
                    </a:ln>
                  </pic:spPr>
                </pic:pic>
              </a:graphicData>
            </a:graphic>
          </wp:inline>
        </w:drawing>
      </w:r>
    </w:p>
    <w:p w:rsidR="0031665B" w:rsidRPr="00AA68EC" w:rsidRDefault="00122E63" w:rsidP="00AA68EC">
      <w:pPr>
        <w:tabs>
          <w:tab w:val="left" w:pos="2355"/>
        </w:tabs>
        <w:spacing w:after="0"/>
        <w:jc w:val="both"/>
        <w:rPr>
          <w:rFonts w:ascii="Arial" w:hAnsi="Arial" w:cs="Arial"/>
          <w:lang w:val="en-US"/>
        </w:rPr>
      </w:pPr>
      <w:r w:rsidRPr="00AA68EC">
        <w:rPr>
          <w:rFonts w:ascii="Arial" w:eastAsiaTheme="minorEastAsia" w:hAnsi="Arial" w:cs="Arial"/>
          <w:b/>
          <w:bCs/>
          <w:lang w:val="en-US"/>
        </w:rPr>
        <w:t xml:space="preserve">           Fig09</w:t>
      </w:r>
      <w:r w:rsidR="0031665B" w:rsidRPr="00AA68EC">
        <w:rPr>
          <w:rFonts w:ascii="Arial" w:eastAsiaTheme="minorEastAsia" w:hAnsi="Arial" w:cs="Arial"/>
          <w:b/>
          <w:bCs/>
          <w:lang w:val="en-US"/>
        </w:rPr>
        <w:t xml:space="preserve">: </w:t>
      </w:r>
      <w:r w:rsidR="0031665B" w:rsidRPr="00AA68EC">
        <w:rPr>
          <w:rFonts w:ascii="Arial" w:hAnsi="Arial" w:cs="Arial"/>
          <w:lang w:val="en-US"/>
        </w:rPr>
        <w:t xml:space="preserve">DRX Spectrum of a coke obtained from 95% RCC + 5% oil extract </w:t>
      </w:r>
    </w:p>
    <w:p w:rsidR="00122E63" w:rsidRPr="00AA68EC" w:rsidRDefault="00122E63" w:rsidP="00AA68EC">
      <w:pPr>
        <w:spacing w:after="0"/>
        <w:ind w:right="-284"/>
        <w:jc w:val="both"/>
        <w:rPr>
          <w:rFonts w:ascii="Arial" w:eastAsia="Times New Roman" w:hAnsi="Arial" w:cs="Arial"/>
          <w:b/>
          <w:bCs/>
          <w:lang w:eastAsia="fr-FR" w:bidi="ar-SA"/>
        </w:rPr>
      </w:pPr>
      <w:r w:rsidRPr="00AA68EC">
        <w:rPr>
          <w:rFonts w:ascii="Arial" w:eastAsia="Times New Roman" w:hAnsi="Arial" w:cs="Arial"/>
          <w:b/>
          <w:bCs/>
          <w:noProof/>
          <w:lang w:eastAsia="fr-FR" w:bidi="ar-SA"/>
        </w:rPr>
        <w:drawing>
          <wp:anchor distT="0" distB="0" distL="114300" distR="114300" simplePos="0" relativeHeight="251654656" behindDoc="1" locked="0" layoutInCell="1" allowOverlap="1">
            <wp:simplePos x="0" y="0"/>
            <wp:positionH relativeFrom="column">
              <wp:posOffset>3186430</wp:posOffset>
            </wp:positionH>
            <wp:positionV relativeFrom="paragraph">
              <wp:posOffset>15875</wp:posOffset>
            </wp:positionV>
            <wp:extent cx="2790825" cy="2047875"/>
            <wp:effectExtent l="19050" t="19050" r="28575" b="28575"/>
            <wp:wrapTight wrapText="bothSides">
              <wp:wrapPolygon edited="0">
                <wp:start x="-147" y="-201"/>
                <wp:lineTo x="-147" y="21901"/>
                <wp:lineTo x="21821" y="21901"/>
                <wp:lineTo x="21821" y="-201"/>
                <wp:lineTo x="-147" y="-201"/>
              </wp:wrapPolygon>
            </wp:wrapTight>
            <wp:docPr id="32" name="Image 1" descr="G:\DCIM\100PENTX\IMGP0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PENTX\IMGP0363.JPG"/>
                    <pic:cNvPicPr>
                      <a:picLocks noChangeAspect="1" noChangeArrowheads="1"/>
                    </pic:cNvPicPr>
                  </pic:nvPicPr>
                  <pic:blipFill>
                    <a:blip r:embed="rId18" cstate="print"/>
                    <a:srcRect/>
                    <a:stretch>
                      <a:fillRect/>
                    </a:stretch>
                  </pic:blipFill>
                  <pic:spPr bwMode="auto">
                    <a:xfrm>
                      <a:off x="0" y="0"/>
                      <a:ext cx="2790825" cy="2047875"/>
                    </a:xfrm>
                    <a:prstGeom prst="rect">
                      <a:avLst/>
                    </a:prstGeom>
                    <a:noFill/>
                    <a:ln w="9525">
                      <a:solidFill>
                        <a:schemeClr val="tx1"/>
                      </a:solidFill>
                      <a:miter lim="800000"/>
                      <a:headEnd/>
                      <a:tailEnd/>
                    </a:ln>
                  </pic:spPr>
                </pic:pic>
              </a:graphicData>
            </a:graphic>
          </wp:anchor>
        </w:drawing>
      </w:r>
      <w:r w:rsidRPr="00AA68EC">
        <w:rPr>
          <w:rFonts w:ascii="Arial" w:eastAsia="Times New Roman" w:hAnsi="Arial" w:cs="Arial"/>
          <w:b/>
          <w:bCs/>
          <w:noProof/>
          <w:lang w:eastAsia="fr-FR" w:bidi="ar-SA"/>
        </w:rPr>
        <w:drawing>
          <wp:inline distT="0" distB="0" distL="0" distR="0">
            <wp:extent cx="2790824" cy="2057400"/>
            <wp:effectExtent l="19050" t="19050" r="9526" b="19050"/>
            <wp:docPr id="33" name="Image 8" descr="H:\DCIM\100PENTX\IMGP0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CIM\100PENTX\IMGP0384.JPG"/>
                    <pic:cNvPicPr>
                      <a:picLocks noChangeAspect="1" noChangeArrowheads="1"/>
                    </pic:cNvPicPr>
                  </pic:nvPicPr>
                  <pic:blipFill>
                    <a:blip r:embed="rId19" cstate="print"/>
                    <a:srcRect/>
                    <a:stretch>
                      <a:fillRect/>
                    </a:stretch>
                  </pic:blipFill>
                  <pic:spPr bwMode="auto">
                    <a:xfrm>
                      <a:off x="0" y="0"/>
                      <a:ext cx="2790825" cy="2057400"/>
                    </a:xfrm>
                    <a:prstGeom prst="rect">
                      <a:avLst/>
                    </a:prstGeom>
                    <a:noFill/>
                    <a:ln w="9525">
                      <a:solidFill>
                        <a:schemeClr val="tx1"/>
                      </a:solidFill>
                      <a:miter lim="800000"/>
                      <a:headEnd/>
                      <a:tailEnd/>
                    </a:ln>
                  </pic:spPr>
                </pic:pic>
              </a:graphicData>
            </a:graphic>
          </wp:inline>
        </w:drawing>
      </w:r>
    </w:p>
    <w:p w:rsidR="00122E63" w:rsidRPr="00AA68EC" w:rsidRDefault="00122E63" w:rsidP="00AA68EC">
      <w:pPr>
        <w:spacing w:after="0"/>
        <w:ind w:right="-284"/>
        <w:jc w:val="both"/>
        <w:rPr>
          <w:rFonts w:ascii="Arial" w:eastAsia="Times New Roman" w:hAnsi="Arial" w:cs="Arial"/>
          <w:lang w:eastAsia="fr-FR" w:bidi="ar-SA"/>
        </w:rPr>
      </w:pPr>
      <w:r w:rsidRPr="00AA68EC">
        <w:rPr>
          <w:rFonts w:ascii="Arial" w:eastAsia="Times New Roman" w:hAnsi="Arial" w:cs="Arial"/>
          <w:b/>
          <w:bCs/>
          <w:lang w:eastAsia="fr-FR" w:bidi="ar-SA"/>
        </w:rPr>
        <w:t xml:space="preserve">                                                 Fig10: </w:t>
      </w:r>
      <w:r w:rsidRPr="00AA68EC">
        <w:rPr>
          <w:rFonts w:ascii="Arial" w:eastAsia="Times New Roman" w:hAnsi="Arial" w:cs="Arial"/>
          <w:lang w:eastAsia="fr-FR" w:bidi="ar-SA"/>
        </w:rPr>
        <w:t>Coke obtenu du RCC</w:t>
      </w:r>
    </w:p>
    <w:p w:rsidR="00122E63" w:rsidRPr="00AA68EC" w:rsidRDefault="00122E63" w:rsidP="00AA68EC">
      <w:pPr>
        <w:spacing w:after="0"/>
        <w:ind w:right="-284"/>
        <w:jc w:val="both"/>
        <w:rPr>
          <w:rFonts w:ascii="Arial" w:eastAsia="Times New Roman" w:hAnsi="Arial" w:cs="Arial"/>
          <w:lang w:eastAsia="fr-FR" w:bidi="ar-SA"/>
        </w:rPr>
      </w:pPr>
    </w:p>
    <w:p w:rsidR="00122E63" w:rsidRPr="00AA68EC" w:rsidRDefault="00122E63" w:rsidP="00AA68EC">
      <w:pPr>
        <w:spacing w:after="0" w:line="360" w:lineRule="auto"/>
        <w:ind w:right="-284"/>
        <w:jc w:val="both"/>
        <w:rPr>
          <w:rFonts w:ascii="Arial" w:eastAsia="Times New Roman" w:hAnsi="Arial" w:cs="Arial"/>
          <w:b/>
          <w:bCs/>
          <w:lang w:eastAsia="fr-FR" w:bidi="ar-SA"/>
        </w:rPr>
      </w:pPr>
      <w:r w:rsidRPr="00AA68EC">
        <w:rPr>
          <w:rFonts w:ascii="Arial" w:eastAsia="Times New Roman" w:hAnsi="Arial" w:cs="Arial"/>
          <w:b/>
          <w:bCs/>
          <w:noProof/>
          <w:lang w:eastAsia="fr-FR" w:bidi="ar-SA"/>
        </w:rPr>
        <w:lastRenderedPageBreak/>
        <w:drawing>
          <wp:inline distT="0" distB="0" distL="0" distR="0">
            <wp:extent cx="2819400" cy="2152650"/>
            <wp:effectExtent l="19050" t="19050" r="19050" b="19050"/>
            <wp:docPr id="3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srcRect/>
                    <a:stretch>
                      <a:fillRect/>
                    </a:stretch>
                  </pic:blipFill>
                  <pic:spPr bwMode="auto">
                    <a:xfrm>
                      <a:off x="0" y="0"/>
                      <a:ext cx="2819400" cy="2152650"/>
                    </a:xfrm>
                    <a:prstGeom prst="rect">
                      <a:avLst/>
                    </a:prstGeom>
                    <a:noFill/>
                    <a:ln w="9525">
                      <a:solidFill>
                        <a:schemeClr val="tx1"/>
                      </a:solidFill>
                      <a:miter lim="800000"/>
                      <a:headEnd/>
                      <a:tailEnd/>
                    </a:ln>
                  </pic:spPr>
                </pic:pic>
              </a:graphicData>
            </a:graphic>
          </wp:inline>
        </w:drawing>
      </w:r>
      <w:r w:rsidRPr="00AA68EC">
        <w:rPr>
          <w:rFonts w:ascii="Arial" w:eastAsia="Times New Roman" w:hAnsi="Arial" w:cs="Arial"/>
          <w:b/>
          <w:bCs/>
          <w:noProof/>
          <w:lang w:eastAsia="fr-FR" w:bidi="ar-SA"/>
        </w:rPr>
        <w:drawing>
          <wp:inline distT="0" distB="0" distL="0" distR="0">
            <wp:extent cx="2962275" cy="2143125"/>
            <wp:effectExtent l="19050" t="19050" r="28575" b="28575"/>
            <wp:docPr id="3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2962275" cy="2143125"/>
                    </a:xfrm>
                    <a:prstGeom prst="rect">
                      <a:avLst/>
                    </a:prstGeom>
                    <a:noFill/>
                    <a:ln w="9525">
                      <a:solidFill>
                        <a:schemeClr val="tx1"/>
                      </a:solidFill>
                      <a:miter lim="800000"/>
                      <a:headEnd/>
                      <a:tailEnd/>
                    </a:ln>
                  </pic:spPr>
                </pic:pic>
              </a:graphicData>
            </a:graphic>
          </wp:inline>
        </w:drawing>
      </w:r>
      <w:r w:rsidRPr="00AA68EC">
        <w:rPr>
          <w:rFonts w:ascii="Arial" w:eastAsiaTheme="minorEastAsia" w:hAnsi="Arial" w:cs="Arial"/>
          <w:b/>
          <w:bCs/>
        </w:rPr>
        <w:t>Fig11</w:t>
      </w:r>
      <w:r w:rsidRPr="00AA68EC">
        <w:rPr>
          <w:rFonts w:ascii="Arial" w:eastAsiaTheme="minorEastAsia" w:hAnsi="Arial" w:cs="Arial"/>
        </w:rPr>
        <w:t>:</w:t>
      </w:r>
      <w:r w:rsidRPr="00AA68EC">
        <w:rPr>
          <w:rFonts w:ascii="Arial" w:hAnsi="Arial" w:cs="Arial"/>
          <w:color w:val="000000"/>
        </w:rPr>
        <w:t xml:space="preserve"> </w:t>
      </w:r>
      <w:r w:rsidRPr="00AA68EC">
        <w:rPr>
          <w:rFonts w:ascii="Arial" w:eastAsia="Times New Roman" w:hAnsi="Arial" w:cs="Arial"/>
          <w:color w:val="000000"/>
          <w:lang w:eastAsia="fr-FR" w:bidi="ar-SA"/>
        </w:rPr>
        <w:t>Photograph of a Coke obtained from:</w:t>
      </w:r>
      <w:r w:rsidRPr="00AA68EC">
        <w:rPr>
          <w:rFonts w:ascii="Arial" w:eastAsiaTheme="minorEastAsia" w:hAnsi="Arial" w:cs="Arial"/>
          <w:b/>
          <w:bCs/>
        </w:rPr>
        <w:t xml:space="preserve">     Fig12</w:t>
      </w:r>
      <w:r w:rsidRPr="00AA68EC">
        <w:rPr>
          <w:rFonts w:ascii="Arial" w:eastAsiaTheme="minorEastAsia" w:hAnsi="Arial" w:cs="Arial"/>
        </w:rPr>
        <w:t xml:space="preserve">: Photo d’un échantillon de Coke obtenu du </w:t>
      </w:r>
    </w:p>
    <w:p w:rsidR="00122E63" w:rsidRPr="00AA68EC" w:rsidRDefault="00122E63" w:rsidP="00AA68EC">
      <w:pPr>
        <w:spacing w:after="0" w:line="360" w:lineRule="auto"/>
        <w:ind w:right="-284"/>
        <w:jc w:val="both"/>
        <w:rPr>
          <w:rFonts w:ascii="Arial" w:eastAsiaTheme="minorEastAsia" w:hAnsi="Arial" w:cs="Arial"/>
        </w:rPr>
      </w:pPr>
      <w:r w:rsidRPr="00AA68EC">
        <w:rPr>
          <w:rFonts w:ascii="Arial" w:eastAsiaTheme="minorEastAsia" w:hAnsi="Arial" w:cs="Arial"/>
        </w:rPr>
        <w:t xml:space="preserve">         5% oil extract +95% RCC                                                           RSV  </w:t>
      </w:r>
    </w:p>
    <w:p w:rsidR="00122E63" w:rsidRPr="00AA68EC" w:rsidRDefault="00122E63" w:rsidP="00AA68EC">
      <w:pPr>
        <w:spacing w:after="0"/>
        <w:ind w:right="-284"/>
        <w:jc w:val="both"/>
        <w:rPr>
          <w:rFonts w:ascii="Arial" w:eastAsia="Times New Roman" w:hAnsi="Arial" w:cs="Arial"/>
          <w:b/>
          <w:bCs/>
          <w:lang w:eastAsia="fr-FR" w:bidi="ar-SA"/>
        </w:rPr>
      </w:pPr>
    </w:p>
    <w:p w:rsidR="00122E63" w:rsidRPr="00AA68EC" w:rsidRDefault="00122E63" w:rsidP="00AA68EC">
      <w:pPr>
        <w:tabs>
          <w:tab w:val="left" w:pos="2355"/>
        </w:tabs>
        <w:spacing w:after="0"/>
        <w:jc w:val="both"/>
        <w:rPr>
          <w:rFonts w:ascii="Arial" w:eastAsiaTheme="minorEastAsia" w:hAnsi="Arial" w:cs="Arial"/>
          <w:b/>
          <w:bCs/>
        </w:rPr>
      </w:pPr>
    </w:p>
    <w:p w:rsidR="008E5E2E" w:rsidRPr="00AA68EC" w:rsidRDefault="008E5E2E" w:rsidP="00AA68EC">
      <w:pPr>
        <w:tabs>
          <w:tab w:val="left" w:pos="2355"/>
        </w:tabs>
        <w:spacing w:after="0"/>
        <w:jc w:val="both"/>
        <w:rPr>
          <w:rFonts w:ascii="Arial" w:eastAsiaTheme="minorEastAsia" w:hAnsi="Arial" w:cs="Arial"/>
        </w:rPr>
      </w:pPr>
    </w:p>
    <w:p w:rsidR="00866CDE" w:rsidRPr="001E6088" w:rsidRDefault="00866CDE" w:rsidP="00680EED">
      <w:pPr>
        <w:spacing w:line="360" w:lineRule="auto"/>
        <w:ind w:right="-354"/>
        <w:jc w:val="both"/>
        <w:rPr>
          <w:rFonts w:asciiTheme="majorBidi" w:hAnsiTheme="majorBidi" w:cstheme="majorBidi"/>
          <w:sz w:val="24"/>
          <w:szCs w:val="24"/>
        </w:rPr>
      </w:pPr>
    </w:p>
    <w:sectPr w:rsidR="00866CDE" w:rsidRPr="001E6088" w:rsidSect="00B905B1">
      <w:type w:val="continuous"/>
      <w:pgSz w:w="11906" w:h="16838"/>
      <w:pgMar w:top="1417" w:right="1417" w:bottom="1417" w:left="1417" w:header="708" w:footer="708" w:gutter="0"/>
      <w:cols w:space="282"/>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B20" w:rsidRDefault="00705B20" w:rsidP="00905B4B">
      <w:pPr>
        <w:spacing w:after="0" w:line="240" w:lineRule="auto"/>
      </w:pPr>
      <w:r>
        <w:separator/>
      </w:r>
    </w:p>
  </w:endnote>
  <w:endnote w:type="continuationSeparator" w:id="1">
    <w:p w:rsidR="00705B20" w:rsidRDefault="00705B20" w:rsidP="00905B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B20" w:rsidRDefault="00705B20" w:rsidP="00905B4B">
      <w:pPr>
        <w:spacing w:after="0" w:line="240" w:lineRule="auto"/>
      </w:pPr>
      <w:r>
        <w:separator/>
      </w:r>
    </w:p>
  </w:footnote>
  <w:footnote w:type="continuationSeparator" w:id="1">
    <w:p w:rsidR="00705B20" w:rsidRDefault="00705B20" w:rsidP="00905B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F4352"/>
    <w:multiLevelType w:val="hybridMultilevel"/>
    <w:tmpl w:val="FE5C98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0F44AC"/>
    <w:multiLevelType w:val="hybridMultilevel"/>
    <w:tmpl w:val="6E4E0756"/>
    <w:lvl w:ilvl="0" w:tplc="DC6CDCCE">
      <w:start w:val="1"/>
      <w:numFmt w:val="decimal"/>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2">
    <w:nsid w:val="3B487BE1"/>
    <w:multiLevelType w:val="hybridMultilevel"/>
    <w:tmpl w:val="8B4C4280"/>
    <w:lvl w:ilvl="0" w:tplc="040C0005">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
    <w:nsid w:val="45395A54"/>
    <w:multiLevelType w:val="hybridMultilevel"/>
    <w:tmpl w:val="E4B2FD6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nsid w:val="4E6C3DF1"/>
    <w:multiLevelType w:val="hybridMultilevel"/>
    <w:tmpl w:val="F60251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C194123"/>
    <w:multiLevelType w:val="hybridMultilevel"/>
    <w:tmpl w:val="28C8EE3A"/>
    <w:lvl w:ilvl="0" w:tplc="8E44554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96C0C"/>
    <w:rsid w:val="00001834"/>
    <w:rsid w:val="00002D39"/>
    <w:rsid w:val="0000385E"/>
    <w:rsid w:val="0000395D"/>
    <w:rsid w:val="000055B0"/>
    <w:rsid w:val="000069C3"/>
    <w:rsid w:val="00007103"/>
    <w:rsid w:val="00011200"/>
    <w:rsid w:val="00012BF9"/>
    <w:rsid w:val="00012C35"/>
    <w:rsid w:val="0001348C"/>
    <w:rsid w:val="00013664"/>
    <w:rsid w:val="00013C24"/>
    <w:rsid w:val="00017D3D"/>
    <w:rsid w:val="000211EE"/>
    <w:rsid w:val="00022777"/>
    <w:rsid w:val="00022829"/>
    <w:rsid w:val="00022847"/>
    <w:rsid w:val="0002403F"/>
    <w:rsid w:val="0002607B"/>
    <w:rsid w:val="00026BC9"/>
    <w:rsid w:val="00026D38"/>
    <w:rsid w:val="00030D55"/>
    <w:rsid w:val="00031C9E"/>
    <w:rsid w:val="000333D0"/>
    <w:rsid w:val="00034A00"/>
    <w:rsid w:val="000350CB"/>
    <w:rsid w:val="0003551C"/>
    <w:rsid w:val="00035B80"/>
    <w:rsid w:val="00040856"/>
    <w:rsid w:val="000408EC"/>
    <w:rsid w:val="00041B1C"/>
    <w:rsid w:val="0004246A"/>
    <w:rsid w:val="0004282C"/>
    <w:rsid w:val="00042CBB"/>
    <w:rsid w:val="00043666"/>
    <w:rsid w:val="00043BF1"/>
    <w:rsid w:val="00046915"/>
    <w:rsid w:val="00047AFF"/>
    <w:rsid w:val="00052376"/>
    <w:rsid w:val="00054BDE"/>
    <w:rsid w:val="000562EB"/>
    <w:rsid w:val="00057351"/>
    <w:rsid w:val="000606D4"/>
    <w:rsid w:val="00061D17"/>
    <w:rsid w:val="00066DFB"/>
    <w:rsid w:val="0006738B"/>
    <w:rsid w:val="00067774"/>
    <w:rsid w:val="000706EB"/>
    <w:rsid w:val="00071592"/>
    <w:rsid w:val="00074DF1"/>
    <w:rsid w:val="00074EED"/>
    <w:rsid w:val="00075D9F"/>
    <w:rsid w:val="0007747B"/>
    <w:rsid w:val="00081588"/>
    <w:rsid w:val="00084F55"/>
    <w:rsid w:val="00085187"/>
    <w:rsid w:val="000866C0"/>
    <w:rsid w:val="00086CF1"/>
    <w:rsid w:val="000924FC"/>
    <w:rsid w:val="00093A34"/>
    <w:rsid w:val="0009418D"/>
    <w:rsid w:val="00094AB3"/>
    <w:rsid w:val="00095AFE"/>
    <w:rsid w:val="000963E1"/>
    <w:rsid w:val="000967F4"/>
    <w:rsid w:val="000A426C"/>
    <w:rsid w:val="000B07EB"/>
    <w:rsid w:val="000B2B85"/>
    <w:rsid w:val="000B5838"/>
    <w:rsid w:val="000B733C"/>
    <w:rsid w:val="000C1071"/>
    <w:rsid w:val="000C19D0"/>
    <w:rsid w:val="000D1C1E"/>
    <w:rsid w:val="000D3450"/>
    <w:rsid w:val="000D47B1"/>
    <w:rsid w:val="000D5301"/>
    <w:rsid w:val="000D58AD"/>
    <w:rsid w:val="000D5A06"/>
    <w:rsid w:val="000D5BE8"/>
    <w:rsid w:val="000D65DB"/>
    <w:rsid w:val="000D75DD"/>
    <w:rsid w:val="000E1D27"/>
    <w:rsid w:val="000E49D7"/>
    <w:rsid w:val="000E6CCC"/>
    <w:rsid w:val="000E7E0F"/>
    <w:rsid w:val="000F4178"/>
    <w:rsid w:val="000F735A"/>
    <w:rsid w:val="001017E3"/>
    <w:rsid w:val="001037D0"/>
    <w:rsid w:val="001070DA"/>
    <w:rsid w:val="001151A6"/>
    <w:rsid w:val="001156BE"/>
    <w:rsid w:val="00115943"/>
    <w:rsid w:val="00116584"/>
    <w:rsid w:val="0011734D"/>
    <w:rsid w:val="00120A34"/>
    <w:rsid w:val="00121021"/>
    <w:rsid w:val="00122362"/>
    <w:rsid w:val="001225AD"/>
    <w:rsid w:val="00122E63"/>
    <w:rsid w:val="001232E0"/>
    <w:rsid w:val="001248FD"/>
    <w:rsid w:val="00127FA5"/>
    <w:rsid w:val="001314BA"/>
    <w:rsid w:val="00131683"/>
    <w:rsid w:val="00137B6F"/>
    <w:rsid w:val="00141796"/>
    <w:rsid w:val="001444C4"/>
    <w:rsid w:val="00145F8D"/>
    <w:rsid w:val="00150385"/>
    <w:rsid w:val="001512B1"/>
    <w:rsid w:val="00152251"/>
    <w:rsid w:val="00152410"/>
    <w:rsid w:val="001542C6"/>
    <w:rsid w:val="00157ECE"/>
    <w:rsid w:val="00166F9B"/>
    <w:rsid w:val="00172A8F"/>
    <w:rsid w:val="00173CAA"/>
    <w:rsid w:val="00174A93"/>
    <w:rsid w:val="001754B1"/>
    <w:rsid w:val="001771D5"/>
    <w:rsid w:val="00180C1E"/>
    <w:rsid w:val="0018155F"/>
    <w:rsid w:val="00184038"/>
    <w:rsid w:val="001848EC"/>
    <w:rsid w:val="00192D28"/>
    <w:rsid w:val="00193EFC"/>
    <w:rsid w:val="00196ED9"/>
    <w:rsid w:val="001A2384"/>
    <w:rsid w:val="001A6E92"/>
    <w:rsid w:val="001A72FF"/>
    <w:rsid w:val="001B07BE"/>
    <w:rsid w:val="001B2121"/>
    <w:rsid w:val="001B2132"/>
    <w:rsid w:val="001B33DB"/>
    <w:rsid w:val="001B5C86"/>
    <w:rsid w:val="001B661A"/>
    <w:rsid w:val="001C1C99"/>
    <w:rsid w:val="001C2256"/>
    <w:rsid w:val="001C2421"/>
    <w:rsid w:val="001C50C2"/>
    <w:rsid w:val="001D1F4E"/>
    <w:rsid w:val="001D26B7"/>
    <w:rsid w:val="001D61AA"/>
    <w:rsid w:val="001D6840"/>
    <w:rsid w:val="001D7F59"/>
    <w:rsid w:val="001E0A85"/>
    <w:rsid w:val="001E1916"/>
    <w:rsid w:val="001E19CB"/>
    <w:rsid w:val="001E5D6D"/>
    <w:rsid w:val="001E5F45"/>
    <w:rsid w:val="001E6088"/>
    <w:rsid w:val="001E73FA"/>
    <w:rsid w:val="001F16A6"/>
    <w:rsid w:val="001F1B90"/>
    <w:rsid w:val="001F2FC6"/>
    <w:rsid w:val="001F3974"/>
    <w:rsid w:val="001F5258"/>
    <w:rsid w:val="001F593A"/>
    <w:rsid w:val="0020253C"/>
    <w:rsid w:val="00204488"/>
    <w:rsid w:val="002065CD"/>
    <w:rsid w:val="00215BB6"/>
    <w:rsid w:val="00221CA5"/>
    <w:rsid w:val="00223649"/>
    <w:rsid w:val="002271BB"/>
    <w:rsid w:val="00227705"/>
    <w:rsid w:val="00233B6D"/>
    <w:rsid w:val="002343A3"/>
    <w:rsid w:val="00234901"/>
    <w:rsid w:val="00241026"/>
    <w:rsid w:val="00244D4D"/>
    <w:rsid w:val="00245D43"/>
    <w:rsid w:val="00246D58"/>
    <w:rsid w:val="00247605"/>
    <w:rsid w:val="0025122A"/>
    <w:rsid w:val="002513EA"/>
    <w:rsid w:val="002549CC"/>
    <w:rsid w:val="00255E30"/>
    <w:rsid w:val="002567C2"/>
    <w:rsid w:val="00256B02"/>
    <w:rsid w:val="0025731A"/>
    <w:rsid w:val="00257A8B"/>
    <w:rsid w:val="0026173C"/>
    <w:rsid w:val="00263CD0"/>
    <w:rsid w:val="00266A85"/>
    <w:rsid w:val="00271DBE"/>
    <w:rsid w:val="00271FE2"/>
    <w:rsid w:val="00272586"/>
    <w:rsid w:val="00277639"/>
    <w:rsid w:val="002811D0"/>
    <w:rsid w:val="002818A3"/>
    <w:rsid w:val="002827D7"/>
    <w:rsid w:val="00287D27"/>
    <w:rsid w:val="002917E6"/>
    <w:rsid w:val="00292240"/>
    <w:rsid w:val="00292EE0"/>
    <w:rsid w:val="00294E6E"/>
    <w:rsid w:val="00295927"/>
    <w:rsid w:val="002A017F"/>
    <w:rsid w:val="002A09A4"/>
    <w:rsid w:val="002A446F"/>
    <w:rsid w:val="002B069C"/>
    <w:rsid w:val="002B1EFF"/>
    <w:rsid w:val="002B2D29"/>
    <w:rsid w:val="002B5D21"/>
    <w:rsid w:val="002C2868"/>
    <w:rsid w:val="002C35BA"/>
    <w:rsid w:val="002C3E09"/>
    <w:rsid w:val="002C7CC6"/>
    <w:rsid w:val="002D079C"/>
    <w:rsid w:val="002D26A2"/>
    <w:rsid w:val="002D3084"/>
    <w:rsid w:val="002D6706"/>
    <w:rsid w:val="002D7B68"/>
    <w:rsid w:val="002E1867"/>
    <w:rsid w:val="002E559F"/>
    <w:rsid w:val="002E5BC2"/>
    <w:rsid w:val="002E72F0"/>
    <w:rsid w:val="002E7F78"/>
    <w:rsid w:val="002F10BF"/>
    <w:rsid w:val="002F19A3"/>
    <w:rsid w:val="002F1FB6"/>
    <w:rsid w:val="002F339B"/>
    <w:rsid w:val="00300230"/>
    <w:rsid w:val="00302288"/>
    <w:rsid w:val="00304F8C"/>
    <w:rsid w:val="0030542F"/>
    <w:rsid w:val="00305650"/>
    <w:rsid w:val="00306367"/>
    <w:rsid w:val="00310804"/>
    <w:rsid w:val="00311D10"/>
    <w:rsid w:val="00312B9B"/>
    <w:rsid w:val="00314875"/>
    <w:rsid w:val="00315044"/>
    <w:rsid w:val="00315FA9"/>
    <w:rsid w:val="0031665B"/>
    <w:rsid w:val="0032140E"/>
    <w:rsid w:val="00323210"/>
    <w:rsid w:val="00325DD2"/>
    <w:rsid w:val="00327B33"/>
    <w:rsid w:val="00327CED"/>
    <w:rsid w:val="0033008D"/>
    <w:rsid w:val="00332283"/>
    <w:rsid w:val="003324D8"/>
    <w:rsid w:val="003346C4"/>
    <w:rsid w:val="0033598F"/>
    <w:rsid w:val="0034309E"/>
    <w:rsid w:val="003434F7"/>
    <w:rsid w:val="0034428F"/>
    <w:rsid w:val="00352038"/>
    <w:rsid w:val="00353729"/>
    <w:rsid w:val="003625A7"/>
    <w:rsid w:val="0036262F"/>
    <w:rsid w:val="00363E8A"/>
    <w:rsid w:val="00366F0F"/>
    <w:rsid w:val="00373842"/>
    <w:rsid w:val="00373F36"/>
    <w:rsid w:val="00373FD0"/>
    <w:rsid w:val="003741C3"/>
    <w:rsid w:val="003768D1"/>
    <w:rsid w:val="00376FA5"/>
    <w:rsid w:val="00382095"/>
    <w:rsid w:val="003828D5"/>
    <w:rsid w:val="00383A3E"/>
    <w:rsid w:val="00384AD0"/>
    <w:rsid w:val="00386EDC"/>
    <w:rsid w:val="00387A8A"/>
    <w:rsid w:val="00390537"/>
    <w:rsid w:val="003910DB"/>
    <w:rsid w:val="003936B0"/>
    <w:rsid w:val="00394B93"/>
    <w:rsid w:val="00395475"/>
    <w:rsid w:val="00395BC8"/>
    <w:rsid w:val="00397A5B"/>
    <w:rsid w:val="003A1E5E"/>
    <w:rsid w:val="003A3358"/>
    <w:rsid w:val="003A3B65"/>
    <w:rsid w:val="003A5147"/>
    <w:rsid w:val="003A5F18"/>
    <w:rsid w:val="003A6AE9"/>
    <w:rsid w:val="003B307F"/>
    <w:rsid w:val="003B40E9"/>
    <w:rsid w:val="003B54DD"/>
    <w:rsid w:val="003B5ECA"/>
    <w:rsid w:val="003B5F27"/>
    <w:rsid w:val="003B69E1"/>
    <w:rsid w:val="003B6A3F"/>
    <w:rsid w:val="003C1BBA"/>
    <w:rsid w:val="003C1C4D"/>
    <w:rsid w:val="003C2A2F"/>
    <w:rsid w:val="003C5AEF"/>
    <w:rsid w:val="003C6A31"/>
    <w:rsid w:val="003D06D8"/>
    <w:rsid w:val="003D2DC4"/>
    <w:rsid w:val="003D39E3"/>
    <w:rsid w:val="003D6FB6"/>
    <w:rsid w:val="003E368F"/>
    <w:rsid w:val="003E52D0"/>
    <w:rsid w:val="003E5D78"/>
    <w:rsid w:val="003E68B4"/>
    <w:rsid w:val="003E71C6"/>
    <w:rsid w:val="003F09D2"/>
    <w:rsid w:val="003F26E4"/>
    <w:rsid w:val="003F49D7"/>
    <w:rsid w:val="003F4AD0"/>
    <w:rsid w:val="003F534F"/>
    <w:rsid w:val="003F6B1D"/>
    <w:rsid w:val="003F6E5E"/>
    <w:rsid w:val="00401314"/>
    <w:rsid w:val="00401F0F"/>
    <w:rsid w:val="0040298C"/>
    <w:rsid w:val="004039A5"/>
    <w:rsid w:val="0040747F"/>
    <w:rsid w:val="00414AF0"/>
    <w:rsid w:val="004159E9"/>
    <w:rsid w:val="0041673B"/>
    <w:rsid w:val="00416C92"/>
    <w:rsid w:val="00420728"/>
    <w:rsid w:val="00422F27"/>
    <w:rsid w:val="004238B2"/>
    <w:rsid w:val="00425447"/>
    <w:rsid w:val="004254D8"/>
    <w:rsid w:val="00425808"/>
    <w:rsid w:val="00426865"/>
    <w:rsid w:val="004316B7"/>
    <w:rsid w:val="00436647"/>
    <w:rsid w:val="00437870"/>
    <w:rsid w:val="00440AD3"/>
    <w:rsid w:val="004427D8"/>
    <w:rsid w:val="00444294"/>
    <w:rsid w:val="004442E4"/>
    <w:rsid w:val="004454FD"/>
    <w:rsid w:val="004460CA"/>
    <w:rsid w:val="004469D7"/>
    <w:rsid w:val="00450A52"/>
    <w:rsid w:val="00450A68"/>
    <w:rsid w:val="00454C54"/>
    <w:rsid w:val="00454DF5"/>
    <w:rsid w:val="00456321"/>
    <w:rsid w:val="0046159D"/>
    <w:rsid w:val="00462FDC"/>
    <w:rsid w:val="0047402B"/>
    <w:rsid w:val="00474872"/>
    <w:rsid w:val="00476865"/>
    <w:rsid w:val="00482E0A"/>
    <w:rsid w:val="00484363"/>
    <w:rsid w:val="004875F8"/>
    <w:rsid w:val="00490E9C"/>
    <w:rsid w:val="00493FC8"/>
    <w:rsid w:val="004979FD"/>
    <w:rsid w:val="00497C55"/>
    <w:rsid w:val="004A13C3"/>
    <w:rsid w:val="004A1C2E"/>
    <w:rsid w:val="004A1F01"/>
    <w:rsid w:val="004A308B"/>
    <w:rsid w:val="004A3B15"/>
    <w:rsid w:val="004A574B"/>
    <w:rsid w:val="004A65E9"/>
    <w:rsid w:val="004A78DF"/>
    <w:rsid w:val="004B0909"/>
    <w:rsid w:val="004B39DE"/>
    <w:rsid w:val="004B77A3"/>
    <w:rsid w:val="004C21DF"/>
    <w:rsid w:val="004C3DF4"/>
    <w:rsid w:val="004C5868"/>
    <w:rsid w:val="004C7C2F"/>
    <w:rsid w:val="004C7F23"/>
    <w:rsid w:val="004D0CBD"/>
    <w:rsid w:val="004D35F9"/>
    <w:rsid w:val="004D392D"/>
    <w:rsid w:val="004D419B"/>
    <w:rsid w:val="004D4883"/>
    <w:rsid w:val="004D4AF1"/>
    <w:rsid w:val="004D6736"/>
    <w:rsid w:val="004E055D"/>
    <w:rsid w:val="004E2FD3"/>
    <w:rsid w:val="004E4D81"/>
    <w:rsid w:val="004F0ADF"/>
    <w:rsid w:val="004F15B5"/>
    <w:rsid w:val="004F3164"/>
    <w:rsid w:val="00500BA4"/>
    <w:rsid w:val="005035FB"/>
    <w:rsid w:val="00510570"/>
    <w:rsid w:val="00511D06"/>
    <w:rsid w:val="005166DF"/>
    <w:rsid w:val="00520409"/>
    <w:rsid w:val="00521D7C"/>
    <w:rsid w:val="00525141"/>
    <w:rsid w:val="00525DE5"/>
    <w:rsid w:val="00525E69"/>
    <w:rsid w:val="0053372E"/>
    <w:rsid w:val="00533DE9"/>
    <w:rsid w:val="00535EF4"/>
    <w:rsid w:val="00536751"/>
    <w:rsid w:val="0054203F"/>
    <w:rsid w:val="00543DC3"/>
    <w:rsid w:val="00546CB4"/>
    <w:rsid w:val="0055007D"/>
    <w:rsid w:val="00552190"/>
    <w:rsid w:val="00553689"/>
    <w:rsid w:val="00555D3A"/>
    <w:rsid w:val="005605BB"/>
    <w:rsid w:val="00562137"/>
    <w:rsid w:val="00563B1A"/>
    <w:rsid w:val="00565BC7"/>
    <w:rsid w:val="005707BE"/>
    <w:rsid w:val="0057091D"/>
    <w:rsid w:val="0057517D"/>
    <w:rsid w:val="00576B94"/>
    <w:rsid w:val="00576C9A"/>
    <w:rsid w:val="00577E9A"/>
    <w:rsid w:val="005809F0"/>
    <w:rsid w:val="00580DEB"/>
    <w:rsid w:val="00582F00"/>
    <w:rsid w:val="00583046"/>
    <w:rsid w:val="005852B3"/>
    <w:rsid w:val="00586513"/>
    <w:rsid w:val="00593791"/>
    <w:rsid w:val="005942F0"/>
    <w:rsid w:val="00595E34"/>
    <w:rsid w:val="00595E3E"/>
    <w:rsid w:val="00596921"/>
    <w:rsid w:val="00597D11"/>
    <w:rsid w:val="005A0288"/>
    <w:rsid w:val="005A0ED7"/>
    <w:rsid w:val="005A218E"/>
    <w:rsid w:val="005A2471"/>
    <w:rsid w:val="005A73C5"/>
    <w:rsid w:val="005A76DD"/>
    <w:rsid w:val="005B2A88"/>
    <w:rsid w:val="005B35DC"/>
    <w:rsid w:val="005B523A"/>
    <w:rsid w:val="005C0F31"/>
    <w:rsid w:val="005C4A87"/>
    <w:rsid w:val="005C4B6B"/>
    <w:rsid w:val="005C5FC4"/>
    <w:rsid w:val="005C6762"/>
    <w:rsid w:val="005D1C0C"/>
    <w:rsid w:val="005D3B34"/>
    <w:rsid w:val="005D4A8C"/>
    <w:rsid w:val="005D4E6C"/>
    <w:rsid w:val="005D61F3"/>
    <w:rsid w:val="005D711D"/>
    <w:rsid w:val="005D7565"/>
    <w:rsid w:val="005D7CB0"/>
    <w:rsid w:val="005E17A3"/>
    <w:rsid w:val="005E1EF8"/>
    <w:rsid w:val="005E371A"/>
    <w:rsid w:val="005E44FE"/>
    <w:rsid w:val="005E5417"/>
    <w:rsid w:val="005E5C07"/>
    <w:rsid w:val="005E63AD"/>
    <w:rsid w:val="005E6C62"/>
    <w:rsid w:val="005F3779"/>
    <w:rsid w:val="005F4828"/>
    <w:rsid w:val="005F4B1F"/>
    <w:rsid w:val="005F5C63"/>
    <w:rsid w:val="005F6180"/>
    <w:rsid w:val="005F6489"/>
    <w:rsid w:val="005F64F4"/>
    <w:rsid w:val="005F7096"/>
    <w:rsid w:val="005F7CFE"/>
    <w:rsid w:val="0060039A"/>
    <w:rsid w:val="0060055C"/>
    <w:rsid w:val="00600985"/>
    <w:rsid w:val="00600C05"/>
    <w:rsid w:val="00601708"/>
    <w:rsid w:val="00604304"/>
    <w:rsid w:val="00605B5B"/>
    <w:rsid w:val="00611C38"/>
    <w:rsid w:val="00612967"/>
    <w:rsid w:val="00613116"/>
    <w:rsid w:val="006156E8"/>
    <w:rsid w:val="00617833"/>
    <w:rsid w:val="00617B0F"/>
    <w:rsid w:val="006206B4"/>
    <w:rsid w:val="0062085C"/>
    <w:rsid w:val="0062098B"/>
    <w:rsid w:val="00624FCA"/>
    <w:rsid w:val="006254DD"/>
    <w:rsid w:val="006265D3"/>
    <w:rsid w:val="00626661"/>
    <w:rsid w:val="00630090"/>
    <w:rsid w:val="00631271"/>
    <w:rsid w:val="006357C7"/>
    <w:rsid w:val="0064099E"/>
    <w:rsid w:val="00640E15"/>
    <w:rsid w:val="00641336"/>
    <w:rsid w:val="006473A9"/>
    <w:rsid w:val="006515D1"/>
    <w:rsid w:val="006520AC"/>
    <w:rsid w:val="00653A55"/>
    <w:rsid w:val="00653A70"/>
    <w:rsid w:val="00653C1F"/>
    <w:rsid w:val="00654679"/>
    <w:rsid w:val="006550C4"/>
    <w:rsid w:val="00655290"/>
    <w:rsid w:val="00656984"/>
    <w:rsid w:val="006569BF"/>
    <w:rsid w:val="00657D8A"/>
    <w:rsid w:val="00657E1F"/>
    <w:rsid w:val="00662F8D"/>
    <w:rsid w:val="0066407E"/>
    <w:rsid w:val="0066428B"/>
    <w:rsid w:val="00665185"/>
    <w:rsid w:val="00665619"/>
    <w:rsid w:val="006664DA"/>
    <w:rsid w:val="0066793C"/>
    <w:rsid w:val="00667B77"/>
    <w:rsid w:val="006714ED"/>
    <w:rsid w:val="00672EF5"/>
    <w:rsid w:val="00673DA7"/>
    <w:rsid w:val="0067489C"/>
    <w:rsid w:val="006769FA"/>
    <w:rsid w:val="00676CFD"/>
    <w:rsid w:val="00677CB1"/>
    <w:rsid w:val="00680EED"/>
    <w:rsid w:val="0068129C"/>
    <w:rsid w:val="006833B7"/>
    <w:rsid w:val="0068417E"/>
    <w:rsid w:val="00684F76"/>
    <w:rsid w:val="00687548"/>
    <w:rsid w:val="00687909"/>
    <w:rsid w:val="00692D66"/>
    <w:rsid w:val="0069316E"/>
    <w:rsid w:val="00693EFB"/>
    <w:rsid w:val="006941B3"/>
    <w:rsid w:val="0069436B"/>
    <w:rsid w:val="00695306"/>
    <w:rsid w:val="006A07BC"/>
    <w:rsid w:val="006A3DA6"/>
    <w:rsid w:val="006A411D"/>
    <w:rsid w:val="006A4C4C"/>
    <w:rsid w:val="006A6C14"/>
    <w:rsid w:val="006B076B"/>
    <w:rsid w:val="006B106B"/>
    <w:rsid w:val="006B3B70"/>
    <w:rsid w:val="006B6995"/>
    <w:rsid w:val="006C0CB0"/>
    <w:rsid w:val="006C0D75"/>
    <w:rsid w:val="006C1886"/>
    <w:rsid w:val="006C1F0F"/>
    <w:rsid w:val="006C2A90"/>
    <w:rsid w:val="006C4C12"/>
    <w:rsid w:val="006C7DBA"/>
    <w:rsid w:val="006D1361"/>
    <w:rsid w:val="006D390E"/>
    <w:rsid w:val="006D57FF"/>
    <w:rsid w:val="006D6049"/>
    <w:rsid w:val="006D71F8"/>
    <w:rsid w:val="006E25EB"/>
    <w:rsid w:val="006E27B5"/>
    <w:rsid w:val="006E2E12"/>
    <w:rsid w:val="006E5555"/>
    <w:rsid w:val="006E716A"/>
    <w:rsid w:val="00700994"/>
    <w:rsid w:val="00705B20"/>
    <w:rsid w:val="00705BBB"/>
    <w:rsid w:val="00710EE0"/>
    <w:rsid w:val="00712E1E"/>
    <w:rsid w:val="00712E37"/>
    <w:rsid w:val="007130F0"/>
    <w:rsid w:val="007174B4"/>
    <w:rsid w:val="00720370"/>
    <w:rsid w:val="00720F5F"/>
    <w:rsid w:val="00725678"/>
    <w:rsid w:val="007259B4"/>
    <w:rsid w:val="0072626F"/>
    <w:rsid w:val="00727131"/>
    <w:rsid w:val="00730BBA"/>
    <w:rsid w:val="007311B2"/>
    <w:rsid w:val="00732AEA"/>
    <w:rsid w:val="0073337F"/>
    <w:rsid w:val="007362B5"/>
    <w:rsid w:val="007417B0"/>
    <w:rsid w:val="007420FA"/>
    <w:rsid w:val="00742479"/>
    <w:rsid w:val="0074626A"/>
    <w:rsid w:val="00750B3A"/>
    <w:rsid w:val="0075158B"/>
    <w:rsid w:val="00752194"/>
    <w:rsid w:val="00756CB7"/>
    <w:rsid w:val="00760AF3"/>
    <w:rsid w:val="007615D6"/>
    <w:rsid w:val="0076582A"/>
    <w:rsid w:val="00770CA8"/>
    <w:rsid w:val="007732A1"/>
    <w:rsid w:val="00774728"/>
    <w:rsid w:val="007751FB"/>
    <w:rsid w:val="0077688F"/>
    <w:rsid w:val="00776E1D"/>
    <w:rsid w:val="00780E07"/>
    <w:rsid w:val="007811A5"/>
    <w:rsid w:val="00791880"/>
    <w:rsid w:val="00791C81"/>
    <w:rsid w:val="00792B8E"/>
    <w:rsid w:val="0079443C"/>
    <w:rsid w:val="00795976"/>
    <w:rsid w:val="007A2361"/>
    <w:rsid w:val="007A28FA"/>
    <w:rsid w:val="007A3EB0"/>
    <w:rsid w:val="007A4292"/>
    <w:rsid w:val="007A4788"/>
    <w:rsid w:val="007A5D2D"/>
    <w:rsid w:val="007B0566"/>
    <w:rsid w:val="007B62AA"/>
    <w:rsid w:val="007C0229"/>
    <w:rsid w:val="007C02DD"/>
    <w:rsid w:val="007C52A1"/>
    <w:rsid w:val="007D07B8"/>
    <w:rsid w:val="007D0809"/>
    <w:rsid w:val="007D16B7"/>
    <w:rsid w:val="007D6277"/>
    <w:rsid w:val="007D7406"/>
    <w:rsid w:val="007E1F54"/>
    <w:rsid w:val="007E4839"/>
    <w:rsid w:val="007E5CFB"/>
    <w:rsid w:val="007E6E60"/>
    <w:rsid w:val="007E6FE1"/>
    <w:rsid w:val="007F3660"/>
    <w:rsid w:val="007F77E7"/>
    <w:rsid w:val="008002A1"/>
    <w:rsid w:val="0080297A"/>
    <w:rsid w:val="00805924"/>
    <w:rsid w:val="008060E6"/>
    <w:rsid w:val="00807338"/>
    <w:rsid w:val="00810A41"/>
    <w:rsid w:val="0081485A"/>
    <w:rsid w:val="008164B5"/>
    <w:rsid w:val="00821E6C"/>
    <w:rsid w:val="00822456"/>
    <w:rsid w:val="0082335A"/>
    <w:rsid w:val="00823405"/>
    <w:rsid w:val="008238FF"/>
    <w:rsid w:val="00823A7D"/>
    <w:rsid w:val="00823F35"/>
    <w:rsid w:val="00826A21"/>
    <w:rsid w:val="008279C6"/>
    <w:rsid w:val="00830D1D"/>
    <w:rsid w:val="00830EE4"/>
    <w:rsid w:val="008317F7"/>
    <w:rsid w:val="00831C60"/>
    <w:rsid w:val="00836C30"/>
    <w:rsid w:val="00836EAC"/>
    <w:rsid w:val="00842BE2"/>
    <w:rsid w:val="008435C9"/>
    <w:rsid w:val="00845107"/>
    <w:rsid w:val="008470E0"/>
    <w:rsid w:val="00852843"/>
    <w:rsid w:val="00854D22"/>
    <w:rsid w:val="00856B93"/>
    <w:rsid w:val="00860E1B"/>
    <w:rsid w:val="008622E0"/>
    <w:rsid w:val="00862412"/>
    <w:rsid w:val="008644CB"/>
    <w:rsid w:val="00865A7D"/>
    <w:rsid w:val="00866CDE"/>
    <w:rsid w:val="008675A7"/>
    <w:rsid w:val="00870368"/>
    <w:rsid w:val="00871408"/>
    <w:rsid w:val="00871CC6"/>
    <w:rsid w:val="00873864"/>
    <w:rsid w:val="00874302"/>
    <w:rsid w:val="008747BC"/>
    <w:rsid w:val="00874DC7"/>
    <w:rsid w:val="008807A7"/>
    <w:rsid w:val="008809F0"/>
    <w:rsid w:val="0088401A"/>
    <w:rsid w:val="0088420B"/>
    <w:rsid w:val="0088467F"/>
    <w:rsid w:val="0088558D"/>
    <w:rsid w:val="008857C0"/>
    <w:rsid w:val="00886A00"/>
    <w:rsid w:val="008937AD"/>
    <w:rsid w:val="00894698"/>
    <w:rsid w:val="00896C0C"/>
    <w:rsid w:val="00897663"/>
    <w:rsid w:val="008A3219"/>
    <w:rsid w:val="008A5CA7"/>
    <w:rsid w:val="008B107D"/>
    <w:rsid w:val="008B42C6"/>
    <w:rsid w:val="008B51D3"/>
    <w:rsid w:val="008B5381"/>
    <w:rsid w:val="008B5BCD"/>
    <w:rsid w:val="008B6179"/>
    <w:rsid w:val="008C0468"/>
    <w:rsid w:val="008C0BBB"/>
    <w:rsid w:val="008C5F49"/>
    <w:rsid w:val="008D04AA"/>
    <w:rsid w:val="008D1206"/>
    <w:rsid w:val="008D24A5"/>
    <w:rsid w:val="008D40C7"/>
    <w:rsid w:val="008D46B2"/>
    <w:rsid w:val="008D75D8"/>
    <w:rsid w:val="008D7D3F"/>
    <w:rsid w:val="008E509E"/>
    <w:rsid w:val="008E5E2E"/>
    <w:rsid w:val="008E6F67"/>
    <w:rsid w:val="008F4EDD"/>
    <w:rsid w:val="008F5FC1"/>
    <w:rsid w:val="008F727B"/>
    <w:rsid w:val="00903C23"/>
    <w:rsid w:val="00905B4B"/>
    <w:rsid w:val="00906DBC"/>
    <w:rsid w:val="00906E00"/>
    <w:rsid w:val="00906F01"/>
    <w:rsid w:val="009071A1"/>
    <w:rsid w:val="0091392C"/>
    <w:rsid w:val="009140EA"/>
    <w:rsid w:val="0091517C"/>
    <w:rsid w:val="00916500"/>
    <w:rsid w:val="0092038E"/>
    <w:rsid w:val="0092120A"/>
    <w:rsid w:val="00924323"/>
    <w:rsid w:val="00924FB9"/>
    <w:rsid w:val="00932811"/>
    <w:rsid w:val="00934DB0"/>
    <w:rsid w:val="00936B9F"/>
    <w:rsid w:val="009425AC"/>
    <w:rsid w:val="009442BE"/>
    <w:rsid w:val="00945FDB"/>
    <w:rsid w:val="00950F6C"/>
    <w:rsid w:val="009513C0"/>
    <w:rsid w:val="00956ECF"/>
    <w:rsid w:val="00960B46"/>
    <w:rsid w:val="009621D6"/>
    <w:rsid w:val="00962D58"/>
    <w:rsid w:val="00967875"/>
    <w:rsid w:val="00967EEA"/>
    <w:rsid w:val="00970750"/>
    <w:rsid w:val="009744F7"/>
    <w:rsid w:val="00976C60"/>
    <w:rsid w:val="009775EE"/>
    <w:rsid w:val="00980099"/>
    <w:rsid w:val="009823B1"/>
    <w:rsid w:val="00982FAB"/>
    <w:rsid w:val="0098305D"/>
    <w:rsid w:val="00983DC4"/>
    <w:rsid w:val="00985E4F"/>
    <w:rsid w:val="009865B0"/>
    <w:rsid w:val="009878EC"/>
    <w:rsid w:val="00987ECF"/>
    <w:rsid w:val="009911CF"/>
    <w:rsid w:val="0099401A"/>
    <w:rsid w:val="00994E78"/>
    <w:rsid w:val="00994FBD"/>
    <w:rsid w:val="00996862"/>
    <w:rsid w:val="009A11C1"/>
    <w:rsid w:val="009A20C8"/>
    <w:rsid w:val="009A4BC7"/>
    <w:rsid w:val="009A5E2D"/>
    <w:rsid w:val="009B0AF3"/>
    <w:rsid w:val="009B0EC4"/>
    <w:rsid w:val="009B27C6"/>
    <w:rsid w:val="009B5FD8"/>
    <w:rsid w:val="009C7ED9"/>
    <w:rsid w:val="009D08A2"/>
    <w:rsid w:val="009D19E2"/>
    <w:rsid w:val="009D321C"/>
    <w:rsid w:val="009D4567"/>
    <w:rsid w:val="009D4F8C"/>
    <w:rsid w:val="009D5179"/>
    <w:rsid w:val="009D7528"/>
    <w:rsid w:val="009D7D83"/>
    <w:rsid w:val="009D7EF5"/>
    <w:rsid w:val="009E1929"/>
    <w:rsid w:val="009E564D"/>
    <w:rsid w:val="009E6CDA"/>
    <w:rsid w:val="009F0864"/>
    <w:rsid w:val="009F2CAB"/>
    <w:rsid w:val="009F339A"/>
    <w:rsid w:val="009F62F9"/>
    <w:rsid w:val="00A0024B"/>
    <w:rsid w:val="00A008E2"/>
    <w:rsid w:val="00A04292"/>
    <w:rsid w:val="00A0694C"/>
    <w:rsid w:val="00A12469"/>
    <w:rsid w:val="00A13493"/>
    <w:rsid w:val="00A1450B"/>
    <w:rsid w:val="00A15A02"/>
    <w:rsid w:val="00A20839"/>
    <w:rsid w:val="00A24B56"/>
    <w:rsid w:val="00A30602"/>
    <w:rsid w:val="00A34BF3"/>
    <w:rsid w:val="00A35265"/>
    <w:rsid w:val="00A36DC4"/>
    <w:rsid w:val="00A36DDA"/>
    <w:rsid w:val="00A42062"/>
    <w:rsid w:val="00A42736"/>
    <w:rsid w:val="00A430D3"/>
    <w:rsid w:val="00A43E2D"/>
    <w:rsid w:val="00A44DFA"/>
    <w:rsid w:val="00A4628C"/>
    <w:rsid w:val="00A50591"/>
    <w:rsid w:val="00A51980"/>
    <w:rsid w:val="00A52097"/>
    <w:rsid w:val="00A52469"/>
    <w:rsid w:val="00A53DE1"/>
    <w:rsid w:val="00A53F6A"/>
    <w:rsid w:val="00A53F90"/>
    <w:rsid w:val="00A550EC"/>
    <w:rsid w:val="00A577A1"/>
    <w:rsid w:val="00A60BC0"/>
    <w:rsid w:val="00A64C4A"/>
    <w:rsid w:val="00A65C9A"/>
    <w:rsid w:val="00A65E26"/>
    <w:rsid w:val="00A6612E"/>
    <w:rsid w:val="00A7565E"/>
    <w:rsid w:val="00A80D14"/>
    <w:rsid w:val="00A80D76"/>
    <w:rsid w:val="00A8477E"/>
    <w:rsid w:val="00A84B21"/>
    <w:rsid w:val="00A8635A"/>
    <w:rsid w:val="00A87793"/>
    <w:rsid w:val="00A90C0B"/>
    <w:rsid w:val="00A91462"/>
    <w:rsid w:val="00A92DA7"/>
    <w:rsid w:val="00A93700"/>
    <w:rsid w:val="00A9430A"/>
    <w:rsid w:val="00A94A3A"/>
    <w:rsid w:val="00A97996"/>
    <w:rsid w:val="00A97C04"/>
    <w:rsid w:val="00AA1246"/>
    <w:rsid w:val="00AA3245"/>
    <w:rsid w:val="00AA68EC"/>
    <w:rsid w:val="00AB1DC8"/>
    <w:rsid w:val="00AB56A5"/>
    <w:rsid w:val="00AB75A7"/>
    <w:rsid w:val="00AB75DF"/>
    <w:rsid w:val="00AC0C70"/>
    <w:rsid w:val="00AC100D"/>
    <w:rsid w:val="00AC1267"/>
    <w:rsid w:val="00AC2120"/>
    <w:rsid w:val="00AC2B5F"/>
    <w:rsid w:val="00AC2B65"/>
    <w:rsid w:val="00AC3061"/>
    <w:rsid w:val="00AC3FCA"/>
    <w:rsid w:val="00AC7B3A"/>
    <w:rsid w:val="00AD0A7E"/>
    <w:rsid w:val="00AD3795"/>
    <w:rsid w:val="00AD69E6"/>
    <w:rsid w:val="00AD7BEB"/>
    <w:rsid w:val="00AE041B"/>
    <w:rsid w:val="00AE19EE"/>
    <w:rsid w:val="00AE25D0"/>
    <w:rsid w:val="00AE2630"/>
    <w:rsid w:val="00AE4A20"/>
    <w:rsid w:val="00AF10BE"/>
    <w:rsid w:val="00AF3316"/>
    <w:rsid w:val="00AF76DD"/>
    <w:rsid w:val="00AF7ADA"/>
    <w:rsid w:val="00B00072"/>
    <w:rsid w:val="00B00DFB"/>
    <w:rsid w:val="00B01D8A"/>
    <w:rsid w:val="00B02210"/>
    <w:rsid w:val="00B035C4"/>
    <w:rsid w:val="00B14029"/>
    <w:rsid w:val="00B143B0"/>
    <w:rsid w:val="00B14D72"/>
    <w:rsid w:val="00B15110"/>
    <w:rsid w:val="00B158D0"/>
    <w:rsid w:val="00B232C0"/>
    <w:rsid w:val="00B23709"/>
    <w:rsid w:val="00B25D59"/>
    <w:rsid w:val="00B30020"/>
    <w:rsid w:val="00B32E48"/>
    <w:rsid w:val="00B35870"/>
    <w:rsid w:val="00B40FB3"/>
    <w:rsid w:val="00B41548"/>
    <w:rsid w:val="00B439B5"/>
    <w:rsid w:val="00B501B7"/>
    <w:rsid w:val="00B50A8E"/>
    <w:rsid w:val="00B510F4"/>
    <w:rsid w:val="00B520D8"/>
    <w:rsid w:val="00B531B7"/>
    <w:rsid w:val="00B53444"/>
    <w:rsid w:val="00B550D9"/>
    <w:rsid w:val="00B55F73"/>
    <w:rsid w:val="00B56EDE"/>
    <w:rsid w:val="00B57E9C"/>
    <w:rsid w:val="00B64122"/>
    <w:rsid w:val="00B64A3D"/>
    <w:rsid w:val="00B660D2"/>
    <w:rsid w:val="00B760E2"/>
    <w:rsid w:val="00B7731F"/>
    <w:rsid w:val="00B81336"/>
    <w:rsid w:val="00B820D4"/>
    <w:rsid w:val="00B83381"/>
    <w:rsid w:val="00B84882"/>
    <w:rsid w:val="00B86601"/>
    <w:rsid w:val="00B86E16"/>
    <w:rsid w:val="00B901E7"/>
    <w:rsid w:val="00B905B1"/>
    <w:rsid w:val="00B90C9B"/>
    <w:rsid w:val="00B91660"/>
    <w:rsid w:val="00B92873"/>
    <w:rsid w:val="00B95BD6"/>
    <w:rsid w:val="00B97871"/>
    <w:rsid w:val="00BA1B68"/>
    <w:rsid w:val="00BA3867"/>
    <w:rsid w:val="00BA49C8"/>
    <w:rsid w:val="00BA65AD"/>
    <w:rsid w:val="00BB0CE8"/>
    <w:rsid w:val="00BB42B6"/>
    <w:rsid w:val="00BB457B"/>
    <w:rsid w:val="00BB4ADD"/>
    <w:rsid w:val="00BB4EE6"/>
    <w:rsid w:val="00BC2AC9"/>
    <w:rsid w:val="00BC2E02"/>
    <w:rsid w:val="00BC67F8"/>
    <w:rsid w:val="00BD077C"/>
    <w:rsid w:val="00BD3AA6"/>
    <w:rsid w:val="00BD4CEC"/>
    <w:rsid w:val="00BD7FCE"/>
    <w:rsid w:val="00BE0E46"/>
    <w:rsid w:val="00BE3A99"/>
    <w:rsid w:val="00BE464C"/>
    <w:rsid w:val="00BE4E33"/>
    <w:rsid w:val="00BE6EAF"/>
    <w:rsid w:val="00BE6F5D"/>
    <w:rsid w:val="00BE7DEC"/>
    <w:rsid w:val="00BF0985"/>
    <w:rsid w:val="00BF1DFF"/>
    <w:rsid w:val="00BF2E3B"/>
    <w:rsid w:val="00BF3B6E"/>
    <w:rsid w:val="00BF73B2"/>
    <w:rsid w:val="00C0125D"/>
    <w:rsid w:val="00C01D89"/>
    <w:rsid w:val="00C040A8"/>
    <w:rsid w:val="00C04D51"/>
    <w:rsid w:val="00C0781B"/>
    <w:rsid w:val="00C10462"/>
    <w:rsid w:val="00C106E4"/>
    <w:rsid w:val="00C11964"/>
    <w:rsid w:val="00C11EB4"/>
    <w:rsid w:val="00C12D8E"/>
    <w:rsid w:val="00C13348"/>
    <w:rsid w:val="00C14506"/>
    <w:rsid w:val="00C151D0"/>
    <w:rsid w:val="00C16799"/>
    <w:rsid w:val="00C207F5"/>
    <w:rsid w:val="00C2402B"/>
    <w:rsid w:val="00C25309"/>
    <w:rsid w:val="00C253CA"/>
    <w:rsid w:val="00C266AF"/>
    <w:rsid w:val="00C2731D"/>
    <w:rsid w:val="00C3157D"/>
    <w:rsid w:val="00C321D3"/>
    <w:rsid w:val="00C326CC"/>
    <w:rsid w:val="00C333C3"/>
    <w:rsid w:val="00C341AC"/>
    <w:rsid w:val="00C34A66"/>
    <w:rsid w:val="00C34DB6"/>
    <w:rsid w:val="00C356BD"/>
    <w:rsid w:val="00C35ADB"/>
    <w:rsid w:val="00C36A0E"/>
    <w:rsid w:val="00C40988"/>
    <w:rsid w:val="00C4787E"/>
    <w:rsid w:val="00C47954"/>
    <w:rsid w:val="00C47969"/>
    <w:rsid w:val="00C479FB"/>
    <w:rsid w:val="00C51121"/>
    <w:rsid w:val="00C567C5"/>
    <w:rsid w:val="00C618BF"/>
    <w:rsid w:val="00C64F52"/>
    <w:rsid w:val="00C653A6"/>
    <w:rsid w:val="00C657DF"/>
    <w:rsid w:val="00C65996"/>
    <w:rsid w:val="00C72032"/>
    <w:rsid w:val="00C7300A"/>
    <w:rsid w:val="00C7429C"/>
    <w:rsid w:val="00C77E69"/>
    <w:rsid w:val="00C828FE"/>
    <w:rsid w:val="00C835A9"/>
    <w:rsid w:val="00C9001E"/>
    <w:rsid w:val="00C90D7D"/>
    <w:rsid w:val="00C93379"/>
    <w:rsid w:val="00C96313"/>
    <w:rsid w:val="00CA29F8"/>
    <w:rsid w:val="00CA2F59"/>
    <w:rsid w:val="00CB08C7"/>
    <w:rsid w:val="00CB0E81"/>
    <w:rsid w:val="00CB56A0"/>
    <w:rsid w:val="00CB6DFB"/>
    <w:rsid w:val="00CC112E"/>
    <w:rsid w:val="00CC4B12"/>
    <w:rsid w:val="00CC74DF"/>
    <w:rsid w:val="00CC7F96"/>
    <w:rsid w:val="00CD4D2D"/>
    <w:rsid w:val="00CD6EED"/>
    <w:rsid w:val="00CE0294"/>
    <w:rsid w:val="00CE6138"/>
    <w:rsid w:val="00CE6243"/>
    <w:rsid w:val="00CE7404"/>
    <w:rsid w:val="00CE755F"/>
    <w:rsid w:val="00CF1648"/>
    <w:rsid w:val="00CF298C"/>
    <w:rsid w:val="00CF34F0"/>
    <w:rsid w:val="00CF3FCC"/>
    <w:rsid w:val="00CF4163"/>
    <w:rsid w:val="00CF5BD5"/>
    <w:rsid w:val="00CF683A"/>
    <w:rsid w:val="00D01DD6"/>
    <w:rsid w:val="00D01FA4"/>
    <w:rsid w:val="00D035AD"/>
    <w:rsid w:val="00D046C6"/>
    <w:rsid w:val="00D11B7F"/>
    <w:rsid w:val="00D15A91"/>
    <w:rsid w:val="00D17331"/>
    <w:rsid w:val="00D20048"/>
    <w:rsid w:val="00D23ACC"/>
    <w:rsid w:val="00D26F5B"/>
    <w:rsid w:val="00D31215"/>
    <w:rsid w:val="00D31EC4"/>
    <w:rsid w:val="00D320B6"/>
    <w:rsid w:val="00D32CE3"/>
    <w:rsid w:val="00D34C2B"/>
    <w:rsid w:val="00D4033A"/>
    <w:rsid w:val="00D40D2D"/>
    <w:rsid w:val="00D45397"/>
    <w:rsid w:val="00D55CC7"/>
    <w:rsid w:val="00D60158"/>
    <w:rsid w:val="00D629C1"/>
    <w:rsid w:val="00D64BB6"/>
    <w:rsid w:val="00D65B69"/>
    <w:rsid w:val="00D65C24"/>
    <w:rsid w:val="00D66AED"/>
    <w:rsid w:val="00D672CB"/>
    <w:rsid w:val="00D67DFB"/>
    <w:rsid w:val="00D70B0E"/>
    <w:rsid w:val="00D72619"/>
    <w:rsid w:val="00D74B30"/>
    <w:rsid w:val="00D74FF4"/>
    <w:rsid w:val="00D751C9"/>
    <w:rsid w:val="00D86957"/>
    <w:rsid w:val="00D9011C"/>
    <w:rsid w:val="00D90A74"/>
    <w:rsid w:val="00D91AEC"/>
    <w:rsid w:val="00D91BEE"/>
    <w:rsid w:val="00D93A75"/>
    <w:rsid w:val="00D93FB8"/>
    <w:rsid w:val="00D94632"/>
    <w:rsid w:val="00D95FF1"/>
    <w:rsid w:val="00D96825"/>
    <w:rsid w:val="00DA0C92"/>
    <w:rsid w:val="00DA2071"/>
    <w:rsid w:val="00DA5F1F"/>
    <w:rsid w:val="00DB14AF"/>
    <w:rsid w:val="00DB779E"/>
    <w:rsid w:val="00DC05C3"/>
    <w:rsid w:val="00DC13EC"/>
    <w:rsid w:val="00DC1BFE"/>
    <w:rsid w:val="00DC26D1"/>
    <w:rsid w:val="00DC3657"/>
    <w:rsid w:val="00DC3734"/>
    <w:rsid w:val="00DC5B7B"/>
    <w:rsid w:val="00DD25BB"/>
    <w:rsid w:val="00DD2C32"/>
    <w:rsid w:val="00DD419E"/>
    <w:rsid w:val="00DD4CFF"/>
    <w:rsid w:val="00DD67CF"/>
    <w:rsid w:val="00DD776B"/>
    <w:rsid w:val="00DE0D2A"/>
    <w:rsid w:val="00DE3FF1"/>
    <w:rsid w:val="00DE4C36"/>
    <w:rsid w:val="00DE56F6"/>
    <w:rsid w:val="00DE6C3B"/>
    <w:rsid w:val="00DF12E1"/>
    <w:rsid w:val="00DF32E8"/>
    <w:rsid w:val="00DF4ED3"/>
    <w:rsid w:val="00E0260A"/>
    <w:rsid w:val="00E03F64"/>
    <w:rsid w:val="00E10026"/>
    <w:rsid w:val="00E14BA8"/>
    <w:rsid w:val="00E1649C"/>
    <w:rsid w:val="00E214C6"/>
    <w:rsid w:val="00E23930"/>
    <w:rsid w:val="00E23D60"/>
    <w:rsid w:val="00E25D22"/>
    <w:rsid w:val="00E32880"/>
    <w:rsid w:val="00E338A8"/>
    <w:rsid w:val="00E4284E"/>
    <w:rsid w:val="00E43B3A"/>
    <w:rsid w:val="00E5269C"/>
    <w:rsid w:val="00E531FA"/>
    <w:rsid w:val="00E55459"/>
    <w:rsid w:val="00E57C3E"/>
    <w:rsid w:val="00E613D2"/>
    <w:rsid w:val="00E6214C"/>
    <w:rsid w:val="00E6292C"/>
    <w:rsid w:val="00E63473"/>
    <w:rsid w:val="00E742E3"/>
    <w:rsid w:val="00E75CAD"/>
    <w:rsid w:val="00E77454"/>
    <w:rsid w:val="00E81080"/>
    <w:rsid w:val="00E8125A"/>
    <w:rsid w:val="00E83923"/>
    <w:rsid w:val="00E865E2"/>
    <w:rsid w:val="00E87811"/>
    <w:rsid w:val="00E92ED1"/>
    <w:rsid w:val="00E955E4"/>
    <w:rsid w:val="00E95F96"/>
    <w:rsid w:val="00E96329"/>
    <w:rsid w:val="00EA051B"/>
    <w:rsid w:val="00EA17A8"/>
    <w:rsid w:val="00EA1876"/>
    <w:rsid w:val="00EA40CF"/>
    <w:rsid w:val="00EA4BD2"/>
    <w:rsid w:val="00EA67C4"/>
    <w:rsid w:val="00EA781D"/>
    <w:rsid w:val="00EB1E45"/>
    <w:rsid w:val="00EB3DD5"/>
    <w:rsid w:val="00EB3E56"/>
    <w:rsid w:val="00EB44BB"/>
    <w:rsid w:val="00EB784C"/>
    <w:rsid w:val="00EC0135"/>
    <w:rsid w:val="00EC0F68"/>
    <w:rsid w:val="00EC4128"/>
    <w:rsid w:val="00EC508F"/>
    <w:rsid w:val="00EC6335"/>
    <w:rsid w:val="00EC65D5"/>
    <w:rsid w:val="00EC6D42"/>
    <w:rsid w:val="00ED7979"/>
    <w:rsid w:val="00EE089A"/>
    <w:rsid w:val="00EE15F3"/>
    <w:rsid w:val="00EE4FA1"/>
    <w:rsid w:val="00EE6AFF"/>
    <w:rsid w:val="00EF09B5"/>
    <w:rsid w:val="00EF0D21"/>
    <w:rsid w:val="00EF31E8"/>
    <w:rsid w:val="00F004EA"/>
    <w:rsid w:val="00F01879"/>
    <w:rsid w:val="00F03A58"/>
    <w:rsid w:val="00F047BB"/>
    <w:rsid w:val="00F04E16"/>
    <w:rsid w:val="00F100E2"/>
    <w:rsid w:val="00F14E71"/>
    <w:rsid w:val="00F21FC3"/>
    <w:rsid w:val="00F24E84"/>
    <w:rsid w:val="00F267C4"/>
    <w:rsid w:val="00F30FBF"/>
    <w:rsid w:val="00F3233F"/>
    <w:rsid w:val="00F36494"/>
    <w:rsid w:val="00F37A01"/>
    <w:rsid w:val="00F37D4C"/>
    <w:rsid w:val="00F41954"/>
    <w:rsid w:val="00F4238C"/>
    <w:rsid w:val="00F441D0"/>
    <w:rsid w:val="00F442F9"/>
    <w:rsid w:val="00F44AA2"/>
    <w:rsid w:val="00F45FFB"/>
    <w:rsid w:val="00F4763F"/>
    <w:rsid w:val="00F477B0"/>
    <w:rsid w:val="00F47D7E"/>
    <w:rsid w:val="00F5121C"/>
    <w:rsid w:val="00F539E0"/>
    <w:rsid w:val="00F53C8E"/>
    <w:rsid w:val="00F6037E"/>
    <w:rsid w:val="00F624C8"/>
    <w:rsid w:val="00F716C1"/>
    <w:rsid w:val="00F7310F"/>
    <w:rsid w:val="00F735E8"/>
    <w:rsid w:val="00F73690"/>
    <w:rsid w:val="00F73D01"/>
    <w:rsid w:val="00F75638"/>
    <w:rsid w:val="00F77830"/>
    <w:rsid w:val="00F77913"/>
    <w:rsid w:val="00F779B9"/>
    <w:rsid w:val="00F829D7"/>
    <w:rsid w:val="00F82EE1"/>
    <w:rsid w:val="00F83F8F"/>
    <w:rsid w:val="00F865CC"/>
    <w:rsid w:val="00F87DD8"/>
    <w:rsid w:val="00F929EC"/>
    <w:rsid w:val="00F9450B"/>
    <w:rsid w:val="00F96A79"/>
    <w:rsid w:val="00FA2840"/>
    <w:rsid w:val="00FA6F7B"/>
    <w:rsid w:val="00FB0B29"/>
    <w:rsid w:val="00FB2674"/>
    <w:rsid w:val="00FB35A1"/>
    <w:rsid w:val="00FB41E5"/>
    <w:rsid w:val="00FB5343"/>
    <w:rsid w:val="00FB7414"/>
    <w:rsid w:val="00FB7C8E"/>
    <w:rsid w:val="00FC0C0A"/>
    <w:rsid w:val="00FC240D"/>
    <w:rsid w:val="00FC4A14"/>
    <w:rsid w:val="00FC793E"/>
    <w:rsid w:val="00FD23F7"/>
    <w:rsid w:val="00FD2D6C"/>
    <w:rsid w:val="00FD3075"/>
    <w:rsid w:val="00FD73A9"/>
    <w:rsid w:val="00FD797F"/>
    <w:rsid w:val="00FE0E6E"/>
    <w:rsid w:val="00FE1478"/>
    <w:rsid w:val="00FE29D8"/>
    <w:rsid w:val="00FE4876"/>
    <w:rsid w:val="00FF6CB0"/>
    <w:rsid w:val="00FF734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_x0000_s1044"/>
        <o:r id="V:Rule7" type="connector" idref="#_x0000_s1046"/>
        <o:r id="V:Rule8" type="connector" idref="#_x0000_s1043"/>
        <o:r id="V:Rule9" type="connector" idref="#_x0000_s1047"/>
        <o:r id="V:Rule10"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49"/>
    <w:rPr>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6D6049"/>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6D6049"/>
    <w:rPr>
      <w:b/>
      <w:bCs/>
      <w:i/>
      <w:iCs/>
      <w:color w:val="4F81BD" w:themeColor="accent1"/>
      <w:lang w:bidi="ar-DZ"/>
    </w:rPr>
  </w:style>
  <w:style w:type="paragraph" w:styleId="Textedebulles">
    <w:name w:val="Balloon Text"/>
    <w:basedOn w:val="Normal"/>
    <w:link w:val="TextedebullesCar"/>
    <w:uiPriority w:val="99"/>
    <w:semiHidden/>
    <w:unhideWhenUsed/>
    <w:rsid w:val="00074E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4EED"/>
    <w:rPr>
      <w:rFonts w:ascii="Tahoma" w:hAnsi="Tahoma" w:cs="Tahoma"/>
      <w:sz w:val="16"/>
      <w:szCs w:val="16"/>
      <w:lang w:bidi="ar-DZ"/>
    </w:rPr>
  </w:style>
  <w:style w:type="paragraph" w:styleId="Paragraphedeliste">
    <w:name w:val="List Paragraph"/>
    <w:basedOn w:val="Normal"/>
    <w:uiPriority w:val="34"/>
    <w:qFormat/>
    <w:rsid w:val="00074EED"/>
    <w:pPr>
      <w:ind w:left="720"/>
      <w:contextualSpacing/>
    </w:pPr>
  </w:style>
  <w:style w:type="table" w:styleId="Grilledutableau">
    <w:name w:val="Table Grid"/>
    <w:basedOn w:val="TableauNormal"/>
    <w:uiPriority w:val="59"/>
    <w:rsid w:val="00F716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ramemoyenne2-Accent11">
    <w:name w:val="Trame moyenne 2 - Accent 11"/>
    <w:basedOn w:val="TableauNormal"/>
    <w:uiPriority w:val="64"/>
    <w:rsid w:val="00CF5BD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lleclaire-Accent11">
    <w:name w:val="Grille claire - Accent 11"/>
    <w:basedOn w:val="TableauNormal"/>
    <w:uiPriority w:val="62"/>
    <w:rsid w:val="00CF5BD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En-tte">
    <w:name w:val="header"/>
    <w:basedOn w:val="Normal"/>
    <w:link w:val="En-tteCar"/>
    <w:uiPriority w:val="99"/>
    <w:unhideWhenUsed/>
    <w:rsid w:val="00905B4B"/>
    <w:pPr>
      <w:tabs>
        <w:tab w:val="center" w:pos="4536"/>
        <w:tab w:val="right" w:pos="9072"/>
      </w:tabs>
      <w:spacing w:after="0" w:line="240" w:lineRule="auto"/>
    </w:pPr>
  </w:style>
  <w:style w:type="character" w:customStyle="1" w:styleId="En-tteCar">
    <w:name w:val="En-tête Car"/>
    <w:basedOn w:val="Policepardfaut"/>
    <w:link w:val="En-tte"/>
    <w:uiPriority w:val="99"/>
    <w:rsid w:val="00905B4B"/>
    <w:rPr>
      <w:lang w:bidi="ar-DZ"/>
    </w:rPr>
  </w:style>
  <w:style w:type="paragraph" w:styleId="Pieddepage">
    <w:name w:val="footer"/>
    <w:basedOn w:val="Normal"/>
    <w:link w:val="PieddepageCar"/>
    <w:uiPriority w:val="99"/>
    <w:semiHidden/>
    <w:unhideWhenUsed/>
    <w:rsid w:val="00905B4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905B4B"/>
    <w:rPr>
      <w:lang w:bidi="ar-DZ"/>
    </w:rPr>
  </w:style>
  <w:style w:type="character" w:styleId="Lienhypertexte">
    <w:name w:val="Hyperlink"/>
    <w:basedOn w:val="Policepardfaut"/>
    <w:uiPriority w:val="99"/>
    <w:unhideWhenUsed/>
    <w:rsid w:val="001D1F4E"/>
    <w:rPr>
      <w:color w:val="0000FF" w:themeColor="hyperlink"/>
      <w:u w:val="single"/>
    </w:rPr>
  </w:style>
  <w:style w:type="character" w:customStyle="1" w:styleId="dltargetword">
    <w:name w:val="dl_target_word"/>
    <w:basedOn w:val="Policepardfaut"/>
    <w:rsid w:val="001E5D6D"/>
  </w:style>
  <w:style w:type="character" w:styleId="Accentuation">
    <w:name w:val="Emphasis"/>
    <w:basedOn w:val="Policepardfaut"/>
    <w:uiPriority w:val="20"/>
    <w:qFormat/>
    <w:rsid w:val="00D035AD"/>
    <w:rPr>
      <w:b/>
      <w:bCs/>
      <w:i w:val="0"/>
      <w:iCs w:val="0"/>
    </w:rPr>
  </w:style>
</w:styles>
</file>

<file path=word/webSettings.xml><?xml version="1.0" encoding="utf-8"?>
<w:webSettings xmlns:r="http://schemas.openxmlformats.org/officeDocument/2006/relationships" xmlns:w="http://schemas.openxmlformats.org/wordprocessingml/2006/main">
  <w:divs>
    <w:div w:id="1276480">
      <w:bodyDiv w:val="1"/>
      <w:marLeft w:val="0"/>
      <w:marRight w:val="0"/>
      <w:marTop w:val="0"/>
      <w:marBottom w:val="0"/>
      <w:divBdr>
        <w:top w:val="none" w:sz="0" w:space="0" w:color="auto"/>
        <w:left w:val="none" w:sz="0" w:space="0" w:color="auto"/>
        <w:bottom w:val="none" w:sz="0" w:space="0" w:color="auto"/>
        <w:right w:val="none" w:sz="0" w:space="0" w:color="auto"/>
      </w:divBdr>
      <w:divsChild>
        <w:div w:id="527184306">
          <w:marLeft w:val="0"/>
          <w:marRight w:val="0"/>
          <w:marTop w:val="100"/>
          <w:marBottom w:val="100"/>
          <w:divBdr>
            <w:top w:val="none" w:sz="0" w:space="0" w:color="auto"/>
            <w:left w:val="none" w:sz="0" w:space="0" w:color="auto"/>
            <w:bottom w:val="none" w:sz="0" w:space="0" w:color="auto"/>
            <w:right w:val="none" w:sz="0" w:space="0" w:color="auto"/>
          </w:divBdr>
          <w:divsChild>
            <w:div w:id="1825704675">
              <w:marLeft w:val="0"/>
              <w:marRight w:val="0"/>
              <w:marTop w:val="0"/>
              <w:marBottom w:val="0"/>
              <w:divBdr>
                <w:top w:val="none" w:sz="0" w:space="0" w:color="auto"/>
                <w:left w:val="none" w:sz="0" w:space="0" w:color="auto"/>
                <w:bottom w:val="none" w:sz="0" w:space="0" w:color="auto"/>
                <w:right w:val="none" w:sz="0" w:space="0" w:color="auto"/>
              </w:divBdr>
              <w:divsChild>
                <w:div w:id="1555311525">
                  <w:marLeft w:val="0"/>
                  <w:marRight w:val="0"/>
                  <w:marTop w:val="0"/>
                  <w:marBottom w:val="240"/>
                  <w:divBdr>
                    <w:top w:val="single" w:sz="6" w:space="0" w:color="8CB1BA"/>
                    <w:left w:val="single" w:sz="6" w:space="0" w:color="8CB1BA"/>
                    <w:bottom w:val="single" w:sz="6" w:space="0" w:color="8CB1BA"/>
                    <w:right w:val="single" w:sz="6" w:space="0" w:color="8CB1BA"/>
                  </w:divBdr>
                  <w:divsChild>
                    <w:div w:id="2035031952">
                      <w:marLeft w:val="0"/>
                      <w:marRight w:val="0"/>
                      <w:marTop w:val="0"/>
                      <w:marBottom w:val="0"/>
                      <w:divBdr>
                        <w:top w:val="none" w:sz="0" w:space="0" w:color="auto"/>
                        <w:left w:val="none" w:sz="0" w:space="0" w:color="auto"/>
                        <w:bottom w:val="none" w:sz="0" w:space="0" w:color="auto"/>
                        <w:right w:val="none" w:sz="0" w:space="0" w:color="auto"/>
                      </w:divBdr>
                      <w:divsChild>
                        <w:div w:id="616177653">
                          <w:marLeft w:val="0"/>
                          <w:marRight w:val="0"/>
                          <w:marTop w:val="120"/>
                          <w:marBottom w:val="0"/>
                          <w:divBdr>
                            <w:top w:val="none" w:sz="0" w:space="0" w:color="auto"/>
                            <w:left w:val="none" w:sz="0" w:space="0" w:color="auto"/>
                            <w:bottom w:val="none" w:sz="0" w:space="0" w:color="auto"/>
                            <w:right w:val="none" w:sz="0" w:space="0" w:color="auto"/>
                          </w:divBdr>
                          <w:divsChild>
                            <w:div w:id="73231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0990">
      <w:bodyDiv w:val="1"/>
      <w:marLeft w:val="0"/>
      <w:marRight w:val="0"/>
      <w:marTop w:val="0"/>
      <w:marBottom w:val="0"/>
      <w:divBdr>
        <w:top w:val="none" w:sz="0" w:space="0" w:color="auto"/>
        <w:left w:val="none" w:sz="0" w:space="0" w:color="auto"/>
        <w:bottom w:val="none" w:sz="0" w:space="0" w:color="auto"/>
        <w:right w:val="none" w:sz="0" w:space="0" w:color="auto"/>
      </w:divBdr>
      <w:divsChild>
        <w:div w:id="2001928732">
          <w:marLeft w:val="0"/>
          <w:marRight w:val="0"/>
          <w:marTop w:val="100"/>
          <w:marBottom w:val="100"/>
          <w:divBdr>
            <w:top w:val="none" w:sz="0" w:space="0" w:color="auto"/>
            <w:left w:val="none" w:sz="0" w:space="0" w:color="auto"/>
            <w:bottom w:val="none" w:sz="0" w:space="0" w:color="auto"/>
            <w:right w:val="none" w:sz="0" w:space="0" w:color="auto"/>
          </w:divBdr>
          <w:divsChild>
            <w:div w:id="257324517">
              <w:marLeft w:val="0"/>
              <w:marRight w:val="0"/>
              <w:marTop w:val="0"/>
              <w:marBottom w:val="0"/>
              <w:divBdr>
                <w:top w:val="none" w:sz="0" w:space="0" w:color="auto"/>
                <w:left w:val="none" w:sz="0" w:space="0" w:color="auto"/>
                <w:bottom w:val="none" w:sz="0" w:space="0" w:color="auto"/>
                <w:right w:val="none" w:sz="0" w:space="0" w:color="auto"/>
              </w:divBdr>
              <w:divsChild>
                <w:div w:id="355424156">
                  <w:marLeft w:val="0"/>
                  <w:marRight w:val="0"/>
                  <w:marTop w:val="0"/>
                  <w:marBottom w:val="240"/>
                  <w:divBdr>
                    <w:top w:val="single" w:sz="6" w:space="0" w:color="8CB1BA"/>
                    <w:left w:val="single" w:sz="6" w:space="0" w:color="8CB1BA"/>
                    <w:bottom w:val="single" w:sz="6" w:space="0" w:color="8CB1BA"/>
                    <w:right w:val="single" w:sz="6" w:space="0" w:color="8CB1BA"/>
                  </w:divBdr>
                  <w:divsChild>
                    <w:div w:id="425736964">
                      <w:marLeft w:val="0"/>
                      <w:marRight w:val="0"/>
                      <w:marTop w:val="0"/>
                      <w:marBottom w:val="0"/>
                      <w:divBdr>
                        <w:top w:val="none" w:sz="0" w:space="0" w:color="auto"/>
                        <w:left w:val="none" w:sz="0" w:space="0" w:color="auto"/>
                        <w:bottom w:val="none" w:sz="0" w:space="0" w:color="auto"/>
                        <w:right w:val="none" w:sz="0" w:space="0" w:color="auto"/>
                      </w:divBdr>
                      <w:divsChild>
                        <w:div w:id="27531900">
                          <w:marLeft w:val="0"/>
                          <w:marRight w:val="0"/>
                          <w:marTop w:val="120"/>
                          <w:marBottom w:val="0"/>
                          <w:divBdr>
                            <w:top w:val="none" w:sz="0" w:space="0" w:color="auto"/>
                            <w:left w:val="none" w:sz="0" w:space="0" w:color="auto"/>
                            <w:bottom w:val="none" w:sz="0" w:space="0" w:color="auto"/>
                            <w:right w:val="none" w:sz="0" w:space="0" w:color="auto"/>
                          </w:divBdr>
                          <w:divsChild>
                            <w:div w:id="33210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80413">
      <w:bodyDiv w:val="1"/>
      <w:marLeft w:val="0"/>
      <w:marRight w:val="0"/>
      <w:marTop w:val="0"/>
      <w:marBottom w:val="0"/>
      <w:divBdr>
        <w:top w:val="none" w:sz="0" w:space="0" w:color="auto"/>
        <w:left w:val="none" w:sz="0" w:space="0" w:color="auto"/>
        <w:bottom w:val="none" w:sz="0" w:space="0" w:color="auto"/>
        <w:right w:val="none" w:sz="0" w:space="0" w:color="auto"/>
      </w:divBdr>
      <w:divsChild>
        <w:div w:id="192502340">
          <w:marLeft w:val="0"/>
          <w:marRight w:val="0"/>
          <w:marTop w:val="100"/>
          <w:marBottom w:val="100"/>
          <w:divBdr>
            <w:top w:val="none" w:sz="0" w:space="0" w:color="auto"/>
            <w:left w:val="none" w:sz="0" w:space="0" w:color="auto"/>
            <w:bottom w:val="none" w:sz="0" w:space="0" w:color="auto"/>
            <w:right w:val="none" w:sz="0" w:space="0" w:color="auto"/>
          </w:divBdr>
          <w:divsChild>
            <w:div w:id="2012945413">
              <w:marLeft w:val="0"/>
              <w:marRight w:val="0"/>
              <w:marTop w:val="0"/>
              <w:marBottom w:val="0"/>
              <w:divBdr>
                <w:top w:val="none" w:sz="0" w:space="0" w:color="auto"/>
                <w:left w:val="none" w:sz="0" w:space="0" w:color="auto"/>
                <w:bottom w:val="none" w:sz="0" w:space="0" w:color="auto"/>
                <w:right w:val="none" w:sz="0" w:space="0" w:color="auto"/>
              </w:divBdr>
              <w:divsChild>
                <w:div w:id="699822778">
                  <w:marLeft w:val="0"/>
                  <w:marRight w:val="0"/>
                  <w:marTop w:val="0"/>
                  <w:marBottom w:val="240"/>
                  <w:divBdr>
                    <w:top w:val="single" w:sz="6" w:space="0" w:color="8CB1BA"/>
                    <w:left w:val="single" w:sz="6" w:space="0" w:color="8CB1BA"/>
                    <w:bottom w:val="single" w:sz="6" w:space="0" w:color="8CB1BA"/>
                    <w:right w:val="single" w:sz="6" w:space="0" w:color="8CB1BA"/>
                  </w:divBdr>
                  <w:divsChild>
                    <w:div w:id="1797291732">
                      <w:marLeft w:val="0"/>
                      <w:marRight w:val="0"/>
                      <w:marTop w:val="0"/>
                      <w:marBottom w:val="0"/>
                      <w:divBdr>
                        <w:top w:val="none" w:sz="0" w:space="0" w:color="auto"/>
                        <w:left w:val="none" w:sz="0" w:space="0" w:color="auto"/>
                        <w:bottom w:val="none" w:sz="0" w:space="0" w:color="auto"/>
                        <w:right w:val="none" w:sz="0" w:space="0" w:color="auto"/>
                      </w:divBdr>
                      <w:divsChild>
                        <w:div w:id="1208564956">
                          <w:marLeft w:val="0"/>
                          <w:marRight w:val="0"/>
                          <w:marTop w:val="120"/>
                          <w:marBottom w:val="0"/>
                          <w:divBdr>
                            <w:top w:val="none" w:sz="0" w:space="0" w:color="auto"/>
                            <w:left w:val="none" w:sz="0" w:space="0" w:color="auto"/>
                            <w:bottom w:val="none" w:sz="0" w:space="0" w:color="auto"/>
                            <w:right w:val="none" w:sz="0" w:space="0" w:color="auto"/>
                          </w:divBdr>
                          <w:divsChild>
                            <w:div w:id="13822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037817">
      <w:bodyDiv w:val="1"/>
      <w:marLeft w:val="0"/>
      <w:marRight w:val="0"/>
      <w:marTop w:val="0"/>
      <w:marBottom w:val="0"/>
      <w:divBdr>
        <w:top w:val="none" w:sz="0" w:space="0" w:color="auto"/>
        <w:left w:val="none" w:sz="0" w:space="0" w:color="auto"/>
        <w:bottom w:val="none" w:sz="0" w:space="0" w:color="auto"/>
        <w:right w:val="none" w:sz="0" w:space="0" w:color="auto"/>
      </w:divBdr>
      <w:divsChild>
        <w:div w:id="150878956">
          <w:marLeft w:val="0"/>
          <w:marRight w:val="0"/>
          <w:marTop w:val="100"/>
          <w:marBottom w:val="100"/>
          <w:divBdr>
            <w:top w:val="none" w:sz="0" w:space="0" w:color="auto"/>
            <w:left w:val="none" w:sz="0" w:space="0" w:color="auto"/>
            <w:bottom w:val="none" w:sz="0" w:space="0" w:color="auto"/>
            <w:right w:val="none" w:sz="0" w:space="0" w:color="auto"/>
          </w:divBdr>
          <w:divsChild>
            <w:div w:id="621810206">
              <w:marLeft w:val="0"/>
              <w:marRight w:val="0"/>
              <w:marTop w:val="0"/>
              <w:marBottom w:val="0"/>
              <w:divBdr>
                <w:top w:val="none" w:sz="0" w:space="0" w:color="auto"/>
                <w:left w:val="none" w:sz="0" w:space="0" w:color="auto"/>
                <w:bottom w:val="none" w:sz="0" w:space="0" w:color="auto"/>
                <w:right w:val="none" w:sz="0" w:space="0" w:color="auto"/>
              </w:divBdr>
              <w:divsChild>
                <w:div w:id="764690217">
                  <w:marLeft w:val="0"/>
                  <w:marRight w:val="0"/>
                  <w:marTop w:val="0"/>
                  <w:marBottom w:val="240"/>
                  <w:divBdr>
                    <w:top w:val="single" w:sz="6" w:space="0" w:color="8CB1BA"/>
                    <w:left w:val="single" w:sz="6" w:space="0" w:color="8CB1BA"/>
                    <w:bottom w:val="single" w:sz="6" w:space="0" w:color="8CB1BA"/>
                    <w:right w:val="single" w:sz="6" w:space="0" w:color="8CB1BA"/>
                  </w:divBdr>
                  <w:divsChild>
                    <w:div w:id="2024045154">
                      <w:marLeft w:val="0"/>
                      <w:marRight w:val="0"/>
                      <w:marTop w:val="0"/>
                      <w:marBottom w:val="0"/>
                      <w:divBdr>
                        <w:top w:val="none" w:sz="0" w:space="0" w:color="auto"/>
                        <w:left w:val="none" w:sz="0" w:space="0" w:color="auto"/>
                        <w:bottom w:val="none" w:sz="0" w:space="0" w:color="auto"/>
                        <w:right w:val="none" w:sz="0" w:space="0" w:color="auto"/>
                      </w:divBdr>
                      <w:divsChild>
                        <w:div w:id="1485581752">
                          <w:marLeft w:val="0"/>
                          <w:marRight w:val="0"/>
                          <w:marTop w:val="120"/>
                          <w:marBottom w:val="0"/>
                          <w:divBdr>
                            <w:top w:val="none" w:sz="0" w:space="0" w:color="auto"/>
                            <w:left w:val="none" w:sz="0" w:space="0" w:color="auto"/>
                            <w:bottom w:val="none" w:sz="0" w:space="0" w:color="auto"/>
                            <w:right w:val="none" w:sz="0" w:space="0" w:color="auto"/>
                          </w:divBdr>
                          <w:divsChild>
                            <w:div w:id="1748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195908">
      <w:bodyDiv w:val="1"/>
      <w:marLeft w:val="0"/>
      <w:marRight w:val="0"/>
      <w:marTop w:val="0"/>
      <w:marBottom w:val="0"/>
      <w:divBdr>
        <w:top w:val="none" w:sz="0" w:space="0" w:color="auto"/>
        <w:left w:val="none" w:sz="0" w:space="0" w:color="auto"/>
        <w:bottom w:val="none" w:sz="0" w:space="0" w:color="auto"/>
        <w:right w:val="none" w:sz="0" w:space="0" w:color="auto"/>
      </w:divBdr>
      <w:divsChild>
        <w:div w:id="2023775343">
          <w:marLeft w:val="0"/>
          <w:marRight w:val="0"/>
          <w:marTop w:val="100"/>
          <w:marBottom w:val="100"/>
          <w:divBdr>
            <w:top w:val="none" w:sz="0" w:space="0" w:color="auto"/>
            <w:left w:val="none" w:sz="0" w:space="0" w:color="auto"/>
            <w:bottom w:val="none" w:sz="0" w:space="0" w:color="auto"/>
            <w:right w:val="none" w:sz="0" w:space="0" w:color="auto"/>
          </w:divBdr>
          <w:divsChild>
            <w:div w:id="2083523768">
              <w:marLeft w:val="0"/>
              <w:marRight w:val="0"/>
              <w:marTop w:val="0"/>
              <w:marBottom w:val="0"/>
              <w:divBdr>
                <w:top w:val="none" w:sz="0" w:space="0" w:color="auto"/>
                <w:left w:val="none" w:sz="0" w:space="0" w:color="auto"/>
                <w:bottom w:val="none" w:sz="0" w:space="0" w:color="auto"/>
                <w:right w:val="none" w:sz="0" w:space="0" w:color="auto"/>
              </w:divBdr>
              <w:divsChild>
                <w:div w:id="56441179">
                  <w:marLeft w:val="0"/>
                  <w:marRight w:val="0"/>
                  <w:marTop w:val="0"/>
                  <w:marBottom w:val="240"/>
                  <w:divBdr>
                    <w:top w:val="single" w:sz="6" w:space="0" w:color="8CB1BA"/>
                    <w:left w:val="single" w:sz="6" w:space="0" w:color="8CB1BA"/>
                    <w:bottom w:val="single" w:sz="6" w:space="0" w:color="8CB1BA"/>
                    <w:right w:val="single" w:sz="6" w:space="0" w:color="8CB1BA"/>
                  </w:divBdr>
                  <w:divsChild>
                    <w:div w:id="1356420215">
                      <w:marLeft w:val="0"/>
                      <w:marRight w:val="0"/>
                      <w:marTop w:val="0"/>
                      <w:marBottom w:val="0"/>
                      <w:divBdr>
                        <w:top w:val="none" w:sz="0" w:space="0" w:color="auto"/>
                        <w:left w:val="none" w:sz="0" w:space="0" w:color="auto"/>
                        <w:bottom w:val="none" w:sz="0" w:space="0" w:color="auto"/>
                        <w:right w:val="none" w:sz="0" w:space="0" w:color="auto"/>
                      </w:divBdr>
                      <w:divsChild>
                        <w:div w:id="1884825465">
                          <w:marLeft w:val="0"/>
                          <w:marRight w:val="0"/>
                          <w:marTop w:val="120"/>
                          <w:marBottom w:val="0"/>
                          <w:divBdr>
                            <w:top w:val="none" w:sz="0" w:space="0" w:color="auto"/>
                            <w:left w:val="none" w:sz="0" w:space="0" w:color="auto"/>
                            <w:bottom w:val="none" w:sz="0" w:space="0" w:color="auto"/>
                            <w:right w:val="none" w:sz="0" w:space="0" w:color="auto"/>
                          </w:divBdr>
                          <w:divsChild>
                            <w:div w:id="92984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437560">
      <w:bodyDiv w:val="1"/>
      <w:marLeft w:val="0"/>
      <w:marRight w:val="0"/>
      <w:marTop w:val="0"/>
      <w:marBottom w:val="0"/>
      <w:divBdr>
        <w:top w:val="none" w:sz="0" w:space="0" w:color="auto"/>
        <w:left w:val="none" w:sz="0" w:space="0" w:color="auto"/>
        <w:bottom w:val="none" w:sz="0" w:space="0" w:color="auto"/>
        <w:right w:val="none" w:sz="0" w:space="0" w:color="auto"/>
      </w:divBdr>
      <w:divsChild>
        <w:div w:id="1524899953">
          <w:marLeft w:val="0"/>
          <w:marRight w:val="0"/>
          <w:marTop w:val="100"/>
          <w:marBottom w:val="100"/>
          <w:divBdr>
            <w:top w:val="none" w:sz="0" w:space="0" w:color="auto"/>
            <w:left w:val="none" w:sz="0" w:space="0" w:color="auto"/>
            <w:bottom w:val="none" w:sz="0" w:space="0" w:color="auto"/>
            <w:right w:val="none" w:sz="0" w:space="0" w:color="auto"/>
          </w:divBdr>
          <w:divsChild>
            <w:div w:id="1856462633">
              <w:marLeft w:val="0"/>
              <w:marRight w:val="0"/>
              <w:marTop w:val="0"/>
              <w:marBottom w:val="0"/>
              <w:divBdr>
                <w:top w:val="none" w:sz="0" w:space="0" w:color="auto"/>
                <w:left w:val="none" w:sz="0" w:space="0" w:color="auto"/>
                <w:bottom w:val="none" w:sz="0" w:space="0" w:color="auto"/>
                <w:right w:val="none" w:sz="0" w:space="0" w:color="auto"/>
              </w:divBdr>
              <w:divsChild>
                <w:div w:id="805395378">
                  <w:marLeft w:val="0"/>
                  <w:marRight w:val="0"/>
                  <w:marTop w:val="0"/>
                  <w:marBottom w:val="240"/>
                  <w:divBdr>
                    <w:top w:val="single" w:sz="6" w:space="0" w:color="8CB1BA"/>
                    <w:left w:val="single" w:sz="6" w:space="0" w:color="8CB1BA"/>
                    <w:bottom w:val="single" w:sz="6" w:space="0" w:color="8CB1BA"/>
                    <w:right w:val="single" w:sz="6" w:space="0" w:color="8CB1BA"/>
                  </w:divBdr>
                  <w:divsChild>
                    <w:div w:id="1320034574">
                      <w:marLeft w:val="0"/>
                      <w:marRight w:val="0"/>
                      <w:marTop w:val="0"/>
                      <w:marBottom w:val="0"/>
                      <w:divBdr>
                        <w:top w:val="none" w:sz="0" w:space="0" w:color="auto"/>
                        <w:left w:val="none" w:sz="0" w:space="0" w:color="auto"/>
                        <w:bottom w:val="none" w:sz="0" w:space="0" w:color="auto"/>
                        <w:right w:val="none" w:sz="0" w:space="0" w:color="auto"/>
                      </w:divBdr>
                      <w:divsChild>
                        <w:div w:id="1780561716">
                          <w:marLeft w:val="0"/>
                          <w:marRight w:val="0"/>
                          <w:marTop w:val="120"/>
                          <w:marBottom w:val="0"/>
                          <w:divBdr>
                            <w:top w:val="none" w:sz="0" w:space="0" w:color="auto"/>
                            <w:left w:val="none" w:sz="0" w:space="0" w:color="auto"/>
                            <w:bottom w:val="none" w:sz="0" w:space="0" w:color="auto"/>
                            <w:right w:val="none" w:sz="0" w:space="0" w:color="auto"/>
                          </w:divBdr>
                          <w:divsChild>
                            <w:div w:id="209161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260618">
      <w:bodyDiv w:val="1"/>
      <w:marLeft w:val="0"/>
      <w:marRight w:val="0"/>
      <w:marTop w:val="0"/>
      <w:marBottom w:val="0"/>
      <w:divBdr>
        <w:top w:val="none" w:sz="0" w:space="0" w:color="auto"/>
        <w:left w:val="none" w:sz="0" w:space="0" w:color="auto"/>
        <w:bottom w:val="none" w:sz="0" w:space="0" w:color="auto"/>
        <w:right w:val="none" w:sz="0" w:space="0" w:color="auto"/>
      </w:divBdr>
      <w:divsChild>
        <w:div w:id="568466659">
          <w:marLeft w:val="0"/>
          <w:marRight w:val="0"/>
          <w:marTop w:val="100"/>
          <w:marBottom w:val="100"/>
          <w:divBdr>
            <w:top w:val="none" w:sz="0" w:space="0" w:color="auto"/>
            <w:left w:val="none" w:sz="0" w:space="0" w:color="auto"/>
            <w:bottom w:val="none" w:sz="0" w:space="0" w:color="auto"/>
            <w:right w:val="none" w:sz="0" w:space="0" w:color="auto"/>
          </w:divBdr>
          <w:divsChild>
            <w:div w:id="321853966">
              <w:marLeft w:val="0"/>
              <w:marRight w:val="0"/>
              <w:marTop w:val="0"/>
              <w:marBottom w:val="0"/>
              <w:divBdr>
                <w:top w:val="none" w:sz="0" w:space="0" w:color="auto"/>
                <w:left w:val="none" w:sz="0" w:space="0" w:color="auto"/>
                <w:bottom w:val="none" w:sz="0" w:space="0" w:color="auto"/>
                <w:right w:val="none" w:sz="0" w:space="0" w:color="auto"/>
              </w:divBdr>
              <w:divsChild>
                <w:div w:id="53702848">
                  <w:marLeft w:val="0"/>
                  <w:marRight w:val="0"/>
                  <w:marTop w:val="0"/>
                  <w:marBottom w:val="240"/>
                  <w:divBdr>
                    <w:top w:val="single" w:sz="6" w:space="0" w:color="8CB1BA"/>
                    <w:left w:val="single" w:sz="6" w:space="0" w:color="8CB1BA"/>
                    <w:bottom w:val="single" w:sz="6" w:space="0" w:color="8CB1BA"/>
                    <w:right w:val="single" w:sz="6" w:space="0" w:color="8CB1BA"/>
                  </w:divBdr>
                  <w:divsChild>
                    <w:div w:id="643698722">
                      <w:marLeft w:val="0"/>
                      <w:marRight w:val="0"/>
                      <w:marTop w:val="0"/>
                      <w:marBottom w:val="0"/>
                      <w:divBdr>
                        <w:top w:val="none" w:sz="0" w:space="0" w:color="auto"/>
                        <w:left w:val="none" w:sz="0" w:space="0" w:color="auto"/>
                        <w:bottom w:val="none" w:sz="0" w:space="0" w:color="auto"/>
                        <w:right w:val="none" w:sz="0" w:space="0" w:color="auto"/>
                      </w:divBdr>
                      <w:divsChild>
                        <w:div w:id="1252659602">
                          <w:marLeft w:val="0"/>
                          <w:marRight w:val="0"/>
                          <w:marTop w:val="120"/>
                          <w:marBottom w:val="0"/>
                          <w:divBdr>
                            <w:top w:val="none" w:sz="0" w:space="0" w:color="auto"/>
                            <w:left w:val="none" w:sz="0" w:space="0" w:color="auto"/>
                            <w:bottom w:val="none" w:sz="0" w:space="0" w:color="auto"/>
                            <w:right w:val="none" w:sz="0" w:space="0" w:color="auto"/>
                          </w:divBdr>
                          <w:divsChild>
                            <w:div w:id="109366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643329">
      <w:bodyDiv w:val="1"/>
      <w:marLeft w:val="0"/>
      <w:marRight w:val="0"/>
      <w:marTop w:val="0"/>
      <w:marBottom w:val="0"/>
      <w:divBdr>
        <w:top w:val="none" w:sz="0" w:space="0" w:color="auto"/>
        <w:left w:val="none" w:sz="0" w:space="0" w:color="auto"/>
        <w:bottom w:val="none" w:sz="0" w:space="0" w:color="auto"/>
        <w:right w:val="none" w:sz="0" w:space="0" w:color="auto"/>
      </w:divBdr>
      <w:divsChild>
        <w:div w:id="1729330700">
          <w:marLeft w:val="0"/>
          <w:marRight w:val="0"/>
          <w:marTop w:val="100"/>
          <w:marBottom w:val="100"/>
          <w:divBdr>
            <w:top w:val="none" w:sz="0" w:space="0" w:color="auto"/>
            <w:left w:val="none" w:sz="0" w:space="0" w:color="auto"/>
            <w:bottom w:val="none" w:sz="0" w:space="0" w:color="auto"/>
            <w:right w:val="none" w:sz="0" w:space="0" w:color="auto"/>
          </w:divBdr>
          <w:divsChild>
            <w:div w:id="760679534">
              <w:marLeft w:val="0"/>
              <w:marRight w:val="0"/>
              <w:marTop w:val="0"/>
              <w:marBottom w:val="0"/>
              <w:divBdr>
                <w:top w:val="none" w:sz="0" w:space="0" w:color="auto"/>
                <w:left w:val="none" w:sz="0" w:space="0" w:color="auto"/>
                <w:bottom w:val="none" w:sz="0" w:space="0" w:color="auto"/>
                <w:right w:val="none" w:sz="0" w:space="0" w:color="auto"/>
              </w:divBdr>
              <w:divsChild>
                <w:div w:id="587421343">
                  <w:marLeft w:val="0"/>
                  <w:marRight w:val="0"/>
                  <w:marTop w:val="0"/>
                  <w:marBottom w:val="240"/>
                  <w:divBdr>
                    <w:top w:val="single" w:sz="6" w:space="0" w:color="8CB1BA"/>
                    <w:left w:val="single" w:sz="6" w:space="0" w:color="8CB1BA"/>
                    <w:bottom w:val="single" w:sz="6" w:space="0" w:color="8CB1BA"/>
                    <w:right w:val="single" w:sz="6" w:space="0" w:color="8CB1BA"/>
                  </w:divBdr>
                  <w:divsChild>
                    <w:div w:id="2068067122">
                      <w:marLeft w:val="0"/>
                      <w:marRight w:val="0"/>
                      <w:marTop w:val="0"/>
                      <w:marBottom w:val="0"/>
                      <w:divBdr>
                        <w:top w:val="none" w:sz="0" w:space="0" w:color="auto"/>
                        <w:left w:val="none" w:sz="0" w:space="0" w:color="auto"/>
                        <w:bottom w:val="none" w:sz="0" w:space="0" w:color="auto"/>
                        <w:right w:val="none" w:sz="0" w:space="0" w:color="auto"/>
                      </w:divBdr>
                      <w:divsChild>
                        <w:div w:id="985352527">
                          <w:marLeft w:val="0"/>
                          <w:marRight w:val="0"/>
                          <w:marTop w:val="120"/>
                          <w:marBottom w:val="0"/>
                          <w:divBdr>
                            <w:top w:val="none" w:sz="0" w:space="0" w:color="auto"/>
                            <w:left w:val="none" w:sz="0" w:space="0" w:color="auto"/>
                            <w:bottom w:val="none" w:sz="0" w:space="0" w:color="auto"/>
                            <w:right w:val="none" w:sz="0" w:space="0" w:color="auto"/>
                          </w:divBdr>
                          <w:divsChild>
                            <w:div w:id="31826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18506">
      <w:bodyDiv w:val="1"/>
      <w:marLeft w:val="0"/>
      <w:marRight w:val="0"/>
      <w:marTop w:val="0"/>
      <w:marBottom w:val="0"/>
      <w:divBdr>
        <w:top w:val="none" w:sz="0" w:space="0" w:color="auto"/>
        <w:left w:val="none" w:sz="0" w:space="0" w:color="auto"/>
        <w:bottom w:val="none" w:sz="0" w:space="0" w:color="auto"/>
        <w:right w:val="none" w:sz="0" w:space="0" w:color="auto"/>
      </w:divBdr>
      <w:divsChild>
        <w:div w:id="2053187148">
          <w:marLeft w:val="0"/>
          <w:marRight w:val="0"/>
          <w:marTop w:val="100"/>
          <w:marBottom w:val="100"/>
          <w:divBdr>
            <w:top w:val="none" w:sz="0" w:space="0" w:color="auto"/>
            <w:left w:val="none" w:sz="0" w:space="0" w:color="auto"/>
            <w:bottom w:val="none" w:sz="0" w:space="0" w:color="auto"/>
            <w:right w:val="none" w:sz="0" w:space="0" w:color="auto"/>
          </w:divBdr>
          <w:divsChild>
            <w:div w:id="699623237">
              <w:marLeft w:val="0"/>
              <w:marRight w:val="0"/>
              <w:marTop w:val="0"/>
              <w:marBottom w:val="0"/>
              <w:divBdr>
                <w:top w:val="none" w:sz="0" w:space="0" w:color="auto"/>
                <w:left w:val="none" w:sz="0" w:space="0" w:color="auto"/>
                <w:bottom w:val="none" w:sz="0" w:space="0" w:color="auto"/>
                <w:right w:val="none" w:sz="0" w:space="0" w:color="auto"/>
              </w:divBdr>
              <w:divsChild>
                <w:div w:id="582102991">
                  <w:marLeft w:val="0"/>
                  <w:marRight w:val="0"/>
                  <w:marTop w:val="0"/>
                  <w:marBottom w:val="240"/>
                  <w:divBdr>
                    <w:top w:val="single" w:sz="6" w:space="0" w:color="8CB1BA"/>
                    <w:left w:val="single" w:sz="6" w:space="0" w:color="8CB1BA"/>
                    <w:bottom w:val="single" w:sz="6" w:space="0" w:color="8CB1BA"/>
                    <w:right w:val="single" w:sz="6" w:space="0" w:color="8CB1BA"/>
                  </w:divBdr>
                  <w:divsChild>
                    <w:div w:id="1653946349">
                      <w:marLeft w:val="0"/>
                      <w:marRight w:val="0"/>
                      <w:marTop w:val="0"/>
                      <w:marBottom w:val="0"/>
                      <w:divBdr>
                        <w:top w:val="none" w:sz="0" w:space="0" w:color="auto"/>
                        <w:left w:val="none" w:sz="0" w:space="0" w:color="auto"/>
                        <w:bottom w:val="none" w:sz="0" w:space="0" w:color="auto"/>
                        <w:right w:val="none" w:sz="0" w:space="0" w:color="auto"/>
                      </w:divBdr>
                      <w:divsChild>
                        <w:div w:id="2090807272">
                          <w:marLeft w:val="0"/>
                          <w:marRight w:val="0"/>
                          <w:marTop w:val="120"/>
                          <w:marBottom w:val="0"/>
                          <w:divBdr>
                            <w:top w:val="none" w:sz="0" w:space="0" w:color="auto"/>
                            <w:left w:val="none" w:sz="0" w:space="0" w:color="auto"/>
                            <w:bottom w:val="none" w:sz="0" w:space="0" w:color="auto"/>
                            <w:right w:val="none" w:sz="0" w:space="0" w:color="auto"/>
                          </w:divBdr>
                          <w:divsChild>
                            <w:div w:id="20526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47251">
      <w:bodyDiv w:val="1"/>
      <w:marLeft w:val="0"/>
      <w:marRight w:val="0"/>
      <w:marTop w:val="0"/>
      <w:marBottom w:val="0"/>
      <w:divBdr>
        <w:top w:val="none" w:sz="0" w:space="0" w:color="auto"/>
        <w:left w:val="none" w:sz="0" w:space="0" w:color="auto"/>
        <w:bottom w:val="none" w:sz="0" w:space="0" w:color="auto"/>
        <w:right w:val="none" w:sz="0" w:space="0" w:color="auto"/>
      </w:divBdr>
      <w:divsChild>
        <w:div w:id="2013796546">
          <w:marLeft w:val="0"/>
          <w:marRight w:val="0"/>
          <w:marTop w:val="100"/>
          <w:marBottom w:val="100"/>
          <w:divBdr>
            <w:top w:val="none" w:sz="0" w:space="0" w:color="auto"/>
            <w:left w:val="none" w:sz="0" w:space="0" w:color="auto"/>
            <w:bottom w:val="none" w:sz="0" w:space="0" w:color="auto"/>
            <w:right w:val="none" w:sz="0" w:space="0" w:color="auto"/>
          </w:divBdr>
          <w:divsChild>
            <w:div w:id="95709304">
              <w:marLeft w:val="0"/>
              <w:marRight w:val="0"/>
              <w:marTop w:val="0"/>
              <w:marBottom w:val="0"/>
              <w:divBdr>
                <w:top w:val="none" w:sz="0" w:space="0" w:color="auto"/>
                <w:left w:val="none" w:sz="0" w:space="0" w:color="auto"/>
                <w:bottom w:val="none" w:sz="0" w:space="0" w:color="auto"/>
                <w:right w:val="none" w:sz="0" w:space="0" w:color="auto"/>
              </w:divBdr>
              <w:divsChild>
                <w:div w:id="141042791">
                  <w:marLeft w:val="0"/>
                  <w:marRight w:val="0"/>
                  <w:marTop w:val="0"/>
                  <w:marBottom w:val="240"/>
                  <w:divBdr>
                    <w:top w:val="single" w:sz="6" w:space="0" w:color="8CB1BA"/>
                    <w:left w:val="single" w:sz="6" w:space="0" w:color="8CB1BA"/>
                    <w:bottom w:val="single" w:sz="6" w:space="0" w:color="8CB1BA"/>
                    <w:right w:val="single" w:sz="6" w:space="0" w:color="8CB1BA"/>
                  </w:divBdr>
                  <w:divsChild>
                    <w:div w:id="172577598">
                      <w:marLeft w:val="0"/>
                      <w:marRight w:val="0"/>
                      <w:marTop w:val="0"/>
                      <w:marBottom w:val="0"/>
                      <w:divBdr>
                        <w:top w:val="none" w:sz="0" w:space="0" w:color="auto"/>
                        <w:left w:val="none" w:sz="0" w:space="0" w:color="auto"/>
                        <w:bottom w:val="none" w:sz="0" w:space="0" w:color="auto"/>
                        <w:right w:val="none" w:sz="0" w:space="0" w:color="auto"/>
                      </w:divBdr>
                      <w:divsChild>
                        <w:div w:id="1005942826">
                          <w:marLeft w:val="0"/>
                          <w:marRight w:val="0"/>
                          <w:marTop w:val="120"/>
                          <w:marBottom w:val="0"/>
                          <w:divBdr>
                            <w:top w:val="none" w:sz="0" w:space="0" w:color="auto"/>
                            <w:left w:val="none" w:sz="0" w:space="0" w:color="auto"/>
                            <w:bottom w:val="none" w:sz="0" w:space="0" w:color="auto"/>
                            <w:right w:val="none" w:sz="0" w:space="0" w:color="auto"/>
                          </w:divBdr>
                          <w:divsChild>
                            <w:div w:id="17981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829545">
      <w:bodyDiv w:val="1"/>
      <w:marLeft w:val="0"/>
      <w:marRight w:val="0"/>
      <w:marTop w:val="0"/>
      <w:marBottom w:val="0"/>
      <w:divBdr>
        <w:top w:val="none" w:sz="0" w:space="0" w:color="auto"/>
        <w:left w:val="none" w:sz="0" w:space="0" w:color="auto"/>
        <w:bottom w:val="none" w:sz="0" w:space="0" w:color="auto"/>
        <w:right w:val="none" w:sz="0" w:space="0" w:color="auto"/>
      </w:divBdr>
      <w:divsChild>
        <w:div w:id="855267880">
          <w:marLeft w:val="0"/>
          <w:marRight w:val="0"/>
          <w:marTop w:val="100"/>
          <w:marBottom w:val="100"/>
          <w:divBdr>
            <w:top w:val="none" w:sz="0" w:space="0" w:color="auto"/>
            <w:left w:val="none" w:sz="0" w:space="0" w:color="auto"/>
            <w:bottom w:val="none" w:sz="0" w:space="0" w:color="auto"/>
            <w:right w:val="none" w:sz="0" w:space="0" w:color="auto"/>
          </w:divBdr>
          <w:divsChild>
            <w:div w:id="1998651540">
              <w:marLeft w:val="0"/>
              <w:marRight w:val="0"/>
              <w:marTop w:val="0"/>
              <w:marBottom w:val="0"/>
              <w:divBdr>
                <w:top w:val="none" w:sz="0" w:space="0" w:color="auto"/>
                <w:left w:val="none" w:sz="0" w:space="0" w:color="auto"/>
                <w:bottom w:val="none" w:sz="0" w:space="0" w:color="auto"/>
                <w:right w:val="none" w:sz="0" w:space="0" w:color="auto"/>
              </w:divBdr>
              <w:divsChild>
                <w:div w:id="1693531680">
                  <w:marLeft w:val="0"/>
                  <w:marRight w:val="0"/>
                  <w:marTop w:val="0"/>
                  <w:marBottom w:val="240"/>
                  <w:divBdr>
                    <w:top w:val="single" w:sz="6" w:space="0" w:color="8CB1BA"/>
                    <w:left w:val="single" w:sz="6" w:space="0" w:color="8CB1BA"/>
                    <w:bottom w:val="single" w:sz="6" w:space="0" w:color="8CB1BA"/>
                    <w:right w:val="single" w:sz="6" w:space="0" w:color="8CB1BA"/>
                  </w:divBdr>
                  <w:divsChild>
                    <w:div w:id="1080717172">
                      <w:marLeft w:val="0"/>
                      <w:marRight w:val="0"/>
                      <w:marTop w:val="0"/>
                      <w:marBottom w:val="0"/>
                      <w:divBdr>
                        <w:top w:val="none" w:sz="0" w:space="0" w:color="auto"/>
                        <w:left w:val="none" w:sz="0" w:space="0" w:color="auto"/>
                        <w:bottom w:val="none" w:sz="0" w:space="0" w:color="auto"/>
                        <w:right w:val="none" w:sz="0" w:space="0" w:color="auto"/>
                      </w:divBdr>
                      <w:divsChild>
                        <w:div w:id="164978633">
                          <w:marLeft w:val="0"/>
                          <w:marRight w:val="0"/>
                          <w:marTop w:val="120"/>
                          <w:marBottom w:val="0"/>
                          <w:divBdr>
                            <w:top w:val="none" w:sz="0" w:space="0" w:color="auto"/>
                            <w:left w:val="none" w:sz="0" w:space="0" w:color="auto"/>
                            <w:bottom w:val="none" w:sz="0" w:space="0" w:color="auto"/>
                            <w:right w:val="none" w:sz="0" w:space="0" w:color="auto"/>
                          </w:divBdr>
                          <w:divsChild>
                            <w:div w:id="113367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485351">
      <w:bodyDiv w:val="1"/>
      <w:marLeft w:val="0"/>
      <w:marRight w:val="0"/>
      <w:marTop w:val="0"/>
      <w:marBottom w:val="0"/>
      <w:divBdr>
        <w:top w:val="none" w:sz="0" w:space="0" w:color="auto"/>
        <w:left w:val="none" w:sz="0" w:space="0" w:color="auto"/>
        <w:bottom w:val="none" w:sz="0" w:space="0" w:color="auto"/>
        <w:right w:val="none" w:sz="0" w:space="0" w:color="auto"/>
      </w:divBdr>
      <w:divsChild>
        <w:div w:id="1901791618">
          <w:marLeft w:val="0"/>
          <w:marRight w:val="0"/>
          <w:marTop w:val="100"/>
          <w:marBottom w:val="100"/>
          <w:divBdr>
            <w:top w:val="none" w:sz="0" w:space="0" w:color="auto"/>
            <w:left w:val="none" w:sz="0" w:space="0" w:color="auto"/>
            <w:bottom w:val="none" w:sz="0" w:space="0" w:color="auto"/>
            <w:right w:val="none" w:sz="0" w:space="0" w:color="auto"/>
          </w:divBdr>
          <w:divsChild>
            <w:div w:id="1131482249">
              <w:marLeft w:val="0"/>
              <w:marRight w:val="0"/>
              <w:marTop w:val="0"/>
              <w:marBottom w:val="0"/>
              <w:divBdr>
                <w:top w:val="none" w:sz="0" w:space="0" w:color="auto"/>
                <w:left w:val="none" w:sz="0" w:space="0" w:color="auto"/>
                <w:bottom w:val="none" w:sz="0" w:space="0" w:color="auto"/>
                <w:right w:val="none" w:sz="0" w:space="0" w:color="auto"/>
              </w:divBdr>
              <w:divsChild>
                <w:div w:id="1266962920">
                  <w:marLeft w:val="0"/>
                  <w:marRight w:val="0"/>
                  <w:marTop w:val="0"/>
                  <w:marBottom w:val="240"/>
                  <w:divBdr>
                    <w:top w:val="single" w:sz="6" w:space="0" w:color="8CB1BA"/>
                    <w:left w:val="single" w:sz="6" w:space="0" w:color="8CB1BA"/>
                    <w:bottom w:val="single" w:sz="6" w:space="0" w:color="8CB1BA"/>
                    <w:right w:val="single" w:sz="6" w:space="0" w:color="8CB1BA"/>
                  </w:divBdr>
                  <w:divsChild>
                    <w:div w:id="688482920">
                      <w:marLeft w:val="0"/>
                      <w:marRight w:val="0"/>
                      <w:marTop w:val="0"/>
                      <w:marBottom w:val="0"/>
                      <w:divBdr>
                        <w:top w:val="none" w:sz="0" w:space="0" w:color="auto"/>
                        <w:left w:val="none" w:sz="0" w:space="0" w:color="auto"/>
                        <w:bottom w:val="none" w:sz="0" w:space="0" w:color="auto"/>
                        <w:right w:val="none" w:sz="0" w:space="0" w:color="auto"/>
                      </w:divBdr>
                      <w:divsChild>
                        <w:div w:id="945579940">
                          <w:marLeft w:val="0"/>
                          <w:marRight w:val="0"/>
                          <w:marTop w:val="120"/>
                          <w:marBottom w:val="0"/>
                          <w:divBdr>
                            <w:top w:val="none" w:sz="0" w:space="0" w:color="auto"/>
                            <w:left w:val="none" w:sz="0" w:space="0" w:color="auto"/>
                            <w:bottom w:val="none" w:sz="0" w:space="0" w:color="auto"/>
                            <w:right w:val="none" w:sz="0" w:space="0" w:color="auto"/>
                          </w:divBdr>
                          <w:divsChild>
                            <w:div w:id="159254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025747">
      <w:bodyDiv w:val="1"/>
      <w:marLeft w:val="0"/>
      <w:marRight w:val="0"/>
      <w:marTop w:val="0"/>
      <w:marBottom w:val="0"/>
      <w:divBdr>
        <w:top w:val="none" w:sz="0" w:space="0" w:color="auto"/>
        <w:left w:val="none" w:sz="0" w:space="0" w:color="auto"/>
        <w:bottom w:val="none" w:sz="0" w:space="0" w:color="auto"/>
        <w:right w:val="none" w:sz="0" w:space="0" w:color="auto"/>
      </w:divBdr>
      <w:divsChild>
        <w:div w:id="2004778235">
          <w:marLeft w:val="0"/>
          <w:marRight w:val="0"/>
          <w:marTop w:val="100"/>
          <w:marBottom w:val="100"/>
          <w:divBdr>
            <w:top w:val="none" w:sz="0" w:space="0" w:color="auto"/>
            <w:left w:val="none" w:sz="0" w:space="0" w:color="auto"/>
            <w:bottom w:val="none" w:sz="0" w:space="0" w:color="auto"/>
            <w:right w:val="none" w:sz="0" w:space="0" w:color="auto"/>
          </w:divBdr>
          <w:divsChild>
            <w:div w:id="571813824">
              <w:marLeft w:val="0"/>
              <w:marRight w:val="0"/>
              <w:marTop w:val="0"/>
              <w:marBottom w:val="0"/>
              <w:divBdr>
                <w:top w:val="none" w:sz="0" w:space="0" w:color="auto"/>
                <w:left w:val="none" w:sz="0" w:space="0" w:color="auto"/>
                <w:bottom w:val="none" w:sz="0" w:space="0" w:color="auto"/>
                <w:right w:val="none" w:sz="0" w:space="0" w:color="auto"/>
              </w:divBdr>
              <w:divsChild>
                <w:div w:id="2012491880">
                  <w:marLeft w:val="0"/>
                  <w:marRight w:val="0"/>
                  <w:marTop w:val="0"/>
                  <w:marBottom w:val="240"/>
                  <w:divBdr>
                    <w:top w:val="single" w:sz="6" w:space="0" w:color="8CB1BA"/>
                    <w:left w:val="single" w:sz="6" w:space="0" w:color="8CB1BA"/>
                    <w:bottom w:val="single" w:sz="6" w:space="0" w:color="8CB1BA"/>
                    <w:right w:val="single" w:sz="6" w:space="0" w:color="8CB1BA"/>
                  </w:divBdr>
                  <w:divsChild>
                    <w:div w:id="979923932">
                      <w:marLeft w:val="0"/>
                      <w:marRight w:val="0"/>
                      <w:marTop w:val="0"/>
                      <w:marBottom w:val="0"/>
                      <w:divBdr>
                        <w:top w:val="none" w:sz="0" w:space="0" w:color="auto"/>
                        <w:left w:val="none" w:sz="0" w:space="0" w:color="auto"/>
                        <w:bottom w:val="none" w:sz="0" w:space="0" w:color="auto"/>
                        <w:right w:val="none" w:sz="0" w:space="0" w:color="auto"/>
                      </w:divBdr>
                      <w:divsChild>
                        <w:div w:id="83117816">
                          <w:marLeft w:val="0"/>
                          <w:marRight w:val="0"/>
                          <w:marTop w:val="120"/>
                          <w:marBottom w:val="0"/>
                          <w:divBdr>
                            <w:top w:val="none" w:sz="0" w:space="0" w:color="auto"/>
                            <w:left w:val="none" w:sz="0" w:space="0" w:color="auto"/>
                            <w:bottom w:val="none" w:sz="0" w:space="0" w:color="auto"/>
                            <w:right w:val="none" w:sz="0" w:space="0" w:color="auto"/>
                          </w:divBdr>
                          <w:divsChild>
                            <w:div w:id="14275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701071">
      <w:bodyDiv w:val="1"/>
      <w:marLeft w:val="0"/>
      <w:marRight w:val="0"/>
      <w:marTop w:val="0"/>
      <w:marBottom w:val="0"/>
      <w:divBdr>
        <w:top w:val="none" w:sz="0" w:space="0" w:color="auto"/>
        <w:left w:val="none" w:sz="0" w:space="0" w:color="auto"/>
        <w:bottom w:val="none" w:sz="0" w:space="0" w:color="auto"/>
        <w:right w:val="none" w:sz="0" w:space="0" w:color="auto"/>
      </w:divBdr>
      <w:divsChild>
        <w:div w:id="901913788">
          <w:marLeft w:val="0"/>
          <w:marRight w:val="0"/>
          <w:marTop w:val="100"/>
          <w:marBottom w:val="100"/>
          <w:divBdr>
            <w:top w:val="none" w:sz="0" w:space="0" w:color="auto"/>
            <w:left w:val="none" w:sz="0" w:space="0" w:color="auto"/>
            <w:bottom w:val="none" w:sz="0" w:space="0" w:color="auto"/>
            <w:right w:val="none" w:sz="0" w:space="0" w:color="auto"/>
          </w:divBdr>
          <w:divsChild>
            <w:div w:id="1313018736">
              <w:marLeft w:val="0"/>
              <w:marRight w:val="0"/>
              <w:marTop w:val="0"/>
              <w:marBottom w:val="0"/>
              <w:divBdr>
                <w:top w:val="none" w:sz="0" w:space="0" w:color="auto"/>
                <w:left w:val="none" w:sz="0" w:space="0" w:color="auto"/>
                <w:bottom w:val="none" w:sz="0" w:space="0" w:color="auto"/>
                <w:right w:val="none" w:sz="0" w:space="0" w:color="auto"/>
              </w:divBdr>
              <w:divsChild>
                <w:div w:id="883905617">
                  <w:marLeft w:val="0"/>
                  <w:marRight w:val="0"/>
                  <w:marTop w:val="0"/>
                  <w:marBottom w:val="240"/>
                  <w:divBdr>
                    <w:top w:val="single" w:sz="6" w:space="0" w:color="8CB1BA"/>
                    <w:left w:val="single" w:sz="6" w:space="0" w:color="8CB1BA"/>
                    <w:bottom w:val="single" w:sz="6" w:space="0" w:color="8CB1BA"/>
                    <w:right w:val="single" w:sz="6" w:space="0" w:color="8CB1BA"/>
                  </w:divBdr>
                  <w:divsChild>
                    <w:div w:id="804201719">
                      <w:marLeft w:val="0"/>
                      <w:marRight w:val="0"/>
                      <w:marTop w:val="0"/>
                      <w:marBottom w:val="0"/>
                      <w:divBdr>
                        <w:top w:val="none" w:sz="0" w:space="0" w:color="auto"/>
                        <w:left w:val="none" w:sz="0" w:space="0" w:color="auto"/>
                        <w:bottom w:val="none" w:sz="0" w:space="0" w:color="auto"/>
                        <w:right w:val="none" w:sz="0" w:space="0" w:color="auto"/>
                      </w:divBdr>
                      <w:divsChild>
                        <w:div w:id="771828463">
                          <w:marLeft w:val="0"/>
                          <w:marRight w:val="0"/>
                          <w:marTop w:val="120"/>
                          <w:marBottom w:val="0"/>
                          <w:divBdr>
                            <w:top w:val="none" w:sz="0" w:space="0" w:color="auto"/>
                            <w:left w:val="none" w:sz="0" w:space="0" w:color="auto"/>
                            <w:bottom w:val="none" w:sz="0" w:space="0" w:color="auto"/>
                            <w:right w:val="none" w:sz="0" w:space="0" w:color="auto"/>
                          </w:divBdr>
                          <w:divsChild>
                            <w:div w:id="168343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210571">
      <w:bodyDiv w:val="1"/>
      <w:marLeft w:val="0"/>
      <w:marRight w:val="0"/>
      <w:marTop w:val="0"/>
      <w:marBottom w:val="0"/>
      <w:divBdr>
        <w:top w:val="none" w:sz="0" w:space="0" w:color="auto"/>
        <w:left w:val="none" w:sz="0" w:space="0" w:color="auto"/>
        <w:bottom w:val="none" w:sz="0" w:space="0" w:color="auto"/>
        <w:right w:val="none" w:sz="0" w:space="0" w:color="auto"/>
      </w:divBdr>
      <w:divsChild>
        <w:div w:id="797802011">
          <w:marLeft w:val="0"/>
          <w:marRight w:val="0"/>
          <w:marTop w:val="100"/>
          <w:marBottom w:val="100"/>
          <w:divBdr>
            <w:top w:val="none" w:sz="0" w:space="0" w:color="auto"/>
            <w:left w:val="none" w:sz="0" w:space="0" w:color="auto"/>
            <w:bottom w:val="none" w:sz="0" w:space="0" w:color="auto"/>
            <w:right w:val="none" w:sz="0" w:space="0" w:color="auto"/>
          </w:divBdr>
          <w:divsChild>
            <w:div w:id="734812961">
              <w:marLeft w:val="0"/>
              <w:marRight w:val="0"/>
              <w:marTop w:val="0"/>
              <w:marBottom w:val="0"/>
              <w:divBdr>
                <w:top w:val="none" w:sz="0" w:space="0" w:color="auto"/>
                <w:left w:val="none" w:sz="0" w:space="0" w:color="auto"/>
                <w:bottom w:val="none" w:sz="0" w:space="0" w:color="auto"/>
                <w:right w:val="none" w:sz="0" w:space="0" w:color="auto"/>
              </w:divBdr>
              <w:divsChild>
                <w:div w:id="1427338713">
                  <w:marLeft w:val="0"/>
                  <w:marRight w:val="0"/>
                  <w:marTop w:val="0"/>
                  <w:marBottom w:val="240"/>
                  <w:divBdr>
                    <w:top w:val="single" w:sz="6" w:space="0" w:color="8CB1BA"/>
                    <w:left w:val="single" w:sz="6" w:space="0" w:color="8CB1BA"/>
                    <w:bottom w:val="single" w:sz="6" w:space="0" w:color="8CB1BA"/>
                    <w:right w:val="single" w:sz="6" w:space="0" w:color="8CB1BA"/>
                  </w:divBdr>
                  <w:divsChild>
                    <w:div w:id="1395471783">
                      <w:marLeft w:val="0"/>
                      <w:marRight w:val="0"/>
                      <w:marTop w:val="0"/>
                      <w:marBottom w:val="0"/>
                      <w:divBdr>
                        <w:top w:val="none" w:sz="0" w:space="0" w:color="auto"/>
                        <w:left w:val="none" w:sz="0" w:space="0" w:color="auto"/>
                        <w:bottom w:val="none" w:sz="0" w:space="0" w:color="auto"/>
                        <w:right w:val="none" w:sz="0" w:space="0" w:color="auto"/>
                      </w:divBdr>
                      <w:divsChild>
                        <w:div w:id="564872703">
                          <w:marLeft w:val="0"/>
                          <w:marRight w:val="0"/>
                          <w:marTop w:val="120"/>
                          <w:marBottom w:val="0"/>
                          <w:divBdr>
                            <w:top w:val="none" w:sz="0" w:space="0" w:color="auto"/>
                            <w:left w:val="none" w:sz="0" w:space="0" w:color="auto"/>
                            <w:bottom w:val="none" w:sz="0" w:space="0" w:color="auto"/>
                            <w:right w:val="none" w:sz="0" w:space="0" w:color="auto"/>
                          </w:divBdr>
                          <w:divsChild>
                            <w:div w:id="6695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mounhadj@yahoo.fr" TargetMode="External"/><Relationship Id="rId13" Type="http://schemas.openxmlformats.org/officeDocument/2006/relationships/chart" Target="charts/chart4.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feriel\Documents\COURBE%20RENDEMENT.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feriel\Documents\COURBE%20RENDEMEN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eriel\Documents\COURBE%20RENDEMEN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rendement%20de%20la%20cok&#233;faction%20graphe.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Facteur%20de%20stab%20RC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Y val="0"/>
      <c:perspective val="30"/>
    </c:view3D>
    <c:floor>
      <c:spPr>
        <a:scene3d>
          <a:camera prst="orthographicFront"/>
          <a:lightRig rig="threePt" dir="t"/>
        </a:scene3d>
        <a:sp3d>
          <a:contourClr>
            <a:srgbClr val="000000"/>
          </a:contourClr>
        </a:sp3d>
      </c:spPr>
    </c:floor>
    <c:plotArea>
      <c:layout>
        <c:manualLayout>
          <c:layoutTarget val="inner"/>
          <c:xMode val="edge"/>
          <c:yMode val="edge"/>
          <c:x val="0.14339129483814544"/>
          <c:y val="4.7140784718204147E-2"/>
          <c:w val="0.7063044619422385"/>
          <c:h val="0.70005358705161858"/>
        </c:manualLayout>
      </c:layout>
      <c:bar3DChart>
        <c:barDir val="col"/>
        <c:grouping val="stacked"/>
        <c:ser>
          <c:idx val="0"/>
          <c:order val="0"/>
          <c:tx>
            <c:v>Coke</c:v>
          </c:tx>
          <c:val>
            <c:numRef>
              <c:f>Feuil2!$B$1:$B$4</c:f>
              <c:numCache>
                <c:formatCode>General</c:formatCode>
                <c:ptCount val="4"/>
                <c:pt idx="0">
                  <c:v>6.5</c:v>
                </c:pt>
                <c:pt idx="1">
                  <c:v>13</c:v>
                </c:pt>
                <c:pt idx="2">
                  <c:v>15</c:v>
                </c:pt>
                <c:pt idx="3">
                  <c:v>36</c:v>
                </c:pt>
              </c:numCache>
            </c:numRef>
          </c:val>
        </c:ser>
        <c:gapWidth val="75"/>
        <c:gapDepth val="75"/>
        <c:shape val="box"/>
        <c:axId val="139907072"/>
        <c:axId val="139908608"/>
        <c:axId val="0"/>
      </c:bar3DChart>
      <c:catAx>
        <c:axId val="139907072"/>
        <c:scaling>
          <c:orientation val="minMax"/>
        </c:scaling>
        <c:delete val="1"/>
        <c:axPos val="b"/>
        <c:numFmt formatCode="@" sourceLinked="0"/>
        <c:majorTickMark val="none"/>
        <c:tickLblPos val="none"/>
        <c:crossAx val="139908608"/>
        <c:crosses val="autoZero"/>
        <c:auto val="1"/>
        <c:lblAlgn val="ctr"/>
        <c:lblOffset val="100"/>
      </c:catAx>
      <c:valAx>
        <c:axId val="139908608"/>
        <c:scaling>
          <c:orientation val="minMax"/>
        </c:scaling>
        <c:axPos val="l"/>
        <c:majorGridlines/>
        <c:minorGridlines/>
        <c:title>
          <c:tx>
            <c:rich>
              <a:bodyPr/>
              <a:lstStyle/>
              <a:p>
                <a:pPr>
                  <a:defRPr/>
                </a:pPr>
                <a:r>
                  <a:rPr lang="fr-FR" sz="1200"/>
                  <a:t>%</a:t>
                </a:r>
                <a:r>
                  <a:rPr lang="fr-FR" sz="1200" baseline="0"/>
                  <a:t> massique</a:t>
                </a:r>
                <a:endParaRPr lang="fr-FR" sz="1200"/>
              </a:p>
            </c:rich>
          </c:tx>
          <c:layout>
            <c:manualLayout>
              <c:xMode val="edge"/>
              <c:yMode val="edge"/>
              <c:x val="1.3623381823034903E-3"/>
              <c:y val="0.33667238963550955"/>
            </c:manualLayout>
          </c:layout>
        </c:title>
        <c:numFmt formatCode="General" sourceLinked="1"/>
        <c:tickLblPos val="nextTo"/>
        <c:crossAx val="139907072"/>
        <c:crosses val="autoZero"/>
        <c:crossBetween val="between"/>
      </c:valAx>
    </c:plotArea>
    <c:legend>
      <c:legendPos val="r"/>
    </c:legend>
    <c:plotVisOnly val="1"/>
  </c:chart>
  <c:spPr>
    <a:ln>
      <a:solidFill>
        <a:schemeClr val="tx1"/>
      </a:solid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manualLayout>
          <c:layoutTarget val="inner"/>
          <c:xMode val="edge"/>
          <c:yMode val="edge"/>
          <c:x val="0.14149689622130732"/>
          <c:y val="0.14153008651696547"/>
          <c:w val="0.71002562179727535"/>
          <c:h val="0.82026636670414943"/>
        </c:manualLayout>
      </c:layout>
      <c:bar3DChart>
        <c:barDir val="col"/>
        <c:grouping val="stacked"/>
        <c:ser>
          <c:idx val="1"/>
          <c:order val="0"/>
          <c:tx>
            <c:v>% Distillat</c:v>
          </c:tx>
          <c:val>
            <c:numRef>
              <c:f>Feuil2!$C$1:$C$4</c:f>
              <c:numCache>
                <c:formatCode>General</c:formatCode>
                <c:ptCount val="4"/>
                <c:pt idx="0">
                  <c:v>85</c:v>
                </c:pt>
                <c:pt idx="1">
                  <c:v>76</c:v>
                </c:pt>
                <c:pt idx="2">
                  <c:v>71</c:v>
                </c:pt>
                <c:pt idx="3">
                  <c:v>50</c:v>
                </c:pt>
              </c:numCache>
            </c:numRef>
          </c:val>
        </c:ser>
        <c:ser>
          <c:idx val="2"/>
          <c:order val="1"/>
          <c:tx>
            <c:v>% Gaz</c:v>
          </c:tx>
          <c:val>
            <c:numRef>
              <c:f>Feuil2!$D$1:$D$4</c:f>
              <c:numCache>
                <c:formatCode>General</c:formatCode>
                <c:ptCount val="4"/>
                <c:pt idx="0">
                  <c:v>8.5</c:v>
                </c:pt>
                <c:pt idx="1">
                  <c:v>8</c:v>
                </c:pt>
                <c:pt idx="2">
                  <c:v>14</c:v>
                </c:pt>
                <c:pt idx="3">
                  <c:v>14</c:v>
                </c:pt>
              </c:numCache>
            </c:numRef>
          </c:val>
        </c:ser>
        <c:gapWidth val="55"/>
        <c:gapDepth val="55"/>
        <c:shape val="cylinder"/>
        <c:axId val="136558848"/>
        <c:axId val="136564736"/>
        <c:axId val="0"/>
      </c:bar3DChart>
      <c:catAx>
        <c:axId val="136558848"/>
        <c:scaling>
          <c:orientation val="minMax"/>
        </c:scaling>
        <c:delete val="1"/>
        <c:axPos val="b"/>
        <c:majorTickMark val="none"/>
        <c:tickLblPos val="none"/>
        <c:crossAx val="136564736"/>
        <c:crosses val="autoZero"/>
        <c:auto val="1"/>
        <c:lblAlgn val="ctr"/>
        <c:lblOffset val="100"/>
      </c:catAx>
      <c:valAx>
        <c:axId val="136564736"/>
        <c:scaling>
          <c:orientation val="minMax"/>
        </c:scaling>
        <c:axPos val="l"/>
        <c:majorGridlines/>
        <c:numFmt formatCode="General" sourceLinked="1"/>
        <c:majorTickMark val="none"/>
        <c:tickLblPos val="nextTo"/>
        <c:crossAx val="136558848"/>
        <c:crosses val="autoZero"/>
        <c:crossBetween val="between"/>
      </c:valAx>
    </c:plotArea>
    <c:legend>
      <c:legendPos val="r"/>
      <c:layout>
        <c:manualLayout>
          <c:xMode val="edge"/>
          <c:yMode val="edge"/>
          <c:x val="0.15599952278692603"/>
          <c:y val="5.4520962657447834E-4"/>
          <c:w val="0.24756454306848041"/>
          <c:h val="0.15226041189295941"/>
        </c:manualLayout>
      </c:layout>
    </c:legend>
    <c:plotVisOnly val="1"/>
  </c:chart>
  <c:spPr>
    <a:ln>
      <a:solidFill>
        <a:sysClr val="windowText" lastClr="000000"/>
      </a:solid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v>coke</c:v>
          </c:tx>
          <c:val>
            <c:numRef>
              <c:f>Feuil1!$L$4:$L$8</c:f>
              <c:numCache>
                <c:formatCode>General</c:formatCode>
                <c:ptCount val="5"/>
                <c:pt idx="0">
                  <c:v>15</c:v>
                </c:pt>
                <c:pt idx="1">
                  <c:v>24</c:v>
                </c:pt>
                <c:pt idx="2">
                  <c:v>25</c:v>
                </c:pt>
                <c:pt idx="3">
                  <c:v>25</c:v>
                </c:pt>
                <c:pt idx="4">
                  <c:v>36</c:v>
                </c:pt>
              </c:numCache>
            </c:numRef>
          </c:val>
        </c:ser>
        <c:ser>
          <c:idx val="1"/>
          <c:order val="1"/>
          <c:tx>
            <c:v>Distillat</c:v>
          </c:tx>
          <c:spPr>
            <a:ln>
              <a:solidFill>
                <a:srgbClr val="FF0000"/>
              </a:solidFill>
            </a:ln>
          </c:spPr>
          <c:marker>
            <c:spPr>
              <a:ln>
                <a:solidFill>
                  <a:srgbClr val="FF0000"/>
                </a:solidFill>
              </a:ln>
            </c:spPr>
          </c:marker>
          <c:val>
            <c:numRef>
              <c:f>Feuil1!$M$4:$M$8</c:f>
              <c:numCache>
                <c:formatCode>General</c:formatCode>
                <c:ptCount val="5"/>
                <c:pt idx="0">
                  <c:v>71</c:v>
                </c:pt>
                <c:pt idx="1">
                  <c:v>62</c:v>
                </c:pt>
                <c:pt idx="2">
                  <c:v>67</c:v>
                </c:pt>
                <c:pt idx="3">
                  <c:v>61</c:v>
                </c:pt>
                <c:pt idx="4">
                  <c:v>50</c:v>
                </c:pt>
              </c:numCache>
            </c:numRef>
          </c:val>
        </c:ser>
        <c:ser>
          <c:idx val="2"/>
          <c:order val="2"/>
          <c:tx>
            <c:v>Gaz</c:v>
          </c:tx>
          <c:spPr>
            <a:ln>
              <a:solidFill>
                <a:schemeClr val="tx1"/>
              </a:solidFill>
            </a:ln>
          </c:spPr>
          <c:marker>
            <c:spPr>
              <a:solidFill>
                <a:schemeClr val="tx1"/>
              </a:solidFill>
              <a:ln>
                <a:solidFill>
                  <a:schemeClr val="tx1"/>
                </a:solidFill>
              </a:ln>
            </c:spPr>
          </c:marker>
          <c:val>
            <c:numRef>
              <c:f>Feuil1!$N$4:$N$8</c:f>
              <c:numCache>
                <c:formatCode>General</c:formatCode>
                <c:ptCount val="5"/>
                <c:pt idx="0">
                  <c:v>14</c:v>
                </c:pt>
                <c:pt idx="1">
                  <c:v>14</c:v>
                </c:pt>
                <c:pt idx="2">
                  <c:v>8</c:v>
                </c:pt>
                <c:pt idx="3">
                  <c:v>14</c:v>
                </c:pt>
                <c:pt idx="4">
                  <c:v>14</c:v>
                </c:pt>
              </c:numCache>
            </c:numRef>
          </c:val>
        </c:ser>
        <c:dropLines/>
        <c:marker val="1"/>
        <c:axId val="140002432"/>
        <c:axId val="140004352"/>
      </c:lineChart>
      <c:catAx>
        <c:axId val="140002432"/>
        <c:scaling>
          <c:orientation val="minMax"/>
        </c:scaling>
        <c:axPos val="b"/>
        <c:title>
          <c:tx>
            <c:rich>
              <a:bodyPr/>
              <a:lstStyle/>
              <a:p>
                <a:pPr>
                  <a:defRPr/>
                </a:pPr>
                <a:r>
                  <a:rPr lang="fr-FR" sz="1200"/>
                  <a:t>coking process load</a:t>
                </a:r>
              </a:p>
            </c:rich>
          </c:tx>
        </c:title>
        <c:majorTickMark val="none"/>
        <c:tickLblPos val="nextTo"/>
        <c:crossAx val="140004352"/>
        <c:crosses val="autoZero"/>
        <c:auto val="1"/>
        <c:lblAlgn val="ctr"/>
        <c:lblOffset val="100"/>
      </c:catAx>
      <c:valAx>
        <c:axId val="140004352"/>
        <c:scaling>
          <c:orientation val="minMax"/>
        </c:scaling>
        <c:axPos val="l"/>
        <c:majorGridlines/>
        <c:title>
          <c:tx>
            <c:rich>
              <a:bodyPr/>
              <a:lstStyle/>
              <a:p>
                <a:pPr>
                  <a:defRPr/>
                </a:pPr>
                <a:r>
                  <a:rPr lang="fr-FR" sz="1200"/>
                  <a:t>%</a:t>
                </a:r>
              </a:p>
            </c:rich>
          </c:tx>
          <c:layout>
            <c:manualLayout>
              <c:xMode val="edge"/>
              <c:yMode val="edge"/>
              <c:x val="2.2346368715083852E-2"/>
              <c:y val="0.44106182929665438"/>
            </c:manualLayout>
          </c:layout>
        </c:title>
        <c:numFmt formatCode="General" sourceLinked="1"/>
        <c:tickLblPos val="nextTo"/>
        <c:crossAx val="140002432"/>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1"/>
  <c:chart>
    <c:autoTitleDeleted val="1"/>
    <c:plotArea>
      <c:layout/>
      <c:lineChart>
        <c:grouping val="standard"/>
        <c:ser>
          <c:idx val="0"/>
          <c:order val="0"/>
          <c:tx>
            <c:v>Coke</c:v>
          </c:tx>
          <c:spPr>
            <a:ln>
              <a:solidFill>
                <a:sysClr val="windowText" lastClr="000000"/>
              </a:solidFill>
            </a:ln>
          </c:spPr>
          <c:marker>
            <c:spPr>
              <a:solidFill>
                <a:schemeClr val="tx1"/>
              </a:solidFill>
            </c:spPr>
          </c:marker>
          <c:cat>
            <c:numLit>
              <c:formatCode>General</c:formatCode>
              <c:ptCount val="4"/>
              <c:pt idx="0">
                <c:v>100</c:v>
              </c:pt>
              <c:pt idx="1">
                <c:v>95</c:v>
              </c:pt>
              <c:pt idx="2">
                <c:v>90</c:v>
              </c:pt>
              <c:pt idx="3">
                <c:v>50</c:v>
              </c:pt>
            </c:numLit>
          </c:cat>
          <c:val>
            <c:numRef>
              <c:f>Feuil2!$D$1:$D$4</c:f>
              <c:numCache>
                <c:formatCode>General</c:formatCode>
                <c:ptCount val="4"/>
                <c:pt idx="0">
                  <c:v>36</c:v>
                </c:pt>
                <c:pt idx="1">
                  <c:v>25</c:v>
                </c:pt>
                <c:pt idx="2">
                  <c:v>26</c:v>
                </c:pt>
                <c:pt idx="3">
                  <c:v>18</c:v>
                </c:pt>
              </c:numCache>
            </c:numRef>
          </c:val>
        </c:ser>
        <c:dropLines/>
        <c:marker val="1"/>
        <c:axId val="140020736"/>
        <c:axId val="140031104"/>
      </c:lineChart>
      <c:catAx>
        <c:axId val="140020736"/>
        <c:scaling>
          <c:orientation val="minMax"/>
        </c:scaling>
        <c:axPos val="b"/>
        <c:title>
          <c:tx>
            <c:rich>
              <a:bodyPr/>
              <a:lstStyle/>
              <a:p>
                <a:pPr>
                  <a:defRPr/>
                </a:pPr>
                <a:r>
                  <a:rPr lang="fr-FR" sz="1200"/>
                  <a:t>% RCC</a:t>
                </a:r>
              </a:p>
            </c:rich>
          </c:tx>
          <c:layout>
            <c:manualLayout>
              <c:xMode val="edge"/>
              <c:yMode val="edge"/>
              <c:x val="0.43378967334966134"/>
              <c:y val="0.84471087780694076"/>
            </c:manualLayout>
          </c:layout>
        </c:title>
        <c:numFmt formatCode="General" sourceLinked="1"/>
        <c:majorTickMark val="none"/>
        <c:tickLblPos val="nextTo"/>
        <c:crossAx val="140031104"/>
        <c:crosses val="autoZero"/>
        <c:auto val="1"/>
        <c:lblAlgn val="ctr"/>
        <c:lblOffset val="100"/>
      </c:catAx>
      <c:valAx>
        <c:axId val="140031104"/>
        <c:scaling>
          <c:orientation val="minMax"/>
        </c:scaling>
        <c:axPos val="l"/>
        <c:majorGridlines/>
        <c:title>
          <c:tx>
            <c:rich>
              <a:bodyPr/>
              <a:lstStyle/>
              <a:p>
                <a:pPr>
                  <a:defRPr/>
                </a:pPr>
                <a:r>
                  <a:rPr lang="fr-FR" sz="1200"/>
                  <a:t>%Coke</a:t>
                </a:r>
              </a:p>
            </c:rich>
          </c:tx>
        </c:title>
        <c:numFmt formatCode="General" sourceLinked="1"/>
        <c:tickLblPos val="nextTo"/>
        <c:crossAx val="140020736"/>
        <c:crosses val="autoZero"/>
        <c:crossBetween val="between"/>
      </c:valAx>
    </c:plotArea>
    <c:legend>
      <c:legendPos val="r"/>
    </c:legend>
    <c:plotVisOnly val="1"/>
  </c:chart>
  <c:spPr>
    <a:ln>
      <a:solidFill>
        <a:schemeClr val="tx1"/>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v>Y = 340</c:v>
          </c:tx>
          <c:cat>
            <c:numLit>
              <c:formatCode>General</c:formatCode>
              <c:ptCount val="5"/>
              <c:pt idx="0">
                <c:v>100</c:v>
              </c:pt>
              <c:pt idx="1">
                <c:v>80</c:v>
              </c:pt>
              <c:pt idx="2">
                <c:v>70</c:v>
              </c:pt>
              <c:pt idx="3">
                <c:v>60</c:v>
              </c:pt>
              <c:pt idx="4">
                <c:v>50</c:v>
              </c:pt>
            </c:numLit>
          </c:cat>
          <c:val>
            <c:numRef>
              <c:f>Feuil1!$A$1:$A$5</c:f>
              <c:numCache>
                <c:formatCode>General</c:formatCode>
                <c:ptCount val="5"/>
                <c:pt idx="0">
                  <c:v>0.48378000000000032</c:v>
                </c:pt>
                <c:pt idx="1">
                  <c:v>0.69803999999999999</c:v>
                </c:pt>
                <c:pt idx="2">
                  <c:v>0.54683999999999999</c:v>
                </c:pt>
                <c:pt idx="3">
                  <c:v>0.73438000000000003</c:v>
                </c:pt>
                <c:pt idx="4">
                  <c:v>0.61746999999999996</c:v>
                </c:pt>
              </c:numCache>
            </c:numRef>
          </c:val>
        </c:ser>
        <c:ser>
          <c:idx val="1"/>
          <c:order val="1"/>
          <c:tx>
            <c:v>Y = 350</c:v>
          </c:tx>
          <c:cat>
            <c:numLit>
              <c:formatCode>General</c:formatCode>
              <c:ptCount val="5"/>
              <c:pt idx="0">
                <c:v>100</c:v>
              </c:pt>
              <c:pt idx="1">
                <c:v>80</c:v>
              </c:pt>
              <c:pt idx="2">
                <c:v>70</c:v>
              </c:pt>
              <c:pt idx="3">
                <c:v>60</c:v>
              </c:pt>
              <c:pt idx="4">
                <c:v>50</c:v>
              </c:pt>
            </c:numLit>
          </c:cat>
          <c:val>
            <c:numRef>
              <c:f>Feuil1!$B$1:$B$5</c:f>
              <c:numCache>
                <c:formatCode>General</c:formatCode>
                <c:ptCount val="5"/>
                <c:pt idx="0">
                  <c:v>0.47065000000000001</c:v>
                </c:pt>
                <c:pt idx="1">
                  <c:v>0.68594999999999995</c:v>
                </c:pt>
                <c:pt idx="2">
                  <c:v>0.52634999999999998</c:v>
                </c:pt>
                <c:pt idx="3">
                  <c:v>0.69506000000000001</c:v>
                </c:pt>
                <c:pt idx="4">
                  <c:v>0.64605000000000334</c:v>
                </c:pt>
              </c:numCache>
            </c:numRef>
          </c:val>
        </c:ser>
        <c:ser>
          <c:idx val="2"/>
          <c:order val="2"/>
          <c:tx>
            <c:v>Y = 360</c:v>
          </c:tx>
          <c:cat>
            <c:numLit>
              <c:formatCode>General</c:formatCode>
              <c:ptCount val="5"/>
              <c:pt idx="0">
                <c:v>100</c:v>
              </c:pt>
              <c:pt idx="1">
                <c:v>80</c:v>
              </c:pt>
              <c:pt idx="2">
                <c:v>70</c:v>
              </c:pt>
              <c:pt idx="3">
                <c:v>60</c:v>
              </c:pt>
              <c:pt idx="4">
                <c:v>50</c:v>
              </c:pt>
            </c:numLit>
          </c:cat>
          <c:val>
            <c:numRef>
              <c:f>Feuil1!$C$1:$C$5</c:f>
              <c:numCache>
                <c:formatCode>General</c:formatCode>
                <c:ptCount val="5"/>
                <c:pt idx="0">
                  <c:v>0.39195000000000196</c:v>
                </c:pt>
                <c:pt idx="1">
                  <c:v>0.70667000000000335</c:v>
                </c:pt>
                <c:pt idx="2">
                  <c:v>0.43064000000000002</c:v>
                </c:pt>
                <c:pt idx="3">
                  <c:v>0.71819000000000299</c:v>
                </c:pt>
                <c:pt idx="4">
                  <c:v>0.55694999999999995</c:v>
                </c:pt>
              </c:numCache>
            </c:numRef>
          </c:val>
        </c:ser>
        <c:ser>
          <c:idx val="3"/>
          <c:order val="3"/>
          <c:tx>
            <c:v>Y = 370</c:v>
          </c:tx>
          <c:cat>
            <c:numLit>
              <c:formatCode>General</c:formatCode>
              <c:ptCount val="5"/>
              <c:pt idx="0">
                <c:v>100</c:v>
              </c:pt>
              <c:pt idx="1">
                <c:v>80</c:v>
              </c:pt>
              <c:pt idx="2">
                <c:v>70</c:v>
              </c:pt>
              <c:pt idx="3">
                <c:v>60</c:v>
              </c:pt>
              <c:pt idx="4">
                <c:v>50</c:v>
              </c:pt>
            </c:numLit>
          </c:cat>
          <c:val>
            <c:numRef>
              <c:f>Feuil1!$L$1:$L$5</c:f>
              <c:numCache>
                <c:formatCode>General</c:formatCode>
                <c:ptCount val="5"/>
                <c:pt idx="0">
                  <c:v>0.32646000000000225</c:v>
                </c:pt>
                <c:pt idx="1">
                  <c:v>0.74539999999999995</c:v>
                </c:pt>
                <c:pt idx="2">
                  <c:v>0.38026000000000032</c:v>
                </c:pt>
                <c:pt idx="3">
                  <c:v>0.72580000000000322</c:v>
                </c:pt>
                <c:pt idx="4">
                  <c:v>0.48612000000000088</c:v>
                </c:pt>
              </c:numCache>
            </c:numRef>
          </c:val>
        </c:ser>
        <c:ser>
          <c:idx val="4"/>
          <c:order val="4"/>
          <c:tx>
            <c:v>Y = 380</c:v>
          </c:tx>
          <c:cat>
            <c:numLit>
              <c:formatCode>General</c:formatCode>
              <c:ptCount val="5"/>
              <c:pt idx="0">
                <c:v>100</c:v>
              </c:pt>
              <c:pt idx="1">
                <c:v>80</c:v>
              </c:pt>
              <c:pt idx="2">
                <c:v>70</c:v>
              </c:pt>
              <c:pt idx="3">
                <c:v>60</c:v>
              </c:pt>
              <c:pt idx="4">
                <c:v>50</c:v>
              </c:pt>
            </c:numLit>
          </c:cat>
          <c:val>
            <c:numRef>
              <c:f>Feuil1!$M$1:$M$5</c:f>
              <c:numCache>
                <c:formatCode>General</c:formatCode>
                <c:ptCount val="5"/>
                <c:pt idx="0">
                  <c:v>0.27664</c:v>
                </c:pt>
                <c:pt idx="1">
                  <c:v>0.73326999999999998</c:v>
                </c:pt>
                <c:pt idx="2">
                  <c:v>0.30025000000000002</c:v>
                </c:pt>
                <c:pt idx="3">
                  <c:v>0.71952000000000005</c:v>
                </c:pt>
                <c:pt idx="4">
                  <c:v>0.18421000000000104</c:v>
                </c:pt>
              </c:numCache>
            </c:numRef>
          </c:val>
        </c:ser>
        <c:dropLines/>
        <c:marker val="1"/>
        <c:axId val="139469184"/>
        <c:axId val="139471104"/>
      </c:lineChart>
      <c:catAx>
        <c:axId val="139469184"/>
        <c:scaling>
          <c:orientation val="minMax"/>
        </c:scaling>
        <c:axPos val="b"/>
        <c:title>
          <c:tx>
            <c:rich>
              <a:bodyPr/>
              <a:lstStyle/>
              <a:p>
                <a:pPr>
                  <a:defRPr/>
                </a:pPr>
                <a:r>
                  <a:rPr lang="fr-FR"/>
                  <a:t>%</a:t>
                </a:r>
                <a:r>
                  <a:rPr lang="fr-FR" baseline="0"/>
                  <a:t> RCC</a:t>
                </a:r>
                <a:endParaRPr lang="fr-FR"/>
              </a:p>
            </c:rich>
          </c:tx>
        </c:title>
        <c:numFmt formatCode="General" sourceLinked="1"/>
        <c:majorTickMark val="none"/>
        <c:tickLblPos val="nextTo"/>
        <c:crossAx val="139471104"/>
        <c:crosses val="autoZero"/>
        <c:auto val="1"/>
        <c:lblAlgn val="ctr"/>
        <c:lblOffset val="100"/>
      </c:catAx>
      <c:valAx>
        <c:axId val="139471104"/>
        <c:scaling>
          <c:orientation val="minMax"/>
        </c:scaling>
        <c:axPos val="l"/>
        <c:majorGridlines/>
        <c:title>
          <c:tx>
            <c:rich>
              <a:bodyPr/>
              <a:lstStyle/>
              <a:p>
                <a:pPr>
                  <a:defRPr/>
                </a:pPr>
                <a:r>
                  <a:rPr lang="fr-FR"/>
                  <a:t>F</a:t>
                </a:r>
              </a:p>
            </c:rich>
          </c:tx>
        </c:title>
        <c:numFmt formatCode="General" sourceLinked="1"/>
        <c:tickLblPos val="nextTo"/>
        <c:crossAx val="139469184"/>
        <c:crosses val="autoZero"/>
        <c:crossBetween val="between"/>
      </c:valAx>
    </c:plotArea>
    <c:legend>
      <c:legendPos val="r"/>
    </c:legend>
    <c:plotVisOnly val="1"/>
  </c:chart>
  <c:spPr>
    <a:ln>
      <a:solidFill>
        <a:schemeClr val="tx1"/>
      </a:solidFill>
    </a:ln>
  </c:spPr>
  <c:externalData r:id="rId1"/>
</c:chartSpace>
</file>

<file path=word/drawings/drawing1.xml><?xml version="1.0" encoding="utf-8"?>
<c:userShapes xmlns:c="http://schemas.openxmlformats.org/drawingml/2006/chart">
  <cdr:relSizeAnchor xmlns:cdr="http://schemas.openxmlformats.org/drawingml/2006/chartDrawing">
    <cdr:from>
      <cdr:x>0.19792</cdr:x>
      <cdr:y>0.76997</cdr:y>
    </cdr:from>
    <cdr:to>
      <cdr:x>0.325</cdr:x>
      <cdr:y>0.83706</cdr:y>
    </cdr:to>
    <cdr:sp macro="" textlink="">
      <cdr:nvSpPr>
        <cdr:cNvPr id="2" name="ZoneTexte 1"/>
        <cdr:cNvSpPr txBox="1"/>
      </cdr:nvSpPr>
      <cdr:spPr>
        <a:xfrm xmlns:a="http://schemas.openxmlformats.org/drawingml/2006/main">
          <a:off x="904875" y="2295526"/>
          <a:ext cx="581025" cy="2000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fr-FR" sz="1100"/>
        </a:p>
      </cdr:txBody>
    </cdr:sp>
  </cdr:relSizeAnchor>
  <cdr:relSizeAnchor xmlns:cdr="http://schemas.openxmlformats.org/drawingml/2006/chartDrawing">
    <cdr:from>
      <cdr:x>0.18684</cdr:x>
      <cdr:y>0.77991</cdr:y>
    </cdr:from>
    <cdr:to>
      <cdr:x>0.38983</cdr:x>
      <cdr:y>0.87589</cdr:y>
    </cdr:to>
    <cdr:sp macro="" textlink="">
      <cdr:nvSpPr>
        <cdr:cNvPr id="3" name="ZoneTexte 2"/>
        <cdr:cNvSpPr txBox="1"/>
      </cdr:nvSpPr>
      <cdr:spPr>
        <a:xfrm xmlns:a="http://schemas.openxmlformats.org/drawingml/2006/main">
          <a:off x="525003" y="1976009"/>
          <a:ext cx="570372" cy="24318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000">
              <a:latin typeface="Times New Roman" pitchFamily="18" charset="0"/>
              <a:cs typeface="Times New Roman" pitchFamily="18" charset="0"/>
            </a:rPr>
            <a:t>BRA</a:t>
          </a:r>
        </a:p>
      </cdr:txBody>
    </cdr:sp>
  </cdr:relSizeAnchor>
  <cdr:relSizeAnchor xmlns:cdr="http://schemas.openxmlformats.org/drawingml/2006/chartDrawing">
    <cdr:from>
      <cdr:x>0.34375</cdr:x>
      <cdr:y>0.77316</cdr:y>
    </cdr:from>
    <cdr:to>
      <cdr:x>0.55932</cdr:x>
      <cdr:y>0.88346</cdr:y>
    </cdr:to>
    <cdr:sp macro="" textlink="">
      <cdr:nvSpPr>
        <cdr:cNvPr id="4" name="ZoneTexte 3"/>
        <cdr:cNvSpPr txBox="1"/>
      </cdr:nvSpPr>
      <cdr:spPr>
        <a:xfrm xmlns:a="http://schemas.openxmlformats.org/drawingml/2006/main">
          <a:off x="965893" y="1958916"/>
          <a:ext cx="605731" cy="27945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000">
              <a:latin typeface="Times New Roman" pitchFamily="18" charset="0"/>
              <a:cs typeface="Times New Roman" pitchFamily="18" charset="0"/>
            </a:rPr>
            <a:t>Extrait</a:t>
          </a:r>
        </a:p>
      </cdr:txBody>
    </cdr:sp>
  </cdr:relSizeAnchor>
  <cdr:relSizeAnchor xmlns:cdr="http://schemas.openxmlformats.org/drawingml/2006/chartDrawing">
    <cdr:from>
      <cdr:x>0.52292</cdr:x>
      <cdr:y>0.77636</cdr:y>
    </cdr:from>
    <cdr:to>
      <cdr:x>0.68475</cdr:x>
      <cdr:y>0.86901</cdr:y>
    </cdr:to>
    <cdr:sp macro="" textlink="">
      <cdr:nvSpPr>
        <cdr:cNvPr id="5" name="ZoneTexte 4"/>
        <cdr:cNvSpPr txBox="1"/>
      </cdr:nvSpPr>
      <cdr:spPr>
        <a:xfrm xmlns:a="http://schemas.openxmlformats.org/drawingml/2006/main">
          <a:off x="1469339" y="1967025"/>
          <a:ext cx="454711" cy="23474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000">
              <a:latin typeface="Times New Roman" pitchFamily="18" charset="0"/>
              <a:cs typeface="Times New Roman" pitchFamily="18" charset="0"/>
            </a:rPr>
            <a:t>RSV</a:t>
          </a:r>
        </a:p>
      </cdr:txBody>
    </cdr:sp>
  </cdr:relSizeAnchor>
  <cdr:relSizeAnchor xmlns:cdr="http://schemas.openxmlformats.org/drawingml/2006/chartDrawing">
    <cdr:from>
      <cdr:x>0.6875</cdr:x>
      <cdr:y>0.77955</cdr:y>
    </cdr:from>
    <cdr:to>
      <cdr:x>0.89153</cdr:x>
      <cdr:y>0.90977</cdr:y>
    </cdr:to>
    <cdr:sp macro="" textlink="">
      <cdr:nvSpPr>
        <cdr:cNvPr id="6" name="ZoneTexte 5"/>
        <cdr:cNvSpPr txBox="1"/>
      </cdr:nvSpPr>
      <cdr:spPr>
        <a:xfrm xmlns:a="http://schemas.openxmlformats.org/drawingml/2006/main">
          <a:off x="1931789" y="1975106"/>
          <a:ext cx="573286" cy="32994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000">
              <a:latin typeface="Times New Roman" pitchFamily="18" charset="0"/>
              <a:cs typeface="Times New Roman" pitchFamily="18" charset="0"/>
            </a:rPr>
            <a:t>RCC</a:t>
          </a:r>
        </a:p>
      </cdr:txBody>
    </cdr:sp>
  </cdr:relSizeAnchor>
  <cdr:relSizeAnchor xmlns:cdr="http://schemas.openxmlformats.org/drawingml/2006/chartDrawing">
    <cdr:from>
      <cdr:x>0.38125</cdr:x>
      <cdr:y>0.56802</cdr:y>
    </cdr:from>
    <cdr:to>
      <cdr:x>0.50263</cdr:x>
      <cdr:y>0.71179</cdr:y>
    </cdr:to>
    <cdr:sp macro="" textlink="">
      <cdr:nvSpPr>
        <cdr:cNvPr id="7" name="ZoneTexte 6"/>
        <cdr:cNvSpPr txBox="1"/>
      </cdr:nvSpPr>
      <cdr:spPr>
        <a:xfrm xmlns:a="http://schemas.openxmlformats.org/drawingml/2006/main">
          <a:off x="1379933" y="1525730"/>
          <a:ext cx="439341" cy="38617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13%</a:t>
          </a:r>
        </a:p>
      </cdr:txBody>
    </cdr:sp>
  </cdr:relSizeAnchor>
  <cdr:relSizeAnchor xmlns:cdr="http://schemas.openxmlformats.org/drawingml/2006/chartDrawing">
    <cdr:from>
      <cdr:x>0.18305</cdr:x>
      <cdr:y>0.595</cdr:y>
    </cdr:from>
    <cdr:to>
      <cdr:x>0.33644</cdr:x>
      <cdr:y>0.71641</cdr:y>
    </cdr:to>
    <cdr:sp macro="" textlink="">
      <cdr:nvSpPr>
        <cdr:cNvPr id="8" name="ZoneTexte 7"/>
        <cdr:cNvSpPr txBox="1"/>
      </cdr:nvSpPr>
      <cdr:spPr>
        <a:xfrm xmlns:a="http://schemas.openxmlformats.org/drawingml/2006/main">
          <a:off x="514351" y="1507529"/>
          <a:ext cx="431006" cy="30761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6,5%</a:t>
          </a:r>
        </a:p>
      </cdr:txBody>
    </cdr:sp>
  </cdr:relSizeAnchor>
  <cdr:relSizeAnchor xmlns:cdr="http://schemas.openxmlformats.org/drawingml/2006/chartDrawing">
    <cdr:from>
      <cdr:x>0.50169</cdr:x>
      <cdr:y>0.56553</cdr:y>
    </cdr:from>
    <cdr:to>
      <cdr:x>0.62895</cdr:x>
      <cdr:y>0.71249</cdr:y>
    </cdr:to>
    <cdr:sp macro="" textlink="">
      <cdr:nvSpPr>
        <cdr:cNvPr id="9" name="ZoneTexte 8"/>
        <cdr:cNvSpPr txBox="1"/>
      </cdr:nvSpPr>
      <cdr:spPr>
        <a:xfrm xmlns:a="http://schemas.openxmlformats.org/drawingml/2006/main">
          <a:off x="1409700" y="1432855"/>
          <a:ext cx="357563" cy="37234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15%</a:t>
          </a:r>
        </a:p>
      </cdr:txBody>
    </cdr:sp>
  </cdr:relSizeAnchor>
  <cdr:relSizeAnchor xmlns:cdr="http://schemas.openxmlformats.org/drawingml/2006/chartDrawing">
    <cdr:from>
      <cdr:x>0.67458</cdr:x>
      <cdr:y>0.4813</cdr:y>
    </cdr:from>
    <cdr:to>
      <cdr:x>0.82062</cdr:x>
      <cdr:y>0.64104</cdr:y>
    </cdr:to>
    <cdr:sp macro="" textlink="">
      <cdr:nvSpPr>
        <cdr:cNvPr id="10" name="ZoneTexte 9"/>
        <cdr:cNvSpPr txBox="1"/>
      </cdr:nvSpPr>
      <cdr:spPr>
        <a:xfrm xmlns:a="http://schemas.openxmlformats.org/drawingml/2006/main">
          <a:off x="1895475" y="1219449"/>
          <a:ext cx="410359" cy="4047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36%</a:t>
          </a:r>
        </a:p>
      </cdr:txBody>
    </cdr:sp>
  </cdr:relSizeAnchor>
</c:userShapes>
</file>

<file path=word/drawings/drawing2.xml><?xml version="1.0" encoding="utf-8"?>
<c:userShapes xmlns:c="http://schemas.openxmlformats.org/drawingml/2006/chart">
  <cdr:relSizeAnchor xmlns:cdr="http://schemas.openxmlformats.org/drawingml/2006/chartDrawing">
    <cdr:from>
      <cdr:x>0.13559</cdr:x>
      <cdr:y>0.92063</cdr:y>
    </cdr:from>
    <cdr:to>
      <cdr:x>0.2877</cdr:x>
      <cdr:y>1</cdr:y>
    </cdr:to>
    <cdr:sp macro="" textlink="">
      <cdr:nvSpPr>
        <cdr:cNvPr id="2" name="ZoneTexte 1"/>
        <cdr:cNvSpPr txBox="1"/>
      </cdr:nvSpPr>
      <cdr:spPr>
        <a:xfrm xmlns:a="http://schemas.openxmlformats.org/drawingml/2006/main">
          <a:off x="381000" y="2341323"/>
          <a:ext cx="427401" cy="20185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RAT</a:t>
          </a:r>
        </a:p>
      </cdr:txBody>
    </cdr:sp>
  </cdr:relSizeAnchor>
  <cdr:relSizeAnchor xmlns:cdr="http://schemas.openxmlformats.org/drawingml/2006/chartDrawing">
    <cdr:from>
      <cdr:x>0.25763</cdr:x>
      <cdr:y>0.9238</cdr:y>
    </cdr:from>
    <cdr:to>
      <cdr:x>0.46429</cdr:x>
      <cdr:y>0.98127</cdr:y>
    </cdr:to>
    <cdr:sp macro="" textlink="">
      <cdr:nvSpPr>
        <cdr:cNvPr id="3" name="ZoneTexte 2"/>
        <cdr:cNvSpPr txBox="1"/>
      </cdr:nvSpPr>
      <cdr:spPr>
        <a:xfrm xmlns:a="http://schemas.openxmlformats.org/drawingml/2006/main">
          <a:off x="723900" y="2349385"/>
          <a:ext cx="580697" cy="14616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Extrait</a:t>
          </a:r>
        </a:p>
      </cdr:txBody>
    </cdr:sp>
  </cdr:relSizeAnchor>
  <cdr:relSizeAnchor xmlns:cdr="http://schemas.openxmlformats.org/drawingml/2006/chartDrawing">
    <cdr:from>
      <cdr:x>0.65085</cdr:x>
      <cdr:y>0.92266</cdr:y>
    </cdr:from>
    <cdr:to>
      <cdr:x>0.83425</cdr:x>
      <cdr:y>0.96629</cdr:y>
    </cdr:to>
    <cdr:sp macro="" textlink="">
      <cdr:nvSpPr>
        <cdr:cNvPr id="4" name="ZoneTexte 3"/>
        <cdr:cNvSpPr txBox="1"/>
      </cdr:nvSpPr>
      <cdr:spPr>
        <a:xfrm xmlns:a="http://schemas.openxmlformats.org/drawingml/2006/main">
          <a:off x="1828800" y="2346484"/>
          <a:ext cx="515329" cy="11096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RCC</a:t>
          </a:r>
        </a:p>
      </cdr:txBody>
    </cdr:sp>
  </cdr:relSizeAnchor>
  <cdr:relSizeAnchor xmlns:cdr="http://schemas.openxmlformats.org/drawingml/2006/chartDrawing">
    <cdr:from>
      <cdr:x>0.20437</cdr:x>
      <cdr:y>0.45079</cdr:y>
    </cdr:from>
    <cdr:to>
      <cdr:x>0.34915</cdr:x>
      <cdr:y>0.54603</cdr:y>
    </cdr:to>
    <cdr:sp macro="" textlink="">
      <cdr:nvSpPr>
        <cdr:cNvPr id="5" name="ZoneTexte 4"/>
        <cdr:cNvSpPr txBox="1"/>
      </cdr:nvSpPr>
      <cdr:spPr>
        <a:xfrm xmlns:a="http://schemas.openxmlformats.org/drawingml/2006/main">
          <a:off x="574254" y="1146438"/>
          <a:ext cx="406821" cy="24221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85%</a:t>
          </a:r>
        </a:p>
      </cdr:txBody>
    </cdr:sp>
  </cdr:relSizeAnchor>
  <cdr:relSizeAnchor xmlns:cdr="http://schemas.openxmlformats.org/drawingml/2006/chartDrawing">
    <cdr:from>
      <cdr:x>0.34237</cdr:x>
      <cdr:y>0.50395</cdr:y>
    </cdr:from>
    <cdr:to>
      <cdr:x>0.47668</cdr:x>
      <cdr:y>0.60872</cdr:y>
    </cdr:to>
    <cdr:sp macro="" textlink="">
      <cdr:nvSpPr>
        <cdr:cNvPr id="6" name="ZoneTexte 5"/>
        <cdr:cNvSpPr txBox="1"/>
      </cdr:nvSpPr>
      <cdr:spPr>
        <a:xfrm xmlns:a="http://schemas.openxmlformats.org/drawingml/2006/main">
          <a:off x="962025" y="1281638"/>
          <a:ext cx="377383" cy="26644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76%</a:t>
          </a:r>
        </a:p>
      </cdr:txBody>
    </cdr:sp>
  </cdr:relSizeAnchor>
  <cdr:relSizeAnchor xmlns:cdr="http://schemas.openxmlformats.org/drawingml/2006/chartDrawing">
    <cdr:from>
      <cdr:x>0.50206</cdr:x>
      <cdr:y>0.54815</cdr:y>
    </cdr:from>
    <cdr:to>
      <cdr:x>0.65424</cdr:x>
      <cdr:y>0.64419</cdr:y>
    </cdr:to>
    <cdr:sp macro="" textlink="">
      <cdr:nvSpPr>
        <cdr:cNvPr id="7" name="ZoneTexte 6"/>
        <cdr:cNvSpPr txBox="1"/>
      </cdr:nvSpPr>
      <cdr:spPr>
        <a:xfrm xmlns:a="http://schemas.openxmlformats.org/drawingml/2006/main">
          <a:off x="1410729" y="1394040"/>
          <a:ext cx="427596" cy="24425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71%</a:t>
          </a:r>
        </a:p>
      </cdr:txBody>
    </cdr:sp>
  </cdr:relSizeAnchor>
  <cdr:relSizeAnchor xmlns:cdr="http://schemas.openxmlformats.org/drawingml/2006/chartDrawing">
    <cdr:from>
      <cdr:x>0.65085</cdr:x>
      <cdr:y>0.60468</cdr:y>
    </cdr:from>
    <cdr:to>
      <cdr:x>0.80466</cdr:x>
      <cdr:y>0.69663</cdr:y>
    </cdr:to>
    <cdr:sp macro="" textlink="">
      <cdr:nvSpPr>
        <cdr:cNvPr id="8" name="ZoneTexte 7"/>
        <cdr:cNvSpPr txBox="1"/>
      </cdr:nvSpPr>
      <cdr:spPr>
        <a:xfrm xmlns:a="http://schemas.openxmlformats.org/drawingml/2006/main">
          <a:off x="1828800" y="1537805"/>
          <a:ext cx="432192" cy="23384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50%</a:t>
          </a:r>
        </a:p>
      </cdr:txBody>
    </cdr:sp>
  </cdr:relSizeAnchor>
  <cdr:relSizeAnchor xmlns:cdr="http://schemas.openxmlformats.org/drawingml/2006/chartDrawing">
    <cdr:from>
      <cdr:x>0.48814</cdr:x>
      <cdr:y>0.931</cdr:y>
    </cdr:from>
    <cdr:to>
      <cdr:x>0.68743</cdr:x>
      <cdr:y>1</cdr:y>
    </cdr:to>
    <cdr:sp macro="" textlink="">
      <cdr:nvSpPr>
        <cdr:cNvPr id="9" name="ZoneTexte 8"/>
        <cdr:cNvSpPr txBox="1"/>
      </cdr:nvSpPr>
      <cdr:spPr>
        <a:xfrm xmlns:a="http://schemas.openxmlformats.org/drawingml/2006/main">
          <a:off x="1371600" y="2367696"/>
          <a:ext cx="559983" cy="17547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RSV</a:t>
          </a:r>
        </a:p>
      </cdr:txBody>
    </cdr:sp>
  </cdr:relSizeAnchor>
  <cdr:relSizeAnchor xmlns:cdr="http://schemas.openxmlformats.org/drawingml/2006/chartDrawing">
    <cdr:from>
      <cdr:x>0.02381</cdr:x>
      <cdr:y>0.3836</cdr:y>
    </cdr:from>
    <cdr:to>
      <cdr:x>0.06151</cdr:x>
      <cdr:y>0.62434</cdr:y>
    </cdr:to>
    <cdr:sp macro="" textlink="">
      <cdr:nvSpPr>
        <cdr:cNvPr id="11" name="ZoneTexte 10"/>
        <cdr:cNvSpPr txBox="1"/>
      </cdr:nvSpPr>
      <cdr:spPr>
        <a:xfrm xmlns:a="http://schemas.openxmlformats.org/drawingml/2006/main">
          <a:off x="114300" y="1381125"/>
          <a:ext cx="180975" cy="8667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l"/>
          <a:endParaRPr lang="fr-FR" sz="1100"/>
        </a:p>
      </cdr:txBody>
    </cdr:sp>
  </cdr:relSizeAnchor>
  <cdr:relSizeAnchor xmlns:cdr="http://schemas.openxmlformats.org/drawingml/2006/chartDrawing">
    <cdr:from>
      <cdr:x>3.55888E-7</cdr:x>
      <cdr:y>0.35206</cdr:y>
    </cdr:from>
    <cdr:to>
      <cdr:x>0.04746</cdr:x>
      <cdr:y>0.59788</cdr:y>
    </cdr:to>
    <cdr:sp macro="" textlink="">
      <cdr:nvSpPr>
        <cdr:cNvPr id="12" name="ZoneTexte 11"/>
        <cdr:cNvSpPr txBox="1"/>
      </cdr:nvSpPr>
      <cdr:spPr>
        <a:xfrm xmlns:a="http://schemas.openxmlformats.org/drawingml/2006/main">
          <a:off x="1" y="895350"/>
          <a:ext cx="133350" cy="62516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fr-FR" sz="1100"/>
            <a:t>%</a:t>
          </a:r>
        </a:p>
        <a:p xmlns:a="http://schemas.openxmlformats.org/drawingml/2006/main">
          <a:r>
            <a:rPr lang="fr-FR" sz="1100"/>
            <a:t>M</a:t>
          </a:r>
        </a:p>
        <a:p xmlns:a="http://schemas.openxmlformats.org/drawingml/2006/main">
          <a:r>
            <a:rPr lang="fr-FR" sz="1100"/>
            <a:t>a</a:t>
          </a:r>
        </a:p>
        <a:p xmlns:a="http://schemas.openxmlformats.org/drawingml/2006/main">
          <a:r>
            <a:rPr lang="fr-FR" sz="1100"/>
            <a:t>s</a:t>
          </a:r>
        </a:p>
        <a:p xmlns:a="http://schemas.openxmlformats.org/drawingml/2006/main">
          <a:r>
            <a:rPr lang="fr-FR" sz="1100"/>
            <a:t>s</a:t>
          </a:r>
        </a:p>
        <a:p xmlns:a="http://schemas.openxmlformats.org/drawingml/2006/main">
          <a:r>
            <a:rPr lang="fr-FR" sz="1100"/>
            <a:t>i</a:t>
          </a:r>
        </a:p>
        <a:p xmlns:a="http://schemas.openxmlformats.org/drawingml/2006/main">
          <a:r>
            <a:rPr lang="fr-FR" sz="1100"/>
            <a:t>q</a:t>
          </a:r>
        </a:p>
        <a:p xmlns:a="http://schemas.openxmlformats.org/drawingml/2006/main">
          <a:r>
            <a:rPr lang="fr-FR" sz="1100"/>
            <a:t>u</a:t>
          </a:r>
        </a:p>
        <a:p xmlns:a="http://schemas.openxmlformats.org/drawingml/2006/main">
          <a:r>
            <a:rPr lang="fr-FR" sz="1100"/>
            <a:t>e</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3D66E-FF01-4BB5-8584-2AFD6AB83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1854</Words>
  <Characters>10197</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Mimoun</cp:lastModifiedBy>
  <cp:revision>2</cp:revision>
  <dcterms:created xsi:type="dcterms:W3CDTF">2020-01-06T13:28:00Z</dcterms:created>
  <dcterms:modified xsi:type="dcterms:W3CDTF">2020-01-06T13:28:00Z</dcterms:modified>
</cp:coreProperties>
</file>