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66C86" w:rsidP="00494130">
      <w:pPr>
        <w:pStyle w:val="Heading1"/>
        <w:spacing w:before="170"/>
        <w:ind w:left="0"/>
      </w:pPr>
      <w:r w:rsidRPr="00566C86">
        <w:t>Application of laser-induce</w:t>
      </w:r>
      <w:r>
        <w:t xml:space="preserve">d breakdown spectroscopy (LIBS) on oilfield scales- a comparative study  </w:t>
      </w:r>
    </w:p>
    <w:p w:rsidR="00046EE5" w:rsidRDefault="00046EE5" w:rsidP="00985449">
      <w:pPr>
        <w:pStyle w:val="BodyText"/>
        <w:spacing w:before="73" w:line="198" w:lineRule="exact"/>
        <w:ind w:left="100" w:right="5987"/>
        <w:rPr>
          <w:rFonts w:ascii="Arial"/>
        </w:rPr>
      </w:pPr>
      <w:r>
        <w:rPr>
          <w:rFonts w:ascii="Arial"/>
        </w:rPr>
        <w:t xml:space="preserve">G. </w:t>
      </w:r>
      <w:proofErr w:type="spellStart"/>
      <w:r>
        <w:rPr>
          <w:rFonts w:ascii="Arial"/>
        </w:rPr>
        <w:t>Bassioni</w:t>
      </w:r>
      <w:proofErr w:type="spellEnd"/>
    </w:p>
    <w:p w:rsidR="00046EE5" w:rsidRDefault="00046EE5" w:rsidP="00985449">
      <w:pPr>
        <w:pStyle w:val="BodyText"/>
        <w:spacing w:before="73" w:line="198" w:lineRule="exact"/>
        <w:ind w:left="100" w:right="5987"/>
        <w:rPr>
          <w:rFonts w:ascii="Arial"/>
        </w:rPr>
      </w:pPr>
      <w:r>
        <w:rPr>
          <w:rFonts w:ascii="Arial"/>
        </w:rPr>
        <w:t>Faculty of Engineering, Ain Shams University, Cairo, Egypt</w:t>
      </w:r>
    </w:p>
    <w:p w:rsidR="00985449" w:rsidRPr="00985449" w:rsidRDefault="006D7D1B" w:rsidP="00985449">
      <w:pPr>
        <w:pStyle w:val="BodyText"/>
        <w:spacing w:before="73" w:line="198" w:lineRule="exact"/>
        <w:ind w:left="100" w:right="5987"/>
        <w:rPr>
          <w:rFonts w:ascii="Arial"/>
        </w:rPr>
      </w:pPr>
      <w:r>
        <w:rPr>
          <w:rFonts w:ascii="Arial"/>
        </w:rPr>
        <w:t>M.</w:t>
      </w:r>
      <w:r w:rsidR="007B3F85">
        <w:rPr>
          <w:rFonts w:ascii="Arial"/>
        </w:rPr>
        <w:t xml:space="preserve"> A. </w:t>
      </w:r>
      <w:proofErr w:type="spellStart"/>
      <w:r>
        <w:rPr>
          <w:rFonts w:ascii="Arial"/>
        </w:rPr>
        <w:t>Harith</w:t>
      </w:r>
      <w:proofErr w:type="spellEnd"/>
      <w:r>
        <w:rPr>
          <w:rFonts w:ascii="Arial"/>
        </w:rPr>
        <w:t xml:space="preserve">, </w:t>
      </w:r>
      <w:r w:rsidR="00985449" w:rsidRPr="00985449">
        <w:rPr>
          <w:rFonts w:ascii="Arial"/>
        </w:rPr>
        <w:t>A.</w:t>
      </w:r>
      <w:r>
        <w:rPr>
          <w:rFonts w:ascii="Arial"/>
        </w:rPr>
        <w:t xml:space="preserve"> </w:t>
      </w:r>
      <w:r w:rsidR="00985449" w:rsidRPr="00985449">
        <w:rPr>
          <w:rFonts w:ascii="Arial"/>
        </w:rPr>
        <w:t xml:space="preserve">H. </w:t>
      </w:r>
      <w:proofErr w:type="spellStart"/>
      <w:r w:rsidR="00985449" w:rsidRPr="00985449">
        <w:rPr>
          <w:rFonts w:ascii="Arial"/>
        </w:rPr>
        <w:t>Galmed</w:t>
      </w:r>
      <w:proofErr w:type="spellEnd"/>
    </w:p>
    <w:p w:rsidR="005973B9" w:rsidRDefault="00985449" w:rsidP="00046EE5">
      <w:pPr>
        <w:pStyle w:val="BodyText"/>
        <w:spacing w:before="73" w:line="198" w:lineRule="exact"/>
        <w:ind w:left="100" w:right="5987"/>
        <w:rPr>
          <w:rFonts w:ascii="Arial"/>
        </w:rPr>
      </w:pPr>
      <w:r w:rsidRPr="00985449">
        <w:rPr>
          <w:rFonts w:ascii="Arial"/>
        </w:rPr>
        <w:t>National Institute of Laser Enhanced Science, Cairo</w:t>
      </w:r>
      <w:r w:rsidR="00046EE5">
        <w:rPr>
          <w:rFonts w:ascii="Arial"/>
        </w:rPr>
        <w:t xml:space="preserve">, </w:t>
      </w:r>
      <w:r w:rsidRPr="00985449">
        <w:rPr>
          <w:rFonts w:ascii="Arial"/>
        </w:rPr>
        <w:t>University, Giza, Egypt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566C86">
      <w:pPr>
        <w:pStyle w:val="Heading3"/>
        <w:spacing w:before="147"/>
        <w:jc w:val="both"/>
      </w:pPr>
      <w:r>
        <w:rPr>
          <w:color w:val="BF5A14"/>
        </w:rPr>
        <w:lastRenderedPageBreak/>
        <w:t>Abstract</w:t>
      </w:r>
    </w:p>
    <w:p w:rsidR="00BB7A50" w:rsidRDefault="007F3A50" w:rsidP="00744B24">
      <w:pPr>
        <w:pStyle w:val="BodyText"/>
        <w:spacing w:line="280" w:lineRule="auto"/>
        <w:ind w:left="100"/>
        <w:jc w:val="both"/>
      </w:pPr>
      <w:r>
        <w:t>In oil and gas ﬁelds, scales are a conglomeration of different compounds of inorganic and organic nature. Scales, if not handled properly, may result in signiﬁcant production losses. It is necessary to continuously update scale-management strategies for the protection and maintenance of the system to extend the ﬁeld’s lifetime. During oilﬁeld scale cleanup, accumulated naturally occurring radioactive materials (NORMs) at concentrations greater than the permissible</w:t>
      </w:r>
      <w:r w:rsidR="00BB7A50">
        <w:t xml:space="preserve"> </w:t>
      </w:r>
      <w:r>
        <w:t xml:space="preserve">health levels can be retrieved. Accumulated radioactive materials concentrate in tubing and surface equipment, and workers at equipment-cleaning facilities and NORMs disposal facilities are the population most at risk for exposure to NORM radiation. </w:t>
      </w:r>
      <w:r w:rsidR="00566C86">
        <w:t>R</w:t>
      </w:r>
      <w:r>
        <w:t xml:space="preserve">esults </w:t>
      </w:r>
      <w:r w:rsidR="00566C86">
        <w:t xml:space="preserve">of proper NORM assessment </w:t>
      </w:r>
      <w:r>
        <w:t>can be used to assess the respective hazard on</w:t>
      </w:r>
      <w:r w:rsidR="00BB7A50">
        <w:t xml:space="preserve"> </w:t>
      </w:r>
      <w:r w:rsidR="00C0687F">
        <w:t xml:space="preserve">workers in </w:t>
      </w:r>
      <w:r>
        <w:t>the ﬁeld and represent a basis for revisiting</w:t>
      </w:r>
      <w:r w:rsidR="00BB7A50">
        <w:t xml:space="preserve"> </w:t>
      </w:r>
      <w:r>
        <w:t>current engineering</w:t>
      </w:r>
      <w:r w:rsidR="00C0687F">
        <w:t xml:space="preserve"> </w:t>
      </w:r>
      <w:r>
        <w:t>practices</w:t>
      </w:r>
      <w:r w:rsidR="00E278E5">
        <w:t xml:space="preserve"> [1]</w:t>
      </w:r>
      <w:r>
        <w:t>.</w:t>
      </w:r>
      <w:r w:rsidR="00BB7A50">
        <w:t xml:space="preserve"> </w:t>
      </w:r>
      <w:r w:rsidR="00566C86">
        <w:t>Generally, k</w:t>
      </w:r>
      <w:r w:rsidR="007C4F01">
        <w:t xml:space="preserve">nowledge of trace metals in organic and inorganic scales </w:t>
      </w:r>
      <w:r w:rsidR="00C0687F">
        <w:t>could play a significant role in providing useful information on mechanistic and migratory features</w:t>
      </w:r>
      <w:r w:rsidR="00E278E5">
        <w:t xml:space="preserve"> [2</w:t>
      </w:r>
      <w:r w:rsidR="00B12BE3">
        <w:t>-4</w:t>
      </w:r>
      <w:r w:rsidR="00E278E5">
        <w:t>]</w:t>
      </w:r>
      <w:r w:rsidR="00C0687F">
        <w:t>. These metals originate directly from interaction of oils</w:t>
      </w:r>
      <w:r w:rsidR="007C4F01">
        <w:t xml:space="preserve"> and formation water </w:t>
      </w:r>
      <w:r w:rsidR="00C0687F">
        <w:t xml:space="preserve">with source-rock, mineral matter, and </w:t>
      </w:r>
      <w:r w:rsidR="007C4F01">
        <w:t>production</w:t>
      </w:r>
      <w:r w:rsidR="00C0687F">
        <w:t xml:space="preserve"> water</w:t>
      </w:r>
      <w:r w:rsidR="007C4F01">
        <w:t>.</w:t>
      </w:r>
      <w:r w:rsidR="00C0687F">
        <w:t xml:space="preserve"> Suitable samples were subjected to high performance laser depth profiling</w:t>
      </w:r>
      <w:r w:rsidR="00566C86">
        <w:t xml:space="preserve"> and metals found were recorded</w:t>
      </w:r>
      <w:r w:rsidR="00E278E5">
        <w:t xml:space="preserve"> [</w:t>
      </w:r>
      <w:r w:rsidR="00B12BE3">
        <w:t>5</w:t>
      </w:r>
      <w:r w:rsidR="00E278E5">
        <w:t>]</w:t>
      </w:r>
      <w:r w:rsidR="00C0687F">
        <w:t xml:space="preserve">. </w:t>
      </w:r>
      <w:r w:rsidR="007C4F01">
        <w:t xml:space="preserve">This study shows in a systematic way the use of </w:t>
      </w:r>
      <w:r w:rsidR="00BB7A50">
        <w:t xml:space="preserve">LIBS technique </w:t>
      </w:r>
      <w:r w:rsidR="007C4F01">
        <w:t xml:space="preserve">to confirm ICP-MS findings as well as </w:t>
      </w:r>
      <w:r w:rsidR="00BB7A50">
        <w:t>to find</w:t>
      </w:r>
      <w:r w:rsidR="00C0687F">
        <w:t xml:space="preserve"> </w:t>
      </w:r>
      <w:r w:rsidR="00BB7A50">
        <w:t>correlations between radioactivity</w:t>
      </w:r>
      <w:r w:rsidR="009910AA">
        <w:t>, deposition tendency</w:t>
      </w:r>
      <w:r w:rsidR="00BB7A50">
        <w:t xml:space="preserve"> and the elements distribution in the samples.</w:t>
      </w:r>
      <w:r w:rsidR="007C4F01">
        <w:t xml:space="preserve"> </w:t>
      </w:r>
      <w:r w:rsidR="00BB7A50">
        <w:t xml:space="preserve"> </w:t>
      </w:r>
    </w:p>
    <w:p w:rsidR="00AE3E37" w:rsidRDefault="00A9710C">
      <w:pPr>
        <w:pStyle w:val="Heading3"/>
        <w:spacing w:before="74"/>
        <w:rPr>
          <w:color w:val="BF5A14"/>
        </w:rPr>
      </w:pPr>
      <w:r>
        <w:rPr>
          <w:b w:val="0"/>
        </w:rPr>
        <w:br w:type="column"/>
      </w:r>
      <w:r>
        <w:rPr>
          <w:color w:val="BF5A14"/>
        </w:rPr>
        <w:lastRenderedPageBreak/>
        <w:t>Image</w:t>
      </w:r>
    </w:p>
    <w:p w:rsidR="00AE3E37" w:rsidRDefault="00556F56" w:rsidP="003967B5">
      <w:pPr>
        <w:pStyle w:val="Heading3"/>
        <w:spacing w:before="74"/>
        <w:rPr>
          <w:b w:val="0"/>
          <w:sz w:val="16"/>
        </w:rPr>
      </w:pPr>
      <w:r>
        <w:rPr>
          <w:noProof/>
        </w:rPr>
        <mc:AlternateContent>
          <mc:Choice Requires="wps">
            <w:drawing>
              <wp:anchor distT="0" distB="0" distL="114300" distR="114300" simplePos="0" relativeHeight="251659264" behindDoc="0" locked="0" layoutInCell="1" allowOverlap="1" wp14:anchorId="42DF620C" wp14:editId="0EC150C3">
                <wp:simplePos x="0" y="0"/>
                <wp:positionH relativeFrom="column">
                  <wp:posOffset>77521</wp:posOffset>
                </wp:positionH>
                <wp:positionV relativeFrom="paragraph">
                  <wp:posOffset>120777</wp:posOffset>
                </wp:positionV>
                <wp:extent cx="212141" cy="248717"/>
                <wp:effectExtent l="0" t="0" r="16510" b="18415"/>
                <wp:wrapNone/>
                <wp:docPr id="2" name="Rectangle 2"/>
                <wp:cNvGraphicFramePr/>
                <a:graphic xmlns:a="http://schemas.openxmlformats.org/drawingml/2006/main">
                  <a:graphicData uri="http://schemas.microsoft.com/office/word/2010/wordprocessingShape">
                    <wps:wsp>
                      <wps:cNvSpPr/>
                      <wps:spPr>
                        <a:xfrm>
                          <a:off x="0" y="0"/>
                          <a:ext cx="212141" cy="24871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6.1pt;margin-top:9.5pt;width:16.7pt;height:19.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" fillcolor="white [3212]" strokecolor="white [3212]" strokeweight="2pt"/>
            </w:pict>
          </mc:Fallback>
        </mc:AlternateContent>
      </w:r>
      <w:bookmarkStart w:id="0" w:name="_GoBack"/>
      <w:bookmarkEnd w:id="0"/>
      <w:r w:rsidR="003967B5">
        <w:rPr>
          <w:b w:val="0"/>
          <w:noProof/>
          <w:sz w:val="16"/>
        </w:rPr>
        <w:drawing>
          <wp:inline distT="0" distB="0" distL="0" distR="0" wp14:anchorId="5C7C9AFF" wp14:editId="33531775">
            <wp:extent cx="3203723" cy="111034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8933" cy="1112149"/>
                    </a:xfrm>
                    <a:prstGeom prst="rect">
                      <a:avLst/>
                    </a:prstGeom>
                  </pic:spPr>
                </pic:pic>
              </a:graphicData>
            </a:graphic>
          </wp:inline>
        </w:drawing>
      </w:r>
    </w:p>
    <w:p w:rsidR="005973B9" w:rsidRDefault="005973B9" w:rsidP="003905A7">
      <w:pPr>
        <w:spacing w:line="204" w:lineRule="exact"/>
        <w:rPr>
          <w:rFonts w:ascii="Arial"/>
          <w:b/>
          <w:sz w:val="20"/>
        </w:rPr>
      </w:pPr>
      <w:r>
        <w:rPr>
          <w:rFonts w:ascii="Arial"/>
          <w:b/>
          <w:color w:val="BF5A14"/>
          <w:sz w:val="20"/>
        </w:rPr>
        <w:br/>
        <w:t>Recent Publications</w:t>
      </w:r>
    </w:p>
    <w:p w:rsidR="00E278E5" w:rsidRDefault="00E278E5" w:rsidP="008E0658">
      <w:pPr>
        <w:pStyle w:val="ListParagraph"/>
        <w:numPr>
          <w:ilvl w:val="0"/>
          <w:numId w:val="3"/>
        </w:numPr>
        <w:tabs>
          <w:tab w:val="left" w:pos="384"/>
        </w:tabs>
        <w:spacing w:before="103" w:line="216" w:lineRule="exact"/>
        <w:ind w:right="138"/>
        <w:rPr>
          <w:sz w:val="18"/>
        </w:rPr>
      </w:pPr>
      <w:proofErr w:type="spellStart"/>
      <w:r w:rsidRPr="008E0658">
        <w:rPr>
          <w:sz w:val="18"/>
        </w:rPr>
        <w:t>Ghada</w:t>
      </w:r>
      <w:proofErr w:type="spellEnd"/>
      <w:r w:rsidRPr="008E0658">
        <w:rPr>
          <w:sz w:val="18"/>
        </w:rPr>
        <w:t xml:space="preserve"> </w:t>
      </w:r>
      <w:proofErr w:type="spellStart"/>
      <w:r w:rsidRPr="008E0658">
        <w:rPr>
          <w:sz w:val="18"/>
        </w:rPr>
        <w:t>Bassioni</w:t>
      </w:r>
      <w:proofErr w:type="spellEnd"/>
      <w:r w:rsidRPr="008E0658">
        <w:rPr>
          <w:sz w:val="18"/>
        </w:rPr>
        <w:t xml:space="preserve">, Fareed Abdulla, </w:t>
      </w:r>
      <w:proofErr w:type="spellStart"/>
      <w:r w:rsidRPr="008E0658">
        <w:rPr>
          <w:sz w:val="18"/>
        </w:rPr>
        <w:t>Zeinab</w:t>
      </w:r>
      <w:proofErr w:type="spellEnd"/>
      <w:r w:rsidRPr="008E0658">
        <w:rPr>
          <w:sz w:val="18"/>
        </w:rPr>
        <w:t xml:space="preserve"> </w:t>
      </w:r>
      <w:proofErr w:type="spellStart"/>
      <w:r w:rsidRPr="008E0658">
        <w:rPr>
          <w:sz w:val="18"/>
        </w:rPr>
        <w:t>Morsy</w:t>
      </w:r>
      <w:proofErr w:type="spellEnd"/>
      <w:r w:rsidRPr="008E0658">
        <w:rPr>
          <w:sz w:val="18"/>
        </w:rPr>
        <w:t>, Nabil El-</w:t>
      </w:r>
      <w:proofErr w:type="spellStart"/>
      <w:r w:rsidRPr="008E0658">
        <w:rPr>
          <w:sz w:val="18"/>
        </w:rPr>
        <w:t>Faramawy</w:t>
      </w:r>
      <w:proofErr w:type="spellEnd"/>
      <w:r>
        <w:rPr>
          <w:sz w:val="18"/>
        </w:rPr>
        <w:t xml:space="preserve"> (2012)</w:t>
      </w:r>
      <w:r w:rsidRPr="008E0658">
        <w:rPr>
          <w:sz w:val="18"/>
        </w:rPr>
        <w:t xml:space="preserve"> Evaluation of Naturally Occurring Radioactive Materials (NORM) in Inorganic and Organic Oilfield Scales from the Middle East, Archives of Environmental Contamination and Toxicolo</w:t>
      </w:r>
      <w:r>
        <w:rPr>
          <w:sz w:val="18"/>
        </w:rPr>
        <w:t>gy, Vol.62 (3), pp.361-368</w:t>
      </w:r>
      <w:r w:rsidRPr="008E0658">
        <w:rPr>
          <w:sz w:val="18"/>
        </w:rPr>
        <w:t>.</w:t>
      </w:r>
    </w:p>
    <w:p w:rsidR="005973B9" w:rsidRDefault="008E0658" w:rsidP="008E0658">
      <w:pPr>
        <w:pStyle w:val="ListParagraph"/>
        <w:numPr>
          <w:ilvl w:val="0"/>
          <w:numId w:val="3"/>
        </w:numPr>
        <w:tabs>
          <w:tab w:val="left" w:pos="384"/>
        </w:tabs>
        <w:spacing w:before="103" w:line="216" w:lineRule="exact"/>
        <w:ind w:right="138"/>
        <w:rPr>
          <w:sz w:val="18"/>
        </w:rPr>
      </w:pPr>
      <w:proofErr w:type="spellStart"/>
      <w:r>
        <w:rPr>
          <w:sz w:val="18"/>
        </w:rPr>
        <w:t>Ghada</w:t>
      </w:r>
      <w:proofErr w:type="spellEnd"/>
      <w:r>
        <w:rPr>
          <w:sz w:val="18"/>
        </w:rPr>
        <w:t xml:space="preserve"> </w:t>
      </w:r>
      <w:proofErr w:type="spellStart"/>
      <w:r>
        <w:rPr>
          <w:sz w:val="18"/>
        </w:rPr>
        <w:t>Bassioni</w:t>
      </w:r>
      <w:proofErr w:type="spellEnd"/>
      <w:r w:rsidRPr="008E0658">
        <w:rPr>
          <w:sz w:val="18"/>
        </w:rPr>
        <w:t xml:space="preserve"> </w:t>
      </w:r>
      <w:r>
        <w:rPr>
          <w:sz w:val="18"/>
        </w:rPr>
        <w:t xml:space="preserve">(2010) </w:t>
      </w:r>
      <w:r w:rsidRPr="008E0658">
        <w:rPr>
          <w:sz w:val="18"/>
        </w:rPr>
        <w:t>Mechanistic aspects on the influence of inorganic anion adsorption on oilfield scale inhibition by citrate, Journal of Petroleum Science and Enginee</w:t>
      </w:r>
      <w:r>
        <w:rPr>
          <w:sz w:val="18"/>
        </w:rPr>
        <w:t>ring, vol. 70, pp. 298-300</w:t>
      </w:r>
      <w:r w:rsidRPr="008E0658">
        <w:rPr>
          <w:sz w:val="18"/>
        </w:rPr>
        <w:t>.</w:t>
      </w:r>
    </w:p>
    <w:p w:rsidR="00E278E5" w:rsidRDefault="00E278E5" w:rsidP="00E278E5">
      <w:pPr>
        <w:pStyle w:val="ListParagraph"/>
        <w:numPr>
          <w:ilvl w:val="0"/>
          <w:numId w:val="3"/>
        </w:numPr>
        <w:tabs>
          <w:tab w:val="left" w:pos="384"/>
        </w:tabs>
        <w:spacing w:line="216" w:lineRule="exact"/>
        <w:ind w:right="138"/>
        <w:rPr>
          <w:sz w:val="18"/>
          <w:szCs w:val="18"/>
        </w:rPr>
      </w:pPr>
      <w:r w:rsidRPr="008E0658">
        <w:rPr>
          <w:sz w:val="18"/>
          <w:szCs w:val="18"/>
        </w:rPr>
        <w:t xml:space="preserve">Syed </w:t>
      </w:r>
      <w:proofErr w:type="spellStart"/>
      <w:r w:rsidRPr="008E0658">
        <w:rPr>
          <w:sz w:val="18"/>
          <w:szCs w:val="18"/>
        </w:rPr>
        <w:t>Taha</w:t>
      </w:r>
      <w:proofErr w:type="spellEnd"/>
      <w:r w:rsidRPr="008E0658">
        <w:rPr>
          <w:sz w:val="18"/>
          <w:szCs w:val="18"/>
        </w:rPr>
        <w:t xml:space="preserve"> </w:t>
      </w:r>
      <w:proofErr w:type="spellStart"/>
      <w:r w:rsidRPr="008E0658">
        <w:rPr>
          <w:sz w:val="18"/>
          <w:szCs w:val="18"/>
        </w:rPr>
        <w:t>Taqvi</w:t>
      </w:r>
      <w:proofErr w:type="spellEnd"/>
      <w:r w:rsidRPr="008E0658">
        <w:rPr>
          <w:sz w:val="18"/>
          <w:szCs w:val="18"/>
        </w:rPr>
        <w:t xml:space="preserve">, Ali </w:t>
      </w:r>
      <w:proofErr w:type="spellStart"/>
      <w:r w:rsidRPr="008E0658">
        <w:rPr>
          <w:sz w:val="18"/>
          <w:szCs w:val="18"/>
        </w:rPr>
        <w:t>Almansoori</w:t>
      </w:r>
      <w:proofErr w:type="spellEnd"/>
      <w:r w:rsidRPr="008E0658">
        <w:rPr>
          <w:sz w:val="18"/>
          <w:szCs w:val="18"/>
        </w:rPr>
        <w:t xml:space="preserve">, </w:t>
      </w:r>
      <w:proofErr w:type="spellStart"/>
      <w:r w:rsidRPr="008E0658">
        <w:rPr>
          <w:sz w:val="18"/>
          <w:szCs w:val="18"/>
        </w:rPr>
        <w:t>Ghada</w:t>
      </w:r>
      <w:proofErr w:type="spellEnd"/>
      <w:r w:rsidRPr="008E0658">
        <w:rPr>
          <w:sz w:val="18"/>
          <w:szCs w:val="18"/>
        </w:rPr>
        <w:t xml:space="preserve"> </w:t>
      </w:r>
      <w:proofErr w:type="spellStart"/>
      <w:r w:rsidRPr="008E0658">
        <w:rPr>
          <w:sz w:val="18"/>
          <w:szCs w:val="18"/>
        </w:rPr>
        <w:t>Bassioni</w:t>
      </w:r>
      <w:proofErr w:type="spellEnd"/>
      <w:r>
        <w:rPr>
          <w:sz w:val="18"/>
          <w:szCs w:val="18"/>
        </w:rPr>
        <w:t xml:space="preserve"> (2014)</w:t>
      </w:r>
      <w:r w:rsidRPr="008E0658">
        <w:rPr>
          <w:sz w:val="18"/>
          <w:szCs w:val="18"/>
        </w:rPr>
        <w:t xml:space="preserve"> Modeling the Impact of Wettability Alterations on Calcium Carbonate System for Crude Oil and </w:t>
      </w:r>
      <w:proofErr w:type="spellStart"/>
      <w:r w:rsidRPr="008E0658">
        <w:rPr>
          <w:sz w:val="18"/>
          <w:szCs w:val="18"/>
        </w:rPr>
        <w:t>asphaltenic</w:t>
      </w:r>
      <w:proofErr w:type="spellEnd"/>
      <w:r w:rsidRPr="008E0658">
        <w:rPr>
          <w:sz w:val="18"/>
          <w:szCs w:val="18"/>
        </w:rPr>
        <w:t xml:space="preserve"> solutions, Industrial and Engineering Chemistry Resear</w:t>
      </w:r>
      <w:r>
        <w:rPr>
          <w:sz w:val="18"/>
          <w:szCs w:val="18"/>
        </w:rPr>
        <w:t>ch, Vol. 53, pp. 4773-4777</w:t>
      </w:r>
      <w:r w:rsidRPr="008E0658">
        <w:rPr>
          <w:sz w:val="18"/>
          <w:szCs w:val="18"/>
        </w:rPr>
        <w:t>.</w:t>
      </w:r>
    </w:p>
    <w:p w:rsidR="00E278E5" w:rsidRPr="00E278E5" w:rsidRDefault="00E278E5" w:rsidP="00E278E5">
      <w:pPr>
        <w:pStyle w:val="ListParagraph"/>
        <w:numPr>
          <w:ilvl w:val="0"/>
          <w:numId w:val="3"/>
        </w:numPr>
        <w:tabs>
          <w:tab w:val="left" w:pos="384"/>
        </w:tabs>
        <w:spacing w:line="216" w:lineRule="exact"/>
        <w:ind w:right="138"/>
        <w:rPr>
          <w:sz w:val="18"/>
          <w:szCs w:val="18"/>
        </w:rPr>
      </w:pPr>
      <w:r w:rsidRPr="00E278E5">
        <w:rPr>
          <w:sz w:val="18"/>
          <w:szCs w:val="18"/>
        </w:rPr>
        <w:t xml:space="preserve">Syed </w:t>
      </w:r>
      <w:proofErr w:type="spellStart"/>
      <w:r w:rsidRPr="00E278E5">
        <w:rPr>
          <w:sz w:val="18"/>
          <w:szCs w:val="18"/>
        </w:rPr>
        <w:t>Taha</w:t>
      </w:r>
      <w:proofErr w:type="spellEnd"/>
      <w:r w:rsidRPr="00E278E5">
        <w:rPr>
          <w:sz w:val="18"/>
          <w:szCs w:val="18"/>
        </w:rPr>
        <w:t xml:space="preserve"> </w:t>
      </w:r>
      <w:proofErr w:type="spellStart"/>
      <w:r w:rsidRPr="00E278E5">
        <w:rPr>
          <w:sz w:val="18"/>
          <w:szCs w:val="18"/>
        </w:rPr>
        <w:t>Taqvi</w:t>
      </w:r>
      <w:proofErr w:type="spellEnd"/>
      <w:r w:rsidRPr="00E278E5">
        <w:rPr>
          <w:sz w:val="18"/>
          <w:szCs w:val="18"/>
        </w:rPr>
        <w:t xml:space="preserve">, Ali </w:t>
      </w:r>
      <w:proofErr w:type="spellStart"/>
      <w:r w:rsidRPr="00E278E5">
        <w:rPr>
          <w:sz w:val="18"/>
          <w:szCs w:val="18"/>
        </w:rPr>
        <w:t>Almansoori</w:t>
      </w:r>
      <w:proofErr w:type="spellEnd"/>
      <w:r w:rsidRPr="00E278E5">
        <w:rPr>
          <w:sz w:val="18"/>
          <w:szCs w:val="18"/>
        </w:rPr>
        <w:t xml:space="preserve">, </w:t>
      </w:r>
      <w:proofErr w:type="spellStart"/>
      <w:r w:rsidRPr="00E278E5">
        <w:rPr>
          <w:sz w:val="18"/>
          <w:szCs w:val="18"/>
        </w:rPr>
        <w:t>Ghada</w:t>
      </w:r>
      <w:proofErr w:type="spellEnd"/>
      <w:r w:rsidRPr="00E278E5">
        <w:rPr>
          <w:sz w:val="18"/>
          <w:szCs w:val="18"/>
        </w:rPr>
        <w:t xml:space="preserve"> </w:t>
      </w:r>
      <w:proofErr w:type="spellStart"/>
      <w:r w:rsidRPr="00E278E5">
        <w:rPr>
          <w:sz w:val="18"/>
          <w:szCs w:val="18"/>
        </w:rPr>
        <w:t>Bassioni</w:t>
      </w:r>
      <w:proofErr w:type="spellEnd"/>
      <w:r w:rsidRPr="00E278E5">
        <w:rPr>
          <w:sz w:val="18"/>
          <w:szCs w:val="18"/>
        </w:rPr>
        <w:t xml:space="preserve"> (2016) Understanding the Role of </w:t>
      </w:r>
      <w:proofErr w:type="spellStart"/>
      <w:r w:rsidRPr="00E278E5">
        <w:rPr>
          <w:sz w:val="18"/>
          <w:szCs w:val="18"/>
        </w:rPr>
        <w:t>Asphaltene</w:t>
      </w:r>
      <w:proofErr w:type="spellEnd"/>
      <w:r w:rsidRPr="00E278E5">
        <w:rPr>
          <w:sz w:val="18"/>
          <w:szCs w:val="18"/>
        </w:rPr>
        <w:t xml:space="preserve"> in Wettability Alteration using Zeta Potential Measurements, Energy and Fuels, Vol. 30 (3), pp. 1927-1932.</w:t>
      </w:r>
    </w:p>
    <w:p w:rsidR="005973B9" w:rsidRDefault="008E0658" w:rsidP="008E0658">
      <w:pPr>
        <w:pStyle w:val="ListParagraph"/>
        <w:numPr>
          <w:ilvl w:val="0"/>
          <w:numId w:val="3"/>
        </w:numPr>
        <w:tabs>
          <w:tab w:val="left" w:pos="384"/>
        </w:tabs>
        <w:spacing w:line="216" w:lineRule="exact"/>
        <w:ind w:right="137"/>
        <w:rPr>
          <w:sz w:val="18"/>
        </w:rPr>
      </w:pPr>
      <w:proofErr w:type="spellStart"/>
      <w:r w:rsidRPr="008E0658">
        <w:rPr>
          <w:sz w:val="18"/>
        </w:rPr>
        <w:t>Avin</w:t>
      </w:r>
      <w:proofErr w:type="spellEnd"/>
      <w:r w:rsidRPr="008E0658">
        <w:rPr>
          <w:sz w:val="18"/>
        </w:rPr>
        <w:t xml:space="preserve"> Pillay, </w:t>
      </w:r>
      <w:proofErr w:type="spellStart"/>
      <w:r w:rsidRPr="008E0658">
        <w:rPr>
          <w:sz w:val="18"/>
        </w:rPr>
        <w:t>Ghada</w:t>
      </w:r>
      <w:proofErr w:type="spellEnd"/>
      <w:r w:rsidRPr="008E0658">
        <w:rPr>
          <w:sz w:val="18"/>
        </w:rPr>
        <w:t xml:space="preserve"> </w:t>
      </w:r>
      <w:proofErr w:type="spellStart"/>
      <w:r w:rsidRPr="008E0658">
        <w:rPr>
          <w:sz w:val="18"/>
        </w:rPr>
        <w:t>Bassioni</w:t>
      </w:r>
      <w:proofErr w:type="spellEnd"/>
      <w:r w:rsidRPr="008E0658">
        <w:rPr>
          <w:sz w:val="18"/>
        </w:rPr>
        <w:t xml:space="preserve">, </w:t>
      </w:r>
      <w:proofErr w:type="spellStart"/>
      <w:r w:rsidRPr="008E0658">
        <w:rPr>
          <w:sz w:val="18"/>
        </w:rPr>
        <w:t>Sasi</w:t>
      </w:r>
      <w:proofErr w:type="spellEnd"/>
      <w:r w:rsidRPr="008E0658">
        <w:rPr>
          <w:sz w:val="18"/>
        </w:rPr>
        <w:t xml:space="preserve"> Stephen, Fritz </w:t>
      </w:r>
      <w:proofErr w:type="spellStart"/>
      <w:r w:rsidRPr="008E0658">
        <w:rPr>
          <w:sz w:val="18"/>
        </w:rPr>
        <w:t>Kühn</w:t>
      </w:r>
      <w:proofErr w:type="spellEnd"/>
      <w:r>
        <w:rPr>
          <w:sz w:val="18"/>
        </w:rPr>
        <w:t xml:space="preserve"> (2011)</w:t>
      </w:r>
      <w:r w:rsidRPr="008E0658">
        <w:rPr>
          <w:sz w:val="18"/>
        </w:rPr>
        <w:t xml:space="preserve"> Depth profiling (ICP-MS) study of trace metal 'grains' in solid </w:t>
      </w:r>
      <w:proofErr w:type="spellStart"/>
      <w:r w:rsidRPr="008E0658">
        <w:rPr>
          <w:sz w:val="18"/>
        </w:rPr>
        <w:t>asphaltenes</w:t>
      </w:r>
      <w:proofErr w:type="spellEnd"/>
      <w:r w:rsidRPr="008E0658">
        <w:rPr>
          <w:sz w:val="18"/>
        </w:rPr>
        <w:t>, Journal of the American Society for Mass Spectrometry, Vol. 22 (8), pp. 1403-1408.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8CA12A0" wp14:editId="5B3977A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D31017">
      <w:pPr>
        <w:spacing w:before="92"/>
        <w:ind w:right="4234"/>
        <w:rPr>
          <w:rFonts w:ascii="Arial"/>
          <w:color w:val="BF5A14"/>
        </w:rPr>
      </w:pPr>
      <w:r>
        <w:rPr>
          <w:noProof/>
        </w:rPr>
        <w:t xml:space="preserve">     </w:t>
      </w:r>
      <w:r w:rsidR="00DD3B66">
        <w:rPr>
          <w:rFonts w:ascii="Arial"/>
          <w:color w:val="BF5A14"/>
        </w:rPr>
        <w:t>Biographies</w:t>
      </w:r>
    </w:p>
    <w:p w:rsidR="00DD3B66" w:rsidRDefault="00DD3B66" w:rsidP="00D31017">
      <w:pPr>
        <w:spacing w:before="92"/>
        <w:ind w:right="4234"/>
        <w:rPr>
          <w:rFonts w:ascii="Arial"/>
        </w:rPr>
      </w:pPr>
    </w:p>
    <w:p w:rsidR="00D31017" w:rsidRPr="00D31017" w:rsidRDefault="00D31017" w:rsidP="00D31017">
      <w:pPr>
        <w:spacing w:before="41" w:line="154" w:lineRule="exact"/>
        <w:ind w:left="213" w:right="231"/>
        <w:rPr>
          <w:rFonts w:ascii="Arial"/>
          <w:sz w:val="14"/>
        </w:rPr>
      </w:pPr>
      <w:r>
        <w:rPr>
          <w:noProof/>
        </w:rPr>
        <w:drawing>
          <wp:anchor distT="0" distB="0" distL="114300" distR="114300" simplePos="0" relativeHeight="251660288" behindDoc="1" locked="0" layoutInCell="1" allowOverlap="0" wp14:anchorId="660C887B" wp14:editId="09DCD0AC">
            <wp:simplePos x="0" y="0"/>
            <wp:positionH relativeFrom="column">
              <wp:posOffset>191770</wp:posOffset>
            </wp:positionH>
            <wp:positionV relativeFrom="paragraph">
              <wp:posOffset>46355</wp:posOffset>
            </wp:positionV>
            <wp:extent cx="621665" cy="731520"/>
            <wp:effectExtent l="0" t="0" r="6985" b="0"/>
            <wp:wrapTight wrapText="bothSides">
              <wp:wrapPolygon edited="0">
                <wp:start x="0" y="0"/>
                <wp:lineTo x="0" y="20813"/>
                <wp:lineTo x="21181" y="20813"/>
                <wp:lineTo x="21181"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lum bright="12000"/>
                      <a:extLst>
                        <a:ext uri="{28A0092B-C50C-407E-A947-70E740481C1C}">
                          <a14:useLocalDpi xmlns:a14="http://schemas.microsoft.com/office/drawing/2010/main" val="0"/>
                        </a:ext>
                      </a:extLst>
                    </a:blip>
                    <a:srcRect r="49667" b="13245"/>
                    <a:stretch>
                      <a:fillRect/>
                    </a:stretch>
                  </pic:blipFill>
                  <pic:spPr bwMode="auto">
                    <a:xfrm>
                      <a:off x="0" y="0"/>
                      <a:ext cx="621665" cy="73152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D31017">
        <w:rPr>
          <w:rFonts w:ascii="Arial"/>
          <w:sz w:val="14"/>
        </w:rPr>
        <w:t>Ghada</w:t>
      </w:r>
      <w:proofErr w:type="spellEnd"/>
      <w:r w:rsidRPr="00D31017">
        <w:rPr>
          <w:rFonts w:ascii="Arial"/>
          <w:sz w:val="14"/>
        </w:rPr>
        <w:t xml:space="preserve"> </w:t>
      </w:r>
      <w:proofErr w:type="spellStart"/>
      <w:r w:rsidRPr="00D31017">
        <w:rPr>
          <w:rFonts w:ascii="Arial"/>
          <w:sz w:val="14"/>
        </w:rPr>
        <w:t>Bassioni</w:t>
      </w:r>
      <w:proofErr w:type="spellEnd"/>
      <w:r w:rsidRPr="00D31017">
        <w:rPr>
          <w:rFonts w:ascii="Arial"/>
          <w:sz w:val="14"/>
        </w:rPr>
        <w:t xml:space="preserve">, Ph.D. (Dr. </w:t>
      </w:r>
      <w:proofErr w:type="spellStart"/>
      <w:proofErr w:type="gramStart"/>
      <w:r w:rsidRPr="00D31017">
        <w:rPr>
          <w:rFonts w:ascii="Arial"/>
          <w:sz w:val="14"/>
        </w:rPr>
        <w:t>rer</w:t>
      </w:r>
      <w:proofErr w:type="spellEnd"/>
      <w:proofErr w:type="gramEnd"/>
      <w:r w:rsidRPr="00D31017">
        <w:rPr>
          <w:rFonts w:ascii="Arial"/>
          <w:sz w:val="14"/>
        </w:rPr>
        <w:t xml:space="preserve">. nat.), 2004, Technical University Munich, Germany. </w:t>
      </w:r>
    </w:p>
    <w:p w:rsidR="00AE3E37" w:rsidRDefault="00D31017" w:rsidP="00D31017">
      <w:pPr>
        <w:spacing w:before="41" w:line="154" w:lineRule="exact"/>
        <w:ind w:left="213" w:right="231"/>
        <w:jc w:val="both"/>
        <w:rPr>
          <w:rFonts w:ascii="Arial"/>
          <w:sz w:val="14"/>
        </w:rPr>
      </w:pPr>
      <w:r w:rsidRPr="00D31017">
        <w:rPr>
          <w:rFonts w:ascii="Arial"/>
          <w:sz w:val="14"/>
        </w:rPr>
        <w:t xml:space="preserve">She is a Professor and the Head of the Chemistry Division at the Faculty of Engineering, Ain Shams University in Cairo and is a member of the Egyptian National Committee for Pure and Applied Chemistry. She is an international project officer at the Science and Technology Development Fund (STDF), Egyptian Ministry of Scientific Research and has been a member of the Global Young Academy from 2013-2018. She has over 60 scientific publications in peer-reviewed journals and conference proceedings and has been recognized with several national (like the Egyptian State Incentive Award in Chemistry, 2013), regional (like the LEWA Leadership Excellence for Women award, 2013) and international awards (like the Young Scientist Award at the World Economic Forum in Dalian, 2013) and was selected as an academic visitor and panelist at the Nobel Laureates meetings in Lindau, Germany, in 2012 and 2014, respectively. In 2016, she has been awarded the Next Einstein and the Fulbright fellowships as well as the L.A.B. fellowship of three organizations: Nobel Laureate Meetings in Lindau, the European Forum in </w:t>
      </w:r>
      <w:proofErr w:type="spellStart"/>
      <w:r w:rsidRPr="00D31017">
        <w:rPr>
          <w:rFonts w:ascii="Arial"/>
          <w:sz w:val="14"/>
        </w:rPr>
        <w:t>Alpbach</w:t>
      </w:r>
      <w:proofErr w:type="spellEnd"/>
      <w:r w:rsidRPr="00D31017">
        <w:rPr>
          <w:rFonts w:ascii="Arial"/>
          <w:sz w:val="14"/>
        </w:rPr>
        <w:t xml:space="preserve"> and the Falling Walls in Berlin.</w:t>
      </w:r>
    </w:p>
    <w:p w:rsidR="00AE3E37" w:rsidRDefault="00A9710C" w:rsidP="00DD3B66">
      <w:pPr>
        <w:spacing w:before="62"/>
        <w:ind w:left="4050" w:right="4120"/>
        <w:jc w:val="center"/>
        <w:rPr>
          <w:rFonts w:ascii="Arial"/>
          <w:sz w:val="14"/>
        </w:rPr>
      </w:pPr>
      <w:r>
        <w:rPr>
          <w:rFonts w:ascii="Arial"/>
          <w:sz w:val="14"/>
        </w:rPr>
        <w:t>Email:</w:t>
      </w:r>
      <w:r w:rsidR="00DD3B66">
        <w:rPr>
          <w:rFonts w:ascii="Arial"/>
          <w:sz w:val="14"/>
        </w:rPr>
        <w:t xml:space="preserve"> </w:t>
      </w:r>
      <w:hyperlink r:id="rId12" w:history="1">
        <w:r w:rsidR="00046EE5" w:rsidRPr="009675A8">
          <w:rPr>
            <w:rStyle w:val="Hyperlink"/>
            <w:rFonts w:ascii="Arial"/>
            <w:sz w:val="14"/>
          </w:rPr>
          <w:t>ghada_bassioni@eng.asu.edu.eg</w:t>
        </w:r>
      </w:hyperlink>
    </w:p>
    <w:p w:rsidR="00DD3B66" w:rsidRDefault="00DD3B66" w:rsidP="00DD3B66">
      <w:pPr>
        <w:spacing w:before="62"/>
        <w:ind w:left="4050" w:right="4120"/>
        <w:jc w:val="center"/>
        <w:rPr>
          <w:rStyle w:val="Hyperlink"/>
          <w:rFonts w:ascii="Arial"/>
          <w:sz w:val="14"/>
        </w:rPr>
      </w:pPr>
    </w:p>
    <w:p w:rsidR="002166AF" w:rsidRDefault="002166AF">
      <w:pPr>
        <w:spacing w:before="62"/>
        <w:ind w:left="4217" w:right="4235"/>
        <w:jc w:val="center"/>
        <w:rPr>
          <w:rStyle w:val="Hyperlink"/>
          <w:rFonts w:ascii="Arial"/>
          <w:sz w:val="14"/>
        </w:rPr>
      </w:pPr>
    </w:p>
    <w:p w:rsidR="002166AF" w:rsidRDefault="002166AF" w:rsidP="002166AF">
      <w:pPr>
        <w:spacing w:before="62"/>
        <w:ind w:left="180" w:right="250"/>
        <w:jc w:val="both"/>
        <w:rPr>
          <w:rFonts w:ascii="Arial"/>
          <w:sz w:val="14"/>
        </w:rPr>
      </w:pPr>
      <w:r w:rsidRPr="00E37BA0">
        <w:rPr>
          <w:rFonts w:ascii="Calibri" w:eastAsia="Calibri" w:hAnsi="Calibri" w:cs="Arial"/>
          <w:noProof/>
          <w:rtl/>
        </w:rPr>
        <w:lastRenderedPageBreak/>
        <w:drawing>
          <wp:anchor distT="0" distB="0" distL="114300" distR="114300" simplePos="0" relativeHeight="251661312" behindDoc="1" locked="0" layoutInCell="1" allowOverlap="1">
            <wp:simplePos x="0" y="0"/>
            <wp:positionH relativeFrom="column">
              <wp:posOffset>116840</wp:posOffset>
            </wp:positionH>
            <wp:positionV relativeFrom="paragraph">
              <wp:posOffset>40005</wp:posOffset>
            </wp:positionV>
            <wp:extent cx="648970" cy="621665"/>
            <wp:effectExtent l="0" t="0" r="0" b="6985"/>
            <wp:wrapTight wrapText="bothSides">
              <wp:wrapPolygon edited="0">
                <wp:start x="0" y="0"/>
                <wp:lineTo x="0" y="21181"/>
                <wp:lineTo x="20924" y="21181"/>
                <wp:lineTo x="20924" y="0"/>
                <wp:lineTo x="0" y="0"/>
              </wp:wrapPolygon>
            </wp:wrapTight>
            <wp:docPr id="3" name="Picture 3" descr="C:\Users\Dr Mohamed\Downloads\photo hari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 Mohamed\Downloads\photo harith.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970" cy="621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66AF">
        <w:rPr>
          <w:rFonts w:ascii="Arial"/>
          <w:sz w:val="14"/>
        </w:rPr>
        <w:t xml:space="preserve">Mohamed Abdel </w:t>
      </w:r>
      <w:proofErr w:type="spellStart"/>
      <w:r w:rsidRPr="002166AF">
        <w:rPr>
          <w:rFonts w:ascii="Arial"/>
          <w:sz w:val="14"/>
        </w:rPr>
        <w:t>Harith</w:t>
      </w:r>
      <w:proofErr w:type="spellEnd"/>
      <w:r w:rsidRPr="002166AF">
        <w:rPr>
          <w:rFonts w:ascii="Arial"/>
          <w:sz w:val="14"/>
        </w:rPr>
        <w:t xml:space="preserve"> is a Professor of Laser Physics at the National Institute of Laser Enhanced Science (NILES). He obtained his degree of Ph.D. in experimental physics from Dresden Technical University in Germany. He founded a scientific school in laser spectroscopy at NILES where 32 students obtained their master degrees and 25 students have had their doctorate degrees. He served as the head of department Egyptian Society of Optical Sciences and Applications (ESOSA).and then the institute's vice Dean. From 2003 to 2005 he was the Dean of NILES. He has more than 128 publications with more than 1500 citations and h-index 24. </w:t>
      </w:r>
      <w:proofErr w:type="gramStart"/>
      <w:r w:rsidRPr="002166AF">
        <w:rPr>
          <w:rFonts w:ascii="Arial"/>
          <w:sz w:val="14"/>
        </w:rPr>
        <w:t>Member of the European Society of Physics EPS and senior member of the Optical Society (OSA).</w:t>
      </w:r>
      <w:proofErr w:type="gramEnd"/>
      <w:r w:rsidRPr="002166AF">
        <w:rPr>
          <w:rFonts w:ascii="Arial"/>
          <w:sz w:val="14"/>
        </w:rPr>
        <w:t xml:space="preserve"> Chairman of the Board of Directors of the Awarded the University of Cairo award of Appreciation in 2009 and the Cairo University award of Excellence for the year 2016.</w:t>
      </w:r>
    </w:p>
    <w:p w:rsidR="002166AF" w:rsidRDefault="002166AF" w:rsidP="00870202">
      <w:pPr>
        <w:spacing w:before="62"/>
        <w:ind w:left="4217" w:right="4235"/>
        <w:jc w:val="center"/>
        <w:rPr>
          <w:rFonts w:ascii="Arial" w:hAnsi="Arial" w:cs="Arial"/>
          <w:color w:val="333333"/>
          <w:sz w:val="14"/>
          <w:szCs w:val="14"/>
          <w:shd w:val="clear" w:color="auto" w:fill="FFFFFF"/>
        </w:rPr>
      </w:pPr>
      <w:r>
        <w:rPr>
          <w:rFonts w:ascii="Arial"/>
          <w:sz w:val="14"/>
        </w:rPr>
        <w:t xml:space="preserve">Email: </w:t>
      </w:r>
      <w:hyperlink r:id="rId14" w:history="1">
        <w:r w:rsidR="00870202" w:rsidRPr="009675A8">
          <w:rPr>
            <w:rStyle w:val="Hyperlink"/>
            <w:rFonts w:ascii="Arial" w:hAnsi="Arial" w:cs="Arial"/>
            <w:sz w:val="14"/>
            <w:szCs w:val="14"/>
            <w:shd w:val="clear" w:color="auto" w:fill="FFFFFF"/>
          </w:rPr>
          <w:t>mharithm@niles.edu.eg</w:t>
        </w:r>
      </w:hyperlink>
    </w:p>
    <w:p w:rsidR="002166AF" w:rsidRDefault="002166AF" w:rsidP="002166AF">
      <w:pPr>
        <w:spacing w:before="62"/>
        <w:ind w:left="180" w:right="250"/>
        <w:jc w:val="both"/>
        <w:rPr>
          <w:rFonts w:ascii="Arial"/>
          <w:sz w:val="14"/>
        </w:rPr>
      </w:pPr>
    </w:p>
    <w:p w:rsidR="002166AF" w:rsidRPr="002166AF" w:rsidRDefault="002166AF" w:rsidP="002166AF">
      <w:pPr>
        <w:spacing w:before="62"/>
        <w:ind w:left="180" w:right="250"/>
        <w:jc w:val="both"/>
        <w:rPr>
          <w:rFonts w:ascii="Arial"/>
          <w:sz w:val="14"/>
        </w:rPr>
      </w:pPr>
      <w:r>
        <w:rPr>
          <w:noProof/>
          <w:szCs w:val="20"/>
        </w:rPr>
        <w:drawing>
          <wp:anchor distT="0" distB="0" distL="114300" distR="114300" simplePos="0" relativeHeight="251662336" behindDoc="1" locked="0" layoutInCell="1" allowOverlap="1">
            <wp:simplePos x="0" y="0"/>
            <wp:positionH relativeFrom="column">
              <wp:posOffset>116840</wp:posOffset>
            </wp:positionH>
            <wp:positionV relativeFrom="paragraph">
              <wp:posOffset>39370</wp:posOffset>
            </wp:positionV>
            <wp:extent cx="621665" cy="795020"/>
            <wp:effectExtent l="0" t="0" r="6985" b="5080"/>
            <wp:wrapTight wrapText="bothSides">
              <wp:wrapPolygon edited="0">
                <wp:start x="0" y="0"/>
                <wp:lineTo x="0" y="21220"/>
                <wp:lineTo x="21181" y="21220"/>
                <wp:lineTo x="21181" y="0"/>
                <wp:lineTo x="0" y="0"/>
              </wp:wrapPolygon>
            </wp:wrapTight>
            <wp:docPr id="4" name="Picture 0" descr="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1665" cy="795020"/>
                    </a:xfrm>
                    <a:prstGeom prst="rect">
                      <a:avLst/>
                    </a:prstGeom>
                  </pic:spPr>
                </pic:pic>
              </a:graphicData>
            </a:graphic>
            <wp14:sizeRelH relativeFrom="page">
              <wp14:pctWidth>0</wp14:pctWidth>
            </wp14:sizeRelH>
            <wp14:sizeRelV relativeFrom="page">
              <wp14:pctHeight>0</wp14:pctHeight>
            </wp14:sizeRelV>
          </wp:anchor>
        </w:drawing>
      </w:r>
      <w:r w:rsidRPr="002166AF">
        <w:rPr>
          <w:rFonts w:ascii="Arial"/>
          <w:sz w:val="14"/>
        </w:rPr>
        <w:t xml:space="preserve">Ahmed </w:t>
      </w:r>
      <w:proofErr w:type="spellStart"/>
      <w:r w:rsidRPr="002166AF">
        <w:rPr>
          <w:rFonts w:ascii="Arial"/>
          <w:sz w:val="14"/>
        </w:rPr>
        <w:t>Hassen</w:t>
      </w:r>
      <w:proofErr w:type="spellEnd"/>
      <w:r w:rsidRPr="002166AF">
        <w:rPr>
          <w:rFonts w:ascii="Arial"/>
          <w:sz w:val="14"/>
        </w:rPr>
        <w:t xml:space="preserve"> </w:t>
      </w:r>
      <w:proofErr w:type="spellStart"/>
      <w:r w:rsidRPr="002166AF">
        <w:rPr>
          <w:rFonts w:ascii="Arial"/>
          <w:sz w:val="14"/>
        </w:rPr>
        <w:t>Galmed</w:t>
      </w:r>
      <w:proofErr w:type="spellEnd"/>
      <w:r w:rsidRPr="002166AF">
        <w:rPr>
          <w:rFonts w:ascii="Arial"/>
          <w:sz w:val="14"/>
        </w:rPr>
        <w:t xml:space="preserve"> is a lecturer of laser spectroscopy / laser physics in the department of laser applications in </w:t>
      </w:r>
      <w:proofErr w:type="spellStart"/>
      <w:r w:rsidRPr="002166AF">
        <w:rPr>
          <w:rFonts w:ascii="Arial"/>
          <w:sz w:val="14"/>
        </w:rPr>
        <w:t>meterology</w:t>
      </w:r>
      <w:proofErr w:type="spellEnd"/>
      <w:r w:rsidRPr="002166AF">
        <w:rPr>
          <w:rFonts w:ascii="Arial"/>
          <w:sz w:val="14"/>
        </w:rPr>
        <w:t xml:space="preserve">, photochemistry and Agriculture (LAMPA) National Institute of Laser Enhanced Sciences (NILES), Cairo University. Worked as a Post doctor fellow in </w:t>
      </w:r>
      <w:proofErr w:type="spellStart"/>
      <w:r w:rsidRPr="002166AF">
        <w:rPr>
          <w:rFonts w:ascii="Arial"/>
          <w:sz w:val="14"/>
        </w:rPr>
        <w:t>iThemba</w:t>
      </w:r>
      <w:proofErr w:type="spellEnd"/>
      <w:r w:rsidRPr="002166AF">
        <w:rPr>
          <w:rFonts w:ascii="Arial"/>
          <w:sz w:val="14"/>
        </w:rPr>
        <w:t xml:space="preserve"> LABS, South Africa in the period between August 2016 and December 2018. </w:t>
      </w:r>
    </w:p>
    <w:p w:rsidR="002166AF" w:rsidRDefault="002166AF" w:rsidP="002166AF">
      <w:pPr>
        <w:spacing w:before="62"/>
        <w:ind w:left="180" w:right="250"/>
        <w:jc w:val="both"/>
        <w:rPr>
          <w:rFonts w:ascii="Arial"/>
          <w:sz w:val="14"/>
        </w:rPr>
      </w:pPr>
      <w:r w:rsidRPr="002166AF">
        <w:rPr>
          <w:rFonts w:ascii="Arial"/>
          <w:sz w:val="14"/>
        </w:rPr>
        <w:t xml:space="preserve">Dr. </w:t>
      </w:r>
      <w:proofErr w:type="spellStart"/>
      <w:r w:rsidRPr="002166AF">
        <w:rPr>
          <w:rFonts w:ascii="Arial"/>
          <w:sz w:val="14"/>
        </w:rPr>
        <w:t>Galmed</w:t>
      </w:r>
      <w:proofErr w:type="spellEnd"/>
      <w:r w:rsidRPr="002166AF">
        <w:rPr>
          <w:rFonts w:ascii="Arial"/>
          <w:sz w:val="14"/>
        </w:rPr>
        <w:t xml:space="preserve"> got his </w:t>
      </w:r>
      <w:proofErr w:type="spellStart"/>
      <w:r w:rsidRPr="002166AF">
        <w:rPr>
          <w:rFonts w:ascii="Arial"/>
          <w:sz w:val="14"/>
        </w:rPr>
        <w:t>Bsc</w:t>
      </w:r>
      <w:proofErr w:type="spellEnd"/>
      <w:r w:rsidRPr="002166AF">
        <w:rPr>
          <w:rFonts w:ascii="Arial"/>
          <w:sz w:val="14"/>
        </w:rPr>
        <w:t xml:space="preserve"> degree in Physics &amp; Chemistry, Faculty of Science, Cairo University (1999) then his MSc (2006) and PhD (2011) degrees from National Institute of Laser Enhanced Sciences (NILES), Cairo University. The research field of Dr. </w:t>
      </w:r>
      <w:proofErr w:type="spellStart"/>
      <w:r w:rsidRPr="002166AF">
        <w:rPr>
          <w:rFonts w:ascii="Arial"/>
          <w:sz w:val="14"/>
        </w:rPr>
        <w:t>Galmed</w:t>
      </w:r>
      <w:proofErr w:type="spellEnd"/>
      <w:r w:rsidRPr="002166AF">
        <w:rPr>
          <w:rFonts w:ascii="Arial"/>
          <w:sz w:val="14"/>
        </w:rPr>
        <w:t xml:space="preserve"> is focused on the applications of Laser Induced Breakdown Spectroscopy (LIBS), Laser Induced Fluorescence (LIF) including industrial, medical and environmental applications. He published a number of international publications as well as supervised some MSc and PhD thesis.</w:t>
      </w:r>
    </w:p>
    <w:p w:rsidR="0043428A" w:rsidRDefault="0043428A" w:rsidP="0043428A">
      <w:pPr>
        <w:spacing w:before="62"/>
        <w:ind w:left="180" w:right="250"/>
        <w:jc w:val="both"/>
        <w:rPr>
          <w:rFonts w:ascii="Arial"/>
          <w:sz w:val="14"/>
        </w:rPr>
      </w:pPr>
    </w:p>
    <w:p w:rsidR="0043428A" w:rsidRDefault="0043428A" w:rsidP="0043428A">
      <w:pPr>
        <w:spacing w:before="62"/>
        <w:ind w:left="4217" w:right="4235"/>
        <w:jc w:val="center"/>
        <w:rPr>
          <w:rFonts w:ascii="Arial" w:hAnsi="Arial" w:cs="Arial"/>
          <w:sz w:val="14"/>
          <w:szCs w:val="14"/>
        </w:rPr>
      </w:pPr>
      <w:r>
        <w:rPr>
          <w:rFonts w:ascii="Arial"/>
          <w:sz w:val="14"/>
        </w:rPr>
        <w:t xml:space="preserve">Email: </w:t>
      </w:r>
      <w:hyperlink r:id="rId16" w:history="1">
        <w:r w:rsidRPr="009675A8">
          <w:rPr>
            <w:rStyle w:val="Hyperlink"/>
            <w:rFonts w:ascii="Arial" w:hAnsi="Arial" w:cs="Arial"/>
            <w:sz w:val="14"/>
            <w:szCs w:val="14"/>
          </w:rPr>
          <w:t>ahmedgalmed@niles.edu.eg</w:t>
        </w:r>
      </w:hyperlink>
    </w:p>
    <w:p w:rsidR="0043428A" w:rsidRDefault="0043428A" w:rsidP="0043428A">
      <w:pPr>
        <w:spacing w:before="62"/>
        <w:ind w:left="180" w:right="250"/>
        <w:jc w:val="both"/>
        <w:rPr>
          <w:rFonts w:ascii="Arial"/>
          <w:sz w:val="14"/>
        </w:rPr>
      </w:pPr>
    </w:p>
    <w:p w:rsidR="00AE3E37" w:rsidRDefault="00292ED9" w:rsidP="00DD3B66">
      <w:pPr>
        <w:pStyle w:val="BodyText"/>
        <w:spacing w:before="2"/>
        <w:rPr>
          <w:rFonts w:ascii="Arial"/>
          <w:sz w:val="20"/>
        </w:rPr>
      </w:pPr>
      <w:r>
        <w:rPr>
          <w:noProof/>
        </w:rPr>
        <mc:AlternateContent>
          <mc:Choice Requires="wps">
            <w:drawing>
              <wp:anchor distT="0" distB="0" distL="0" distR="0" simplePos="0" relativeHeight="1072" behindDoc="0" locked="0" layoutInCell="1" allowOverlap="1" wp14:anchorId="2DD77838" wp14:editId="3E2BD12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FCB" w:rsidRDefault="00432FCB">
      <w:r>
        <w:separator/>
      </w:r>
    </w:p>
  </w:endnote>
  <w:endnote w:type="continuationSeparator" w:id="0">
    <w:p w:rsidR="00432FCB" w:rsidRDefault="00432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40F" w:rsidRDefault="00AD340F">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40F" w:rsidRPr="005B3A56" w:rsidRDefault="00AD340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D340F" w:rsidRPr="005B3A56" w:rsidRDefault="00AD340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D340F" w:rsidRPr="005B3A56" w:rsidRDefault="00AD340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D340F" w:rsidRPr="005B3A56" w:rsidRDefault="00AD340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40F" w:rsidRPr="005B3A56" w:rsidRDefault="00AD340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D340F" w:rsidRPr="005B3A56" w:rsidRDefault="00AD340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D340F" w:rsidRPr="005B3A56" w:rsidRDefault="00AD340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D340F" w:rsidRPr="005B3A56" w:rsidRDefault="00AD340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40F" w:rsidRPr="005B3A56" w:rsidRDefault="00AD340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D340F" w:rsidRPr="005B3A56" w:rsidRDefault="00AD340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D340F" w:rsidRPr="005B3A56" w:rsidRDefault="00AD340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D340F" w:rsidRPr="005B3A56" w:rsidRDefault="00AD340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FCB" w:rsidRDefault="00432FCB">
      <w:r>
        <w:separator/>
      </w:r>
    </w:p>
  </w:footnote>
  <w:footnote w:type="continuationSeparator" w:id="0">
    <w:p w:rsidR="00432FCB" w:rsidRDefault="00432F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40F" w:rsidRDefault="00AD340F">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40F" w:rsidRPr="005B3A56" w:rsidRDefault="00AD340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D340F" w:rsidRPr="005B3A56" w:rsidRDefault="00AD340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340F" w:rsidRPr="005B3A56" w:rsidRDefault="00AD340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D340F" w:rsidRPr="005B3A56" w:rsidRDefault="00AD340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D340F" w:rsidRPr="005B3A56" w:rsidRDefault="00AD340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D340F" w:rsidRPr="005B3A56" w:rsidRDefault="00AD340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EE5"/>
    <w:rsid w:val="000E2911"/>
    <w:rsid w:val="001263DF"/>
    <w:rsid w:val="002166AF"/>
    <w:rsid w:val="002455EC"/>
    <w:rsid w:val="00292ED9"/>
    <w:rsid w:val="003905A7"/>
    <w:rsid w:val="003967B5"/>
    <w:rsid w:val="00404E5B"/>
    <w:rsid w:val="00414F7B"/>
    <w:rsid w:val="00432FCB"/>
    <w:rsid w:val="0043428A"/>
    <w:rsid w:val="004355DC"/>
    <w:rsid w:val="004749B4"/>
    <w:rsid w:val="00494130"/>
    <w:rsid w:val="004E18F4"/>
    <w:rsid w:val="004F3523"/>
    <w:rsid w:val="00556F56"/>
    <w:rsid w:val="00566C86"/>
    <w:rsid w:val="005973B9"/>
    <w:rsid w:val="005B3A56"/>
    <w:rsid w:val="006060CE"/>
    <w:rsid w:val="0063497F"/>
    <w:rsid w:val="006D7D1B"/>
    <w:rsid w:val="00744B24"/>
    <w:rsid w:val="007B3F85"/>
    <w:rsid w:val="007C4F01"/>
    <w:rsid w:val="007F3A50"/>
    <w:rsid w:val="00870202"/>
    <w:rsid w:val="00873DF0"/>
    <w:rsid w:val="008756E6"/>
    <w:rsid w:val="008A08B6"/>
    <w:rsid w:val="008E0658"/>
    <w:rsid w:val="00985449"/>
    <w:rsid w:val="009910AA"/>
    <w:rsid w:val="009B2D44"/>
    <w:rsid w:val="00A07E82"/>
    <w:rsid w:val="00A9710C"/>
    <w:rsid w:val="00AD340F"/>
    <w:rsid w:val="00AE3E37"/>
    <w:rsid w:val="00B12BE3"/>
    <w:rsid w:val="00B21A57"/>
    <w:rsid w:val="00BB7A50"/>
    <w:rsid w:val="00C0687F"/>
    <w:rsid w:val="00C33602"/>
    <w:rsid w:val="00CD6F55"/>
    <w:rsid w:val="00D254CF"/>
    <w:rsid w:val="00D31017"/>
    <w:rsid w:val="00DD3B66"/>
    <w:rsid w:val="00DE3104"/>
    <w:rsid w:val="00E26B10"/>
    <w:rsid w:val="00E278E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13017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14696844">
      <w:bodyDiv w:val="1"/>
      <w:marLeft w:val="0"/>
      <w:marRight w:val="0"/>
      <w:marTop w:val="0"/>
      <w:marBottom w:val="0"/>
      <w:divBdr>
        <w:top w:val="none" w:sz="0" w:space="0" w:color="auto"/>
        <w:left w:val="none" w:sz="0" w:space="0" w:color="auto"/>
        <w:bottom w:val="none" w:sz="0" w:space="0" w:color="auto"/>
        <w:right w:val="none" w:sz="0" w:space="0" w:color="auto"/>
      </w:divBdr>
      <w:divsChild>
        <w:div w:id="170533555">
          <w:marLeft w:val="0"/>
          <w:marRight w:val="0"/>
          <w:marTop w:val="0"/>
          <w:marBottom w:val="0"/>
          <w:divBdr>
            <w:top w:val="none" w:sz="0" w:space="0" w:color="auto"/>
            <w:left w:val="none" w:sz="0" w:space="0" w:color="auto"/>
            <w:bottom w:val="none" w:sz="0" w:space="0" w:color="auto"/>
            <w:right w:val="none" w:sz="0" w:space="0" w:color="auto"/>
          </w:divBdr>
        </w:div>
        <w:div w:id="126060014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ghada_bassioni@eng.asu.edu.e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ahmedgalmed@niles.edu.e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mharithm@niles.edu.eg"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9</cp:revision>
  <dcterms:created xsi:type="dcterms:W3CDTF">2019-04-16T14:51:00Z</dcterms:created>
  <dcterms:modified xsi:type="dcterms:W3CDTF">2019-04-16T17:47:00Z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