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52C46" w:rsidP="00494130">
      <w:pPr>
        <w:pStyle w:val="Heading1"/>
        <w:spacing w:before="170"/>
        <w:ind w:left="0"/>
      </w:pPr>
      <w:r>
        <w:rPr>
          <w:color w:val="337AB7"/>
        </w:rPr>
        <w:t>Stro</w:t>
      </w:r>
      <w:r w:rsidR="003E70B3">
        <w:rPr>
          <w:color w:val="337AB7"/>
        </w:rPr>
        <w:t>ng-acid compatible, earth-abunda</w:t>
      </w:r>
      <w:r>
        <w:rPr>
          <w:color w:val="337AB7"/>
        </w:rPr>
        <w:t>nt-element, molecular water oxidation catalysts</w:t>
      </w:r>
      <w:r w:rsidR="003E70B3">
        <w:rPr>
          <w:color w:val="337AB7"/>
        </w:rPr>
        <w:t xml:space="preserve"> for solar fuel production</w:t>
      </w:r>
    </w:p>
    <w:p w:rsidR="00A52C46" w:rsidRDefault="00A52C46" w:rsidP="00A52C46">
      <w:pPr>
        <w:rPr>
          <w:rFonts w:ascii="Arial" w:hAnsi="Arial" w:cs="Arial"/>
          <w:sz w:val="18"/>
          <w:szCs w:val="18"/>
        </w:rPr>
      </w:pPr>
      <w:r w:rsidRPr="00A52C46">
        <w:rPr>
          <w:rFonts w:ascii="Arial" w:hAnsi="Arial" w:cs="Arial"/>
          <w:sz w:val="18"/>
          <w:szCs w:val="18"/>
        </w:rPr>
        <w:t xml:space="preserve">Meilin Tao, Quishi Yin, Sarah M. Lauinger, Yurii V. Geletii, </w:t>
      </w:r>
    </w:p>
    <w:p w:rsidR="00A52C46" w:rsidRPr="00A52C46" w:rsidRDefault="00A52C46" w:rsidP="00A52C46">
      <w:pPr>
        <w:rPr>
          <w:sz w:val="18"/>
          <w:szCs w:val="18"/>
        </w:rPr>
      </w:pPr>
      <w:r>
        <w:rPr>
          <w:rFonts w:ascii="Arial" w:hAnsi="Arial" w:cs="Arial"/>
          <w:sz w:val="18"/>
          <w:szCs w:val="18"/>
        </w:rPr>
        <w:t xml:space="preserve">and </w:t>
      </w:r>
      <w:r w:rsidRPr="00A52C46">
        <w:rPr>
          <w:rFonts w:ascii="Arial" w:hAnsi="Arial" w:cs="Arial"/>
          <w:sz w:val="18"/>
          <w:szCs w:val="18"/>
        </w:rPr>
        <w:t>Craig L. Hill, PhD, AAAS, VICS, MAE, FRS</w:t>
      </w:r>
      <w:r>
        <w:rPr>
          <w:rFonts w:ascii="Arial" w:hAnsi="Arial" w:cs="Arial"/>
          <w:sz w:val="18"/>
          <w:szCs w:val="18"/>
        </w:rPr>
        <w:t>C, Department of Chemistry, Emory University, Atlanta, GA 30322</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172781">
      <w:pPr>
        <w:pStyle w:val="Heading3"/>
        <w:spacing w:before="147"/>
        <w:ind w:left="0"/>
        <w:jc w:val="both"/>
      </w:pPr>
      <w:r>
        <w:rPr>
          <w:color w:val="BF5A14"/>
        </w:rPr>
        <w:t>Abstract</w:t>
      </w:r>
      <w:r w:rsidR="00404E5B">
        <w:rPr>
          <w:color w:val="BF5A14"/>
        </w:rPr>
        <w:t xml:space="preserve"> (300 word limit)</w:t>
      </w:r>
    </w:p>
    <w:p w:rsidR="00A52C46" w:rsidRPr="00172781" w:rsidRDefault="00A52C46" w:rsidP="00A52C46">
      <w:pPr>
        <w:jc w:val="both"/>
        <w:rPr>
          <w:rFonts w:cs="Arial"/>
          <w:sz w:val="18"/>
          <w:szCs w:val="18"/>
        </w:rPr>
      </w:pPr>
      <w:r w:rsidRPr="00172781">
        <w:rPr>
          <w:rFonts w:cs="Arial"/>
          <w:sz w:val="18"/>
          <w:szCs w:val="18"/>
        </w:rPr>
        <w:t>Deeper insights and commensurely better versions of the three interconnected functional units in solar fuel generation systems are needed: water oxidaton catalysts (WOCs), H</w:t>
      </w:r>
      <w:r w:rsidRPr="00172781">
        <w:rPr>
          <w:rFonts w:cs="Arial"/>
          <w:sz w:val="18"/>
          <w:szCs w:val="18"/>
          <w:vertAlign w:val="subscript"/>
        </w:rPr>
        <w:t>2</w:t>
      </w:r>
      <w:r w:rsidRPr="00172781">
        <w:rPr>
          <w:rFonts w:cs="Arial"/>
          <w:sz w:val="18"/>
          <w:szCs w:val="18"/>
        </w:rPr>
        <w:t>O and CO</w:t>
      </w:r>
      <w:r w:rsidRPr="00172781">
        <w:rPr>
          <w:rFonts w:cs="Arial"/>
          <w:sz w:val="18"/>
          <w:szCs w:val="18"/>
          <w:vertAlign w:val="subscript"/>
        </w:rPr>
        <w:t>2</w:t>
      </w:r>
      <w:r w:rsidRPr="00172781">
        <w:rPr>
          <w:rFonts w:cs="Arial"/>
          <w:sz w:val="18"/>
          <w:szCs w:val="18"/>
        </w:rPr>
        <w:t xml:space="preserve"> reduction catalysts and light-absorbing-charge-separating structures.  Transition-metal-substituted polyoxometalates (POMs) have been investigated by many groups as WOCs because they combine the advantages of molecular (homogeneous) catalysts (their properties can be studied in depth experimentally and computationally), with the advantages of non-molecular (heterogeneous) catalysts (carbon-free and very robust).  Many groups have studied and developed POM WOCs that contain only earth-abundant elements since our first report.</w:t>
      </w:r>
      <w:r w:rsidRPr="00172781">
        <w:rPr>
          <w:rFonts w:cs="Arial"/>
          <w:sz w:val="18"/>
          <w:szCs w:val="18"/>
          <w:vertAlign w:val="superscript"/>
        </w:rPr>
        <w:t>1</w:t>
      </w:r>
      <w:r w:rsidR="009B2FDC">
        <w:rPr>
          <w:rFonts w:cs="Arial"/>
          <w:sz w:val="18"/>
          <w:szCs w:val="18"/>
          <w:vertAlign w:val="superscript"/>
        </w:rPr>
        <w:t>-3</w:t>
      </w:r>
      <w:r w:rsidRPr="00172781">
        <w:rPr>
          <w:rFonts w:cs="Arial"/>
          <w:sz w:val="18"/>
          <w:szCs w:val="18"/>
        </w:rPr>
        <w:t xml:space="preserve">  A grand challenge in water oxidation and solar fuel production is the development of earth-abundant-element, effective WOCs that also function in strong acid. We will report new earth-abundant-element POMs that are both very good in strong base and, more importantly, in strong acid. </w:t>
      </w:r>
      <w:r w:rsidR="00431160">
        <w:rPr>
          <w:rFonts w:cs="Arial"/>
          <w:sz w:val="18"/>
          <w:szCs w:val="18"/>
        </w:rPr>
        <w:t xml:space="preserve"> </w:t>
      </w:r>
      <w:r w:rsidR="007C2383">
        <w:rPr>
          <w:rFonts w:cs="Arial"/>
          <w:sz w:val="18"/>
          <w:szCs w:val="18"/>
        </w:rPr>
        <w:t>Five</w:t>
      </w:r>
      <w:r w:rsidR="00431160">
        <w:rPr>
          <w:rFonts w:cs="Arial"/>
          <w:sz w:val="18"/>
          <w:szCs w:val="18"/>
        </w:rPr>
        <w:t xml:space="preserve"> different forms of a POM containing 9 cobalt centers</w:t>
      </w:r>
      <w:r w:rsidR="00FB2F6A">
        <w:rPr>
          <w:rFonts w:cs="Arial"/>
          <w:sz w:val="18"/>
          <w:szCs w:val="18"/>
        </w:rPr>
        <w:t xml:space="preserve"> with the</w:t>
      </w:r>
      <w:r w:rsidR="00BB4A44">
        <w:rPr>
          <w:rFonts w:cs="Arial"/>
          <w:sz w:val="18"/>
          <w:szCs w:val="18"/>
        </w:rPr>
        <w:t xml:space="preserve"> polyanion</w:t>
      </w:r>
      <w:r w:rsidR="00FB2F6A">
        <w:rPr>
          <w:rFonts w:cs="Arial"/>
          <w:sz w:val="18"/>
          <w:szCs w:val="18"/>
        </w:rPr>
        <w:t xml:space="preserve"> formula </w:t>
      </w:r>
      <w:r w:rsidR="00FB2F6A" w:rsidRPr="00FB2F6A">
        <w:rPr>
          <w:rFonts w:cs="Arial"/>
          <w:sz w:val="18"/>
          <w:szCs w:val="18"/>
        </w:rPr>
        <w:t>[Co</w:t>
      </w:r>
      <w:r w:rsidR="00FB2F6A" w:rsidRPr="00FB2F6A">
        <w:rPr>
          <w:rFonts w:cs="Arial"/>
          <w:sz w:val="18"/>
          <w:szCs w:val="18"/>
          <w:vertAlign w:val="subscript"/>
        </w:rPr>
        <w:t>9</w:t>
      </w:r>
      <w:r w:rsidR="00FB2F6A" w:rsidRPr="00FB2F6A">
        <w:rPr>
          <w:rFonts w:cs="Arial"/>
          <w:sz w:val="18"/>
          <w:szCs w:val="18"/>
        </w:rPr>
        <w:t>(OH)(H</w:t>
      </w:r>
      <w:r w:rsidR="00FB2F6A" w:rsidRPr="00FB2F6A">
        <w:rPr>
          <w:rFonts w:cs="Arial"/>
          <w:sz w:val="18"/>
          <w:szCs w:val="18"/>
          <w:vertAlign w:val="subscript"/>
        </w:rPr>
        <w:t>2</w:t>
      </w:r>
      <w:r w:rsidR="00FB2F6A" w:rsidRPr="00FB2F6A">
        <w:rPr>
          <w:rFonts w:cs="Arial"/>
          <w:sz w:val="18"/>
          <w:szCs w:val="18"/>
        </w:rPr>
        <w:t>O)</w:t>
      </w:r>
      <w:r w:rsidR="00FB2F6A" w:rsidRPr="00FB2F6A">
        <w:rPr>
          <w:rFonts w:cs="Arial"/>
          <w:sz w:val="18"/>
          <w:szCs w:val="18"/>
          <w:vertAlign w:val="subscript"/>
        </w:rPr>
        <w:t>6</w:t>
      </w:r>
      <w:r w:rsidR="00FB2F6A" w:rsidRPr="00FB2F6A">
        <w:rPr>
          <w:rFonts w:cs="Arial"/>
          <w:sz w:val="18"/>
          <w:szCs w:val="18"/>
        </w:rPr>
        <w:t>(HPO</w:t>
      </w:r>
      <w:r w:rsidR="00FB2F6A" w:rsidRPr="00FB2F6A">
        <w:rPr>
          <w:rFonts w:cs="Arial"/>
          <w:sz w:val="18"/>
          <w:szCs w:val="18"/>
          <w:vertAlign w:val="subscript"/>
        </w:rPr>
        <w:t>4</w:t>
      </w:r>
      <w:r w:rsidR="00FB2F6A" w:rsidRPr="00FB2F6A">
        <w:rPr>
          <w:rFonts w:cs="Arial"/>
          <w:sz w:val="18"/>
          <w:szCs w:val="18"/>
        </w:rPr>
        <w:t>)</w:t>
      </w:r>
      <w:r w:rsidR="00FB2F6A" w:rsidRPr="00FB2F6A">
        <w:rPr>
          <w:rFonts w:cs="Arial"/>
          <w:sz w:val="18"/>
          <w:szCs w:val="18"/>
          <w:vertAlign w:val="subscript"/>
        </w:rPr>
        <w:t>2</w:t>
      </w:r>
      <w:r w:rsidR="00FB2F6A" w:rsidRPr="00FB2F6A">
        <w:rPr>
          <w:rFonts w:cs="Arial"/>
          <w:sz w:val="18"/>
          <w:szCs w:val="18"/>
        </w:rPr>
        <w:t>(PW</w:t>
      </w:r>
      <w:r w:rsidR="00FB2F6A" w:rsidRPr="00FB2F6A">
        <w:rPr>
          <w:rFonts w:cs="Arial"/>
          <w:sz w:val="18"/>
          <w:szCs w:val="18"/>
          <w:vertAlign w:val="subscript"/>
        </w:rPr>
        <w:t>9</w:t>
      </w:r>
      <w:r w:rsidR="00FB2F6A" w:rsidRPr="00FB2F6A">
        <w:rPr>
          <w:rFonts w:cs="Arial"/>
          <w:sz w:val="18"/>
          <w:szCs w:val="18"/>
        </w:rPr>
        <w:t>O</w:t>
      </w:r>
      <w:r w:rsidR="00FB2F6A" w:rsidRPr="00FB2F6A">
        <w:rPr>
          <w:rFonts w:cs="Arial"/>
          <w:sz w:val="18"/>
          <w:szCs w:val="18"/>
          <w:vertAlign w:val="subscript"/>
        </w:rPr>
        <w:t>34</w:t>
      </w:r>
      <w:r w:rsidR="00FB2F6A" w:rsidRPr="00FB2F6A">
        <w:rPr>
          <w:rFonts w:cs="Arial"/>
          <w:sz w:val="18"/>
          <w:szCs w:val="18"/>
        </w:rPr>
        <w:t>)</w:t>
      </w:r>
      <w:r w:rsidR="00FB2F6A" w:rsidRPr="00FB2F6A">
        <w:rPr>
          <w:rFonts w:cs="Arial"/>
          <w:sz w:val="18"/>
          <w:szCs w:val="18"/>
          <w:vertAlign w:val="subscript"/>
        </w:rPr>
        <w:t>3</w:t>
      </w:r>
      <w:r w:rsidR="00FB2F6A" w:rsidRPr="00FB2F6A">
        <w:rPr>
          <w:rFonts w:cs="Arial"/>
          <w:sz w:val="18"/>
          <w:szCs w:val="18"/>
        </w:rPr>
        <w:t>]</w:t>
      </w:r>
      <w:r w:rsidR="00FB2F6A" w:rsidRPr="00FB2F6A">
        <w:rPr>
          <w:rFonts w:cs="Arial"/>
          <w:sz w:val="18"/>
          <w:szCs w:val="18"/>
          <w:vertAlign w:val="superscript"/>
        </w:rPr>
        <w:t>16-</w:t>
      </w:r>
      <w:r w:rsidR="00FB2F6A">
        <w:rPr>
          <w:rFonts w:cs="Arial"/>
          <w:sz w:val="18"/>
          <w:szCs w:val="18"/>
        </w:rPr>
        <w:t xml:space="preserve"> </w:t>
      </w:r>
      <w:r w:rsidR="00431160">
        <w:rPr>
          <w:rFonts w:cs="Arial"/>
          <w:sz w:val="18"/>
          <w:szCs w:val="18"/>
        </w:rPr>
        <w:t xml:space="preserve">have been prepared and structurally characterized (XRD, NMR and other methods).  </w:t>
      </w:r>
      <w:r w:rsidR="00BB4A44">
        <w:rPr>
          <w:rFonts w:cs="Arial"/>
          <w:sz w:val="18"/>
          <w:szCs w:val="18"/>
        </w:rPr>
        <w:t xml:space="preserve">Figure 1 </w:t>
      </w:r>
      <w:r w:rsidR="00FF5B7D">
        <w:rPr>
          <w:rFonts w:cs="Arial"/>
          <w:sz w:val="18"/>
          <w:szCs w:val="18"/>
        </w:rPr>
        <w:t>shows</w:t>
      </w:r>
      <w:r w:rsidR="00BB4A44">
        <w:rPr>
          <w:rFonts w:cs="Arial"/>
          <w:sz w:val="18"/>
          <w:szCs w:val="18"/>
        </w:rPr>
        <w:t xml:space="preserve"> the X-ray crystal structure of the (Cs</w:t>
      </w:r>
      <w:r w:rsidR="00BB4A44" w:rsidRPr="00BB4A44">
        <w:rPr>
          <w:rFonts w:cs="Arial"/>
          <w:sz w:val="18"/>
          <w:szCs w:val="18"/>
          <w:vertAlign w:val="superscript"/>
        </w:rPr>
        <w:t>+</w:t>
      </w:r>
      <w:r w:rsidR="00BB4A44">
        <w:rPr>
          <w:rFonts w:cs="Arial"/>
          <w:sz w:val="18"/>
          <w:szCs w:val="18"/>
        </w:rPr>
        <w:t>)</w:t>
      </w:r>
      <w:r w:rsidR="00BB4A44" w:rsidRPr="00BB4A44">
        <w:rPr>
          <w:rFonts w:cs="Arial"/>
          <w:sz w:val="18"/>
          <w:szCs w:val="18"/>
          <w:vertAlign w:val="subscript"/>
        </w:rPr>
        <w:t>9</w:t>
      </w:r>
      <w:r w:rsidR="00BB4A44">
        <w:rPr>
          <w:rFonts w:cs="Arial"/>
          <w:sz w:val="18"/>
          <w:szCs w:val="18"/>
        </w:rPr>
        <w:t xml:space="preserve"> salt. </w:t>
      </w:r>
      <w:r w:rsidR="00431160">
        <w:rPr>
          <w:rFonts w:cs="Arial"/>
          <w:sz w:val="18"/>
          <w:szCs w:val="18"/>
        </w:rPr>
        <w:t>Despite different unit cells, all</w:t>
      </w:r>
      <w:r w:rsidR="00FF5B7D">
        <w:rPr>
          <w:rFonts w:cs="Arial"/>
          <w:sz w:val="18"/>
          <w:szCs w:val="18"/>
        </w:rPr>
        <w:t xml:space="preserve"> give derivatives </w:t>
      </w:r>
      <w:r w:rsidR="007C2383">
        <w:rPr>
          <w:rFonts w:cs="Arial"/>
          <w:sz w:val="18"/>
          <w:szCs w:val="18"/>
        </w:rPr>
        <w:t>catalyze water oxidation in strong acid</w:t>
      </w:r>
      <w:r w:rsidR="00BB7E20">
        <w:rPr>
          <w:rFonts w:cs="Arial"/>
          <w:sz w:val="18"/>
          <w:szCs w:val="18"/>
        </w:rPr>
        <w:t xml:space="preserve"> but at different rates,</w:t>
      </w:r>
      <w:r w:rsidR="007C2383">
        <w:rPr>
          <w:rFonts w:cs="Arial"/>
          <w:sz w:val="18"/>
          <w:szCs w:val="18"/>
        </w:rPr>
        <w:t xml:space="preserve"> with the Y</w:t>
      </w:r>
      <w:r w:rsidR="007C2383" w:rsidRPr="007C2383">
        <w:rPr>
          <w:rFonts w:cs="Arial"/>
          <w:sz w:val="18"/>
          <w:szCs w:val="18"/>
          <w:vertAlign w:val="superscript"/>
        </w:rPr>
        <w:t>3+</w:t>
      </w:r>
      <w:r w:rsidR="007C2383">
        <w:rPr>
          <w:rFonts w:cs="Arial"/>
          <w:sz w:val="18"/>
          <w:szCs w:val="18"/>
        </w:rPr>
        <w:t xml:space="preserve"> salt being the most effective.  Despite different reactivities and crystal structures,</w:t>
      </w:r>
      <w:r w:rsidR="00BB7E20">
        <w:rPr>
          <w:rFonts w:cs="Arial"/>
          <w:sz w:val="18"/>
          <w:szCs w:val="18"/>
        </w:rPr>
        <w:t xml:space="preserve"> the tafel slopes for</w:t>
      </w:r>
      <w:r w:rsidR="00FF5B7D">
        <w:rPr>
          <w:rFonts w:cs="Arial"/>
          <w:sz w:val="18"/>
          <w:szCs w:val="18"/>
        </w:rPr>
        <w:t xml:space="preserve"> the</w:t>
      </w:r>
      <w:r w:rsidR="007C2383">
        <w:rPr>
          <w:rFonts w:cs="Arial"/>
          <w:sz w:val="18"/>
          <w:szCs w:val="18"/>
        </w:rPr>
        <w:t xml:space="preserve"> 4 </w:t>
      </w:r>
      <w:r w:rsidR="00BB7E20">
        <w:rPr>
          <w:rFonts w:cs="Arial"/>
          <w:sz w:val="18"/>
          <w:szCs w:val="18"/>
        </w:rPr>
        <w:t xml:space="preserve">insoluble </w:t>
      </w:r>
      <w:r w:rsidR="007C2383">
        <w:rPr>
          <w:rFonts w:cs="Arial"/>
          <w:sz w:val="18"/>
          <w:szCs w:val="18"/>
        </w:rPr>
        <w:t>derivatives are the same indicating that all oxidize water by a similar or identical mechanism.</w:t>
      </w:r>
    </w:p>
    <w:p w:rsidR="00A52C46" w:rsidRPr="00A52C46" w:rsidRDefault="00A52C46" w:rsidP="00A52C46">
      <w:pPr>
        <w:ind w:firstLine="720"/>
        <w:jc w:val="both"/>
        <w:rPr>
          <w:rFonts w:ascii="Arial" w:hAnsi="Arial" w:cs="Arial"/>
        </w:rPr>
      </w:pPr>
      <w:r w:rsidRPr="00172781">
        <w:rPr>
          <w:rFonts w:cs="Arial"/>
          <w:sz w:val="18"/>
          <w:szCs w:val="18"/>
        </w:rPr>
        <w:t xml:space="preserve">Good methods for immobilization of homogeneous catalysts on photoelectrodes is also a central issue in solar fuel generation.  We will discuss </w:t>
      </w:r>
      <w:r w:rsidR="001377E4">
        <w:rPr>
          <w:rFonts w:cs="Arial"/>
          <w:sz w:val="18"/>
          <w:szCs w:val="18"/>
        </w:rPr>
        <w:t xml:space="preserve">the preparation and characterization of </w:t>
      </w:r>
      <w:r w:rsidRPr="00172781">
        <w:rPr>
          <w:rFonts w:cs="Arial"/>
          <w:sz w:val="18"/>
          <w:szCs w:val="18"/>
        </w:rPr>
        <w:t>POM-WOC-SC (SC = semiconductor = TiO</w:t>
      </w:r>
      <w:r w:rsidRPr="00172781">
        <w:rPr>
          <w:rFonts w:cs="Arial"/>
          <w:sz w:val="18"/>
          <w:szCs w:val="18"/>
          <w:vertAlign w:val="subscript"/>
        </w:rPr>
        <w:t>2</w:t>
      </w:r>
      <w:r w:rsidRPr="00172781">
        <w:rPr>
          <w:rFonts w:cs="Arial"/>
          <w:sz w:val="18"/>
          <w:szCs w:val="18"/>
        </w:rPr>
        <w:t xml:space="preserve"> or Fe</w:t>
      </w:r>
      <w:r w:rsidRPr="00172781">
        <w:rPr>
          <w:rFonts w:cs="Arial"/>
          <w:sz w:val="18"/>
          <w:szCs w:val="18"/>
          <w:vertAlign w:val="subscript"/>
        </w:rPr>
        <w:t>2</w:t>
      </w:r>
      <w:r w:rsidRPr="00172781">
        <w:rPr>
          <w:rFonts w:cs="Arial"/>
          <w:sz w:val="18"/>
          <w:szCs w:val="18"/>
        </w:rPr>
        <w:t>O</w:t>
      </w:r>
      <w:r w:rsidRPr="00172781">
        <w:rPr>
          <w:rFonts w:cs="Arial"/>
          <w:sz w:val="18"/>
          <w:szCs w:val="18"/>
          <w:vertAlign w:val="subscript"/>
        </w:rPr>
        <w:t>3</w:t>
      </w:r>
      <w:r w:rsidRPr="00172781">
        <w:rPr>
          <w:rFonts w:cs="Arial"/>
          <w:sz w:val="18"/>
          <w:szCs w:val="18"/>
        </w:rPr>
        <w:t>) photocatalytic water oxidizing electrodes</w:t>
      </w:r>
      <w:r w:rsidR="001377E4">
        <w:rPr>
          <w:rFonts w:cs="Arial"/>
          <w:sz w:val="18"/>
          <w:szCs w:val="18"/>
        </w:rPr>
        <w:t>.</w:t>
      </w:r>
      <w:r w:rsidR="001377E4" w:rsidRPr="001377E4">
        <w:rPr>
          <w:rFonts w:cs="Arial"/>
          <w:sz w:val="18"/>
          <w:szCs w:val="18"/>
          <w:vertAlign w:val="superscript"/>
        </w:rPr>
        <w:t xml:space="preserve"> </w:t>
      </w:r>
      <w:r w:rsidR="001377E4" w:rsidRPr="00172781">
        <w:rPr>
          <w:rFonts w:cs="Arial"/>
          <w:sz w:val="18"/>
          <w:szCs w:val="18"/>
          <w:vertAlign w:val="superscript"/>
        </w:rPr>
        <w:t>3</w:t>
      </w:r>
      <w:r w:rsidR="00FF5B7D">
        <w:rPr>
          <w:rFonts w:cs="Arial"/>
          <w:sz w:val="18"/>
          <w:szCs w:val="18"/>
          <w:vertAlign w:val="superscript"/>
        </w:rPr>
        <w:t>-5</w:t>
      </w:r>
      <w:r w:rsidR="001377E4">
        <w:rPr>
          <w:rFonts w:cs="Arial"/>
          <w:sz w:val="18"/>
          <w:szCs w:val="18"/>
        </w:rPr>
        <w:t xml:space="preserve">  We recently demonstrated that POM-WOC-SC systems can be stabilized by appropriate</w:t>
      </w:r>
      <w:r w:rsidRPr="00172781">
        <w:rPr>
          <w:rFonts w:cs="Arial"/>
          <w:sz w:val="18"/>
          <w:szCs w:val="18"/>
        </w:rPr>
        <w:t xml:space="preserve"> layers</w:t>
      </w:r>
      <w:r w:rsidR="001377E4">
        <w:rPr>
          <w:rFonts w:cs="Arial"/>
          <w:sz w:val="18"/>
          <w:szCs w:val="18"/>
        </w:rPr>
        <w:t xml:space="preserve"> (depths)</w:t>
      </w:r>
      <w:r w:rsidRPr="00172781">
        <w:rPr>
          <w:rFonts w:cs="Arial"/>
          <w:sz w:val="18"/>
          <w:szCs w:val="18"/>
        </w:rPr>
        <w:t xml:space="preserve"> of Al</w:t>
      </w:r>
      <w:r w:rsidRPr="00172781">
        <w:rPr>
          <w:rFonts w:cs="Arial"/>
          <w:sz w:val="18"/>
          <w:szCs w:val="18"/>
          <w:vertAlign w:val="subscript"/>
        </w:rPr>
        <w:t>2</w:t>
      </w:r>
      <w:r w:rsidRPr="00172781">
        <w:rPr>
          <w:rFonts w:cs="Arial"/>
          <w:sz w:val="18"/>
          <w:szCs w:val="18"/>
        </w:rPr>
        <w:t>O</w:t>
      </w:r>
      <w:r w:rsidRPr="00172781">
        <w:rPr>
          <w:rFonts w:cs="Arial"/>
          <w:sz w:val="18"/>
          <w:szCs w:val="18"/>
          <w:vertAlign w:val="subscript"/>
        </w:rPr>
        <w:t>3</w:t>
      </w:r>
      <w:r w:rsidRPr="00172781">
        <w:rPr>
          <w:rFonts w:cs="Arial"/>
          <w:sz w:val="18"/>
          <w:szCs w:val="18"/>
        </w:rPr>
        <w:t xml:space="preserve"> deposited by atomic layer deposition (ALD; see Figure</w:t>
      </w:r>
      <w:r w:rsidR="001377E4">
        <w:rPr>
          <w:rFonts w:cs="Arial"/>
          <w:sz w:val="18"/>
          <w:szCs w:val="18"/>
        </w:rPr>
        <w:t xml:space="preserve"> 1</w:t>
      </w:r>
      <w:r w:rsidRPr="00172781">
        <w:rPr>
          <w:rFonts w:cs="Arial"/>
          <w:sz w:val="18"/>
          <w:szCs w:val="18"/>
        </w:rPr>
        <w:t>).</w:t>
      </w:r>
      <w:r w:rsidR="001377E4">
        <w:rPr>
          <w:rFonts w:cs="Arial"/>
          <w:sz w:val="18"/>
          <w:szCs w:val="18"/>
          <w:vertAlign w:val="superscript"/>
        </w:rPr>
        <w:t>5</w:t>
      </w:r>
      <w:r w:rsidRPr="00172781">
        <w:rPr>
          <w:rFonts w:ascii="Arial" w:hAnsi="Arial" w:cs="Arial"/>
          <w:sz w:val="18"/>
          <w:szCs w:val="18"/>
        </w:rPr>
        <w:t xml:space="preserve">  </w:t>
      </w:r>
    </w:p>
    <w:p w:rsidR="00AE3E37" w:rsidRDefault="00AE3E37">
      <w:pPr>
        <w:pStyle w:val="BodyText"/>
        <w:spacing w:before="90" w:line="280" w:lineRule="auto"/>
        <w:ind w:left="100"/>
        <w:jc w:val="both"/>
      </w:pPr>
    </w:p>
    <w:p w:rsidR="00AE3E37" w:rsidRDefault="00A9710C">
      <w:pPr>
        <w:pStyle w:val="Heading3"/>
        <w:spacing w:before="74"/>
      </w:pPr>
      <w:r>
        <w:rPr>
          <w:b w:val="0"/>
        </w:rPr>
        <w:br w:type="column"/>
      </w:r>
      <w:r>
        <w:rPr>
          <w:color w:val="BF5A14"/>
        </w:rPr>
        <w:t>Image</w:t>
      </w:r>
    </w:p>
    <w:p w:rsidR="00AE3E37" w:rsidRDefault="00127A89" w:rsidP="00127A89">
      <w:pPr>
        <w:pStyle w:val="BodyText"/>
        <w:spacing w:before="2"/>
        <w:jc w:val="center"/>
        <w:rPr>
          <w:rFonts w:ascii="Arial"/>
          <w:b/>
          <w:sz w:val="16"/>
        </w:rPr>
      </w:pPr>
      <w:r w:rsidRPr="00127A89">
        <w:rPr>
          <w:rFonts w:ascii="Arial"/>
          <w:b/>
          <w:noProof/>
          <w:sz w:val="16"/>
        </w:rPr>
        <w:drawing>
          <wp:inline distT="0" distB="0" distL="0" distR="0" wp14:anchorId="279B52CB" wp14:editId="40729487">
            <wp:extent cx="2511552" cy="2111517"/>
            <wp:effectExtent l="0" t="0" r="3175" b="0"/>
            <wp:docPr id="35" name="图片 3" descr="图片包含 风筝, 天空, 放飞, 户外&#10;&#10;已生成极高可信度的说明">
              <a:extLst xmlns:a="http://schemas.openxmlformats.org/drawingml/2006/main">
                <a:ext uri="{FF2B5EF4-FFF2-40B4-BE49-F238E27FC236}">
                  <a16:creationId xmlns:a16="http://schemas.microsoft.com/office/drawing/2014/main" id="{69E14BAC-47CD-5E43-BE88-32305BD043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descr="图片包含 风筝, 天空, 放飞, 户外&#10;&#10;已生成极高可信度的说明">
                      <a:extLst>
                        <a:ext uri="{FF2B5EF4-FFF2-40B4-BE49-F238E27FC236}">
                          <a16:creationId xmlns:a16="http://schemas.microsoft.com/office/drawing/2014/main" id="{69E14BAC-47CD-5E43-BE88-32305BD04381}"/>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17917" cy="2116868"/>
                    </a:xfrm>
                    <a:prstGeom prst="rect">
                      <a:avLst/>
                    </a:prstGeom>
                  </pic:spPr>
                </pic:pic>
              </a:graphicData>
            </a:graphic>
          </wp:inline>
        </w:drawing>
      </w:r>
    </w:p>
    <w:p w:rsidR="003112F5" w:rsidRPr="003112F5" w:rsidRDefault="00172781" w:rsidP="003112F5">
      <w:pPr>
        <w:pStyle w:val="BodyText"/>
        <w:spacing w:before="2"/>
        <w:rPr>
          <w:rFonts w:ascii="Arial" w:hAnsi="Arial" w:cs="Arial"/>
          <w:sz w:val="16"/>
          <w:szCs w:val="16"/>
        </w:rPr>
      </w:pPr>
      <w:r w:rsidRPr="00B72BDB">
        <w:rPr>
          <w:rFonts w:ascii="Arial" w:hAnsi="Arial" w:cs="Arial"/>
          <w:sz w:val="16"/>
          <w:szCs w:val="16"/>
        </w:rPr>
        <w:t xml:space="preserve">Figure 1:  </w:t>
      </w:r>
      <w:r w:rsidR="003112F5">
        <w:rPr>
          <w:rFonts w:ascii="Arial" w:hAnsi="Arial" w:cs="Arial"/>
          <w:sz w:val="16"/>
          <w:szCs w:val="16"/>
        </w:rPr>
        <w:t xml:space="preserve">X-ray structure of a fast, all-earth-abundant-element-containing molecular WOC that functions in acid: </w:t>
      </w:r>
      <w:r w:rsidR="003112F5" w:rsidRPr="003112F5">
        <w:rPr>
          <w:rFonts w:ascii="Arial" w:hAnsi="Arial" w:cs="Arial"/>
          <w:sz w:val="16"/>
          <w:szCs w:val="16"/>
        </w:rPr>
        <w:t>Cs</w:t>
      </w:r>
      <w:r w:rsidR="003112F5" w:rsidRPr="003112F5">
        <w:rPr>
          <w:rFonts w:ascii="Arial" w:hAnsi="Arial" w:cs="Arial"/>
          <w:sz w:val="16"/>
          <w:szCs w:val="16"/>
          <w:vertAlign w:val="subscript"/>
        </w:rPr>
        <w:t>9</w:t>
      </w:r>
      <w:r w:rsidR="003112F5" w:rsidRPr="003112F5">
        <w:rPr>
          <w:rFonts w:ascii="Arial" w:hAnsi="Arial" w:cs="Arial"/>
          <w:sz w:val="16"/>
          <w:szCs w:val="16"/>
        </w:rPr>
        <w:t>[Co</w:t>
      </w:r>
      <w:r w:rsidR="003112F5" w:rsidRPr="003112F5">
        <w:rPr>
          <w:rFonts w:ascii="Arial" w:hAnsi="Arial" w:cs="Arial"/>
          <w:sz w:val="16"/>
          <w:szCs w:val="16"/>
          <w:vertAlign w:val="subscript"/>
        </w:rPr>
        <w:t>9</w:t>
      </w:r>
      <w:r w:rsidR="003112F5" w:rsidRPr="003112F5">
        <w:rPr>
          <w:rFonts w:ascii="Arial" w:hAnsi="Arial" w:cs="Arial"/>
          <w:sz w:val="16"/>
          <w:szCs w:val="16"/>
        </w:rPr>
        <w:t>(OH)(H</w:t>
      </w:r>
      <w:r w:rsidR="003112F5" w:rsidRPr="003112F5">
        <w:rPr>
          <w:rFonts w:ascii="Arial" w:hAnsi="Arial" w:cs="Arial"/>
          <w:sz w:val="16"/>
          <w:szCs w:val="16"/>
          <w:vertAlign w:val="subscript"/>
        </w:rPr>
        <w:t>2</w:t>
      </w:r>
      <w:r w:rsidR="003112F5" w:rsidRPr="003112F5">
        <w:rPr>
          <w:rFonts w:ascii="Arial" w:hAnsi="Arial" w:cs="Arial"/>
          <w:sz w:val="16"/>
          <w:szCs w:val="16"/>
        </w:rPr>
        <w:t>O)</w:t>
      </w:r>
      <w:r w:rsidR="003112F5" w:rsidRPr="003112F5">
        <w:rPr>
          <w:rFonts w:ascii="Arial" w:hAnsi="Arial" w:cs="Arial"/>
          <w:sz w:val="16"/>
          <w:szCs w:val="16"/>
          <w:vertAlign w:val="subscript"/>
        </w:rPr>
        <w:t>6</w:t>
      </w:r>
      <w:r w:rsidR="003112F5" w:rsidRPr="003112F5">
        <w:rPr>
          <w:rFonts w:ascii="Arial" w:hAnsi="Arial" w:cs="Arial"/>
          <w:sz w:val="16"/>
          <w:szCs w:val="16"/>
        </w:rPr>
        <w:t>(HPO</w:t>
      </w:r>
      <w:r w:rsidR="003112F5" w:rsidRPr="003112F5">
        <w:rPr>
          <w:rFonts w:ascii="Arial" w:hAnsi="Arial" w:cs="Arial"/>
          <w:sz w:val="16"/>
          <w:szCs w:val="16"/>
          <w:vertAlign w:val="subscript"/>
        </w:rPr>
        <w:t>4</w:t>
      </w:r>
      <w:r w:rsidR="003112F5" w:rsidRPr="003112F5">
        <w:rPr>
          <w:rFonts w:ascii="Arial" w:hAnsi="Arial" w:cs="Arial"/>
          <w:sz w:val="16"/>
          <w:szCs w:val="16"/>
        </w:rPr>
        <w:t>)</w:t>
      </w:r>
      <w:r w:rsidR="003112F5" w:rsidRPr="003112F5">
        <w:rPr>
          <w:rFonts w:ascii="Arial" w:hAnsi="Arial" w:cs="Arial"/>
          <w:sz w:val="16"/>
          <w:szCs w:val="16"/>
          <w:vertAlign w:val="subscript"/>
        </w:rPr>
        <w:t>2</w:t>
      </w:r>
      <w:r w:rsidR="003112F5">
        <w:rPr>
          <w:rFonts w:ascii="Arial" w:hAnsi="Arial" w:cs="Arial"/>
          <w:sz w:val="16"/>
          <w:szCs w:val="16"/>
          <w:vertAlign w:val="subscript"/>
        </w:rPr>
        <w:t xml:space="preserve"> </w:t>
      </w:r>
      <w:r w:rsidR="003112F5" w:rsidRPr="003112F5">
        <w:rPr>
          <w:rFonts w:ascii="Arial" w:hAnsi="Arial" w:cs="Arial"/>
          <w:sz w:val="16"/>
          <w:szCs w:val="16"/>
        </w:rPr>
        <w:t>(PW</w:t>
      </w:r>
      <w:r w:rsidR="003112F5" w:rsidRPr="003112F5">
        <w:rPr>
          <w:rFonts w:ascii="Arial" w:hAnsi="Arial" w:cs="Arial"/>
          <w:sz w:val="16"/>
          <w:szCs w:val="16"/>
          <w:vertAlign w:val="subscript"/>
        </w:rPr>
        <w:t>9</w:t>
      </w:r>
      <w:r w:rsidR="003112F5" w:rsidRPr="003112F5">
        <w:rPr>
          <w:rFonts w:ascii="Arial" w:hAnsi="Arial" w:cs="Arial"/>
          <w:sz w:val="16"/>
          <w:szCs w:val="16"/>
        </w:rPr>
        <w:t>O</w:t>
      </w:r>
      <w:r w:rsidR="003112F5" w:rsidRPr="003112F5">
        <w:rPr>
          <w:rFonts w:ascii="Arial" w:hAnsi="Arial" w:cs="Arial"/>
          <w:sz w:val="16"/>
          <w:szCs w:val="16"/>
          <w:vertAlign w:val="subscript"/>
        </w:rPr>
        <w:t>34</w:t>
      </w:r>
      <w:r w:rsidR="003112F5" w:rsidRPr="003112F5">
        <w:rPr>
          <w:rFonts w:ascii="Arial" w:hAnsi="Arial" w:cs="Arial"/>
          <w:sz w:val="16"/>
          <w:szCs w:val="16"/>
        </w:rPr>
        <w:t>)</w:t>
      </w:r>
      <w:r w:rsidR="003112F5" w:rsidRPr="003112F5">
        <w:rPr>
          <w:rFonts w:ascii="Arial" w:hAnsi="Arial" w:cs="Arial"/>
          <w:sz w:val="16"/>
          <w:szCs w:val="16"/>
          <w:vertAlign w:val="subscript"/>
        </w:rPr>
        <w:t>3</w:t>
      </w:r>
      <w:r w:rsidR="003112F5" w:rsidRPr="003112F5">
        <w:rPr>
          <w:rFonts w:ascii="Arial" w:hAnsi="Arial" w:cs="Arial"/>
          <w:sz w:val="16"/>
          <w:szCs w:val="16"/>
        </w:rPr>
        <w:t>]</w:t>
      </w:r>
      <w:r w:rsidR="003112F5">
        <w:rPr>
          <w:rFonts w:ascii="Arial" w:hAnsi="Arial" w:cs="Arial"/>
          <w:sz w:val="16"/>
          <w:szCs w:val="16"/>
          <w:vertAlign w:val="superscript"/>
        </w:rPr>
        <w:t>n-</w:t>
      </w:r>
    </w:p>
    <w:p w:rsidR="003112F5" w:rsidRDefault="003112F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1422C8" w:rsidRPr="00CB730E" w:rsidRDefault="001422C8" w:rsidP="001422C8">
      <w:pPr>
        <w:pStyle w:val="ListParagraph"/>
        <w:numPr>
          <w:ilvl w:val="0"/>
          <w:numId w:val="3"/>
        </w:numPr>
        <w:tabs>
          <w:tab w:val="left" w:pos="384"/>
        </w:tabs>
        <w:spacing w:before="103" w:line="216" w:lineRule="exact"/>
        <w:ind w:right="138" w:hanging="283"/>
        <w:rPr>
          <w:color w:val="000000" w:themeColor="text1"/>
          <w:sz w:val="18"/>
          <w:szCs w:val="18"/>
        </w:rPr>
      </w:pPr>
      <w:r w:rsidRPr="001422C8">
        <w:rPr>
          <w:sz w:val="18"/>
          <w:szCs w:val="18"/>
        </w:rPr>
        <w:t>Yin,</w:t>
      </w:r>
      <w:r w:rsidR="005973B9" w:rsidRPr="001422C8">
        <w:rPr>
          <w:sz w:val="18"/>
          <w:szCs w:val="18"/>
        </w:rPr>
        <w:t xml:space="preserve"> </w:t>
      </w:r>
      <w:r w:rsidRPr="001422C8">
        <w:rPr>
          <w:sz w:val="18"/>
          <w:szCs w:val="18"/>
        </w:rPr>
        <w:t xml:space="preserve">Q, Tan, J M, Besson, C, Geletii, Y V, Musaev, D G, Kuznetsov, A E, Luo, Z, Hardcastle, A I, Hill C L </w:t>
      </w:r>
      <w:r w:rsidR="005973B9" w:rsidRPr="001422C8">
        <w:rPr>
          <w:sz w:val="18"/>
          <w:szCs w:val="18"/>
        </w:rPr>
        <w:t xml:space="preserve"> (2009) </w:t>
      </w:r>
      <w:r w:rsidRPr="001422C8">
        <w:rPr>
          <w:color w:val="000000" w:themeColor="text1"/>
          <w:sz w:val="18"/>
          <w:szCs w:val="18"/>
        </w:rPr>
        <w:t>A Fast Soluble Carbon-Free Molecular Water Oxidation Catalyst Based on Abundant Metals</w:t>
      </w:r>
      <w:r w:rsidR="00D01AA7">
        <w:rPr>
          <w:color w:val="000000" w:themeColor="text1"/>
          <w:sz w:val="18"/>
          <w:szCs w:val="18"/>
        </w:rPr>
        <w:t>. Science</w:t>
      </w:r>
      <w:r w:rsidRPr="001422C8">
        <w:rPr>
          <w:color w:val="000000" w:themeColor="text1"/>
          <w:sz w:val="18"/>
          <w:szCs w:val="18"/>
        </w:rPr>
        <w:t xml:space="preserve"> </w:t>
      </w:r>
      <w:r w:rsidRPr="001422C8">
        <w:rPr>
          <w:rFonts w:eastAsia="CMS Y" w:cs="CMB Extra"/>
          <w:i/>
          <w:color w:val="000000" w:themeColor="text1"/>
          <w:sz w:val="18"/>
          <w:szCs w:val="18"/>
        </w:rPr>
        <w:t>328</w:t>
      </w:r>
      <w:r>
        <w:rPr>
          <w:rFonts w:eastAsia="CMS Y" w:cs="CMB Extra"/>
          <w:color w:val="000000" w:themeColor="text1"/>
          <w:sz w:val="18"/>
          <w:szCs w:val="18"/>
        </w:rPr>
        <w:t>:</w:t>
      </w:r>
      <w:r w:rsidRPr="001422C8">
        <w:rPr>
          <w:rFonts w:eastAsia="CMS Y" w:cs="CMB Extra"/>
          <w:color w:val="000000" w:themeColor="text1"/>
          <w:sz w:val="18"/>
          <w:szCs w:val="18"/>
        </w:rPr>
        <w:t>342-345.</w:t>
      </w:r>
    </w:p>
    <w:p w:rsidR="00CB730E" w:rsidRPr="00816CFF" w:rsidRDefault="00816CFF" w:rsidP="001422C8">
      <w:pPr>
        <w:pStyle w:val="ListParagraph"/>
        <w:numPr>
          <w:ilvl w:val="0"/>
          <w:numId w:val="3"/>
        </w:numPr>
        <w:tabs>
          <w:tab w:val="left" w:pos="384"/>
        </w:tabs>
        <w:spacing w:before="103" w:line="216" w:lineRule="exact"/>
        <w:ind w:right="138" w:hanging="283"/>
        <w:rPr>
          <w:color w:val="000000" w:themeColor="text1"/>
          <w:sz w:val="18"/>
          <w:szCs w:val="18"/>
        </w:rPr>
      </w:pPr>
      <w:r>
        <w:rPr>
          <w:color w:val="000000" w:themeColor="text1"/>
          <w:sz w:val="18"/>
          <w:szCs w:val="18"/>
        </w:rPr>
        <w:t>Lv, H, Song, J, GeletiiYV,</w:t>
      </w:r>
      <w:r w:rsidRPr="00816CFF">
        <w:rPr>
          <w:color w:val="000000" w:themeColor="text1"/>
          <w:sz w:val="18"/>
          <w:szCs w:val="18"/>
        </w:rPr>
        <w:t xml:space="preserve"> </w:t>
      </w:r>
      <w:r>
        <w:rPr>
          <w:color w:val="000000" w:themeColor="text1"/>
          <w:sz w:val="18"/>
          <w:szCs w:val="18"/>
        </w:rPr>
        <w:t>VickersJW, SumlinerJM,</w:t>
      </w:r>
      <w:r w:rsidRPr="00816CFF">
        <w:rPr>
          <w:color w:val="000000" w:themeColor="text1"/>
          <w:sz w:val="18"/>
          <w:szCs w:val="18"/>
        </w:rPr>
        <w:t xml:space="preserve"> </w:t>
      </w:r>
      <w:r>
        <w:rPr>
          <w:color w:val="000000" w:themeColor="text1"/>
          <w:sz w:val="18"/>
          <w:szCs w:val="18"/>
        </w:rPr>
        <w:t>MusaevDG, KögerlerP, Zhuk, P, Bacsa, J, Zhu, G,</w:t>
      </w:r>
      <w:r w:rsidRPr="00816CFF">
        <w:rPr>
          <w:color w:val="000000" w:themeColor="text1"/>
          <w:sz w:val="18"/>
          <w:szCs w:val="18"/>
        </w:rPr>
        <w:t xml:space="preserve"> </w:t>
      </w:r>
      <w:r w:rsidR="00DF4497">
        <w:rPr>
          <w:color w:val="000000" w:themeColor="text1"/>
          <w:sz w:val="18"/>
          <w:szCs w:val="18"/>
        </w:rPr>
        <w:t>HillCL</w:t>
      </w:r>
      <w:r w:rsidRPr="00816CFF">
        <w:rPr>
          <w:color w:val="000000" w:themeColor="text1"/>
          <w:sz w:val="18"/>
          <w:szCs w:val="18"/>
        </w:rPr>
        <w:t>.</w:t>
      </w:r>
      <w:r>
        <w:rPr>
          <w:color w:val="000000" w:themeColor="text1"/>
          <w:sz w:val="18"/>
          <w:szCs w:val="18"/>
        </w:rPr>
        <w:t xml:space="preserve"> (</w:t>
      </w:r>
      <w:r w:rsidRPr="00816CFF">
        <w:rPr>
          <w:color w:val="000000" w:themeColor="text1"/>
          <w:sz w:val="18"/>
          <w:szCs w:val="18"/>
        </w:rPr>
        <w:t>2014</w:t>
      </w:r>
      <w:r>
        <w:rPr>
          <w:color w:val="000000" w:themeColor="text1"/>
          <w:sz w:val="18"/>
          <w:szCs w:val="18"/>
        </w:rPr>
        <w:t xml:space="preserve">) </w:t>
      </w:r>
      <w:r w:rsidRPr="00816CFF">
        <w:rPr>
          <w:color w:val="000000" w:themeColor="text1"/>
          <w:sz w:val="18"/>
          <w:szCs w:val="18"/>
        </w:rPr>
        <w:t>An Exceptionally Fast Homogeneous Carbon-Free Cobalt-Based</w:t>
      </w:r>
      <w:r w:rsidRPr="00816CFF">
        <w:rPr>
          <w:color w:val="000000" w:themeColor="text1"/>
          <w:kern w:val="36"/>
          <w:sz w:val="18"/>
          <w:szCs w:val="18"/>
        </w:rPr>
        <w:t>-</w:t>
      </w:r>
      <w:r w:rsidRPr="00816CFF">
        <w:rPr>
          <w:color w:val="000000" w:themeColor="text1"/>
          <w:sz w:val="18"/>
          <w:szCs w:val="18"/>
        </w:rPr>
        <w:t>Water Oxidation Catalyst.  J. Am. Chem. Soc</w:t>
      </w:r>
      <w:r>
        <w:rPr>
          <w:color w:val="000000" w:themeColor="text1"/>
          <w:sz w:val="18"/>
          <w:szCs w:val="18"/>
        </w:rPr>
        <w:t xml:space="preserve">. </w:t>
      </w:r>
      <w:r w:rsidRPr="00816CFF">
        <w:rPr>
          <w:color w:val="000000" w:themeColor="text1"/>
          <w:sz w:val="18"/>
          <w:szCs w:val="18"/>
        </w:rPr>
        <w:t xml:space="preserve">136:9268-9271.    </w:t>
      </w:r>
    </w:p>
    <w:p w:rsidR="001422C8" w:rsidRDefault="00D01AA7" w:rsidP="005973B9">
      <w:pPr>
        <w:pStyle w:val="ListParagraph"/>
        <w:numPr>
          <w:ilvl w:val="0"/>
          <w:numId w:val="3"/>
        </w:numPr>
        <w:tabs>
          <w:tab w:val="left" w:pos="384"/>
        </w:tabs>
        <w:spacing w:before="103" w:line="216" w:lineRule="exact"/>
        <w:ind w:right="138" w:hanging="283"/>
        <w:rPr>
          <w:sz w:val="18"/>
        </w:rPr>
      </w:pPr>
      <w:r>
        <w:rPr>
          <w:sz w:val="18"/>
        </w:rPr>
        <w:t>Lau</w:t>
      </w:r>
      <w:r w:rsidR="00DF4497">
        <w:rPr>
          <w:sz w:val="18"/>
        </w:rPr>
        <w:t>ingerSM, Yin Q, GeletiiY</w:t>
      </w:r>
      <w:r w:rsidR="00033BDE">
        <w:rPr>
          <w:sz w:val="18"/>
        </w:rPr>
        <w:t>V, HillCL</w:t>
      </w:r>
      <w:r>
        <w:rPr>
          <w:sz w:val="18"/>
        </w:rPr>
        <w:t xml:space="preserve">. </w:t>
      </w:r>
      <w:r w:rsidR="007A0EA8">
        <w:rPr>
          <w:sz w:val="18"/>
        </w:rPr>
        <w:t xml:space="preserve">(2017) </w:t>
      </w:r>
      <w:r>
        <w:rPr>
          <w:sz w:val="18"/>
        </w:rPr>
        <w:t>Polyoxometalate Catalysts in Solar Fuel Production</w:t>
      </w:r>
      <w:r w:rsidR="007A0EA8">
        <w:rPr>
          <w:sz w:val="18"/>
        </w:rPr>
        <w:t>. Advances in Inorganic Chemistry 69:Chapter 5.</w:t>
      </w:r>
    </w:p>
    <w:p w:rsidR="00DF4497" w:rsidRDefault="00DF4497" w:rsidP="00DF4497">
      <w:pPr>
        <w:pStyle w:val="ListParagraph"/>
        <w:numPr>
          <w:ilvl w:val="0"/>
          <w:numId w:val="3"/>
        </w:numPr>
        <w:rPr>
          <w:color w:val="000000" w:themeColor="text1"/>
          <w:sz w:val="18"/>
          <w:szCs w:val="18"/>
        </w:rPr>
      </w:pPr>
      <w:r w:rsidRPr="00DF4497">
        <w:rPr>
          <w:color w:val="000000" w:themeColor="text1"/>
          <w:kern w:val="36"/>
          <w:sz w:val="18"/>
          <w:szCs w:val="18"/>
        </w:rPr>
        <w:t xml:space="preserve">Fielden, J, SumlinerJM, Han, N, Geletii, YV, Xiang, X, Musaev, DG, Lian, T, Hill, C. L. </w:t>
      </w:r>
      <w:r w:rsidR="00E25AAA" w:rsidRPr="00DF4497">
        <w:rPr>
          <w:color w:val="000000" w:themeColor="text1"/>
          <w:kern w:val="36"/>
          <w:sz w:val="18"/>
          <w:szCs w:val="18"/>
        </w:rPr>
        <w:t>(</w:t>
      </w:r>
      <w:r w:rsidR="00E25AAA" w:rsidRPr="00DF4497">
        <w:rPr>
          <w:color w:val="000000" w:themeColor="text1"/>
          <w:sz w:val="18"/>
          <w:szCs w:val="18"/>
        </w:rPr>
        <w:t>2015</w:t>
      </w:r>
      <w:r w:rsidR="00E25AAA" w:rsidRPr="00DF4497">
        <w:rPr>
          <w:color w:val="000000" w:themeColor="text1"/>
          <w:kern w:val="36"/>
          <w:sz w:val="18"/>
          <w:szCs w:val="18"/>
        </w:rPr>
        <w:t xml:space="preserve">) </w:t>
      </w:r>
      <w:r w:rsidRPr="00DF4497">
        <w:rPr>
          <w:color w:val="000000" w:themeColor="text1"/>
          <w:kern w:val="36"/>
          <w:sz w:val="18"/>
          <w:szCs w:val="18"/>
        </w:rPr>
        <w:t>W</w:t>
      </w:r>
      <w:r w:rsidRPr="00DF4497">
        <w:rPr>
          <w:color w:val="000000" w:themeColor="text1"/>
          <w:sz w:val="18"/>
          <w:szCs w:val="18"/>
        </w:rPr>
        <w:t>ater Splitting with Polyoxometalate-Treated Photoanodes: Enhancing Performance through Sensitizer Design</w:t>
      </w:r>
      <w:r w:rsidRPr="00DF4497">
        <w:rPr>
          <w:color w:val="000000" w:themeColor="text1"/>
          <w:kern w:val="36"/>
          <w:sz w:val="18"/>
          <w:szCs w:val="18"/>
        </w:rPr>
        <w:t xml:space="preserve">. </w:t>
      </w:r>
      <w:r w:rsidRPr="00DF4497">
        <w:rPr>
          <w:color w:val="000000" w:themeColor="text1"/>
          <w:sz w:val="18"/>
          <w:szCs w:val="18"/>
        </w:rPr>
        <w:t xml:space="preserve">Chem. Sci. </w:t>
      </w:r>
      <w:r w:rsidRPr="00DF4497">
        <w:rPr>
          <w:bCs/>
          <w:color w:val="000000" w:themeColor="text1"/>
          <w:sz w:val="18"/>
          <w:szCs w:val="18"/>
        </w:rPr>
        <w:t>6</w:t>
      </w:r>
      <w:r w:rsidRPr="00DF4497">
        <w:rPr>
          <w:color w:val="000000" w:themeColor="text1"/>
          <w:sz w:val="18"/>
          <w:szCs w:val="18"/>
        </w:rPr>
        <w:t>:5531</w:t>
      </w:r>
      <w:r w:rsidRPr="00DF4497">
        <w:rPr>
          <w:b/>
          <w:bCs/>
          <w:color w:val="000000" w:themeColor="text1"/>
          <w:sz w:val="18"/>
          <w:szCs w:val="18"/>
        </w:rPr>
        <w:t>–</w:t>
      </w:r>
      <w:r w:rsidRPr="00DF4497">
        <w:rPr>
          <w:color w:val="000000" w:themeColor="text1"/>
          <w:sz w:val="18"/>
          <w:szCs w:val="18"/>
        </w:rPr>
        <w:t>5543</w:t>
      </w:r>
    </w:p>
    <w:p w:rsidR="00DF4497" w:rsidRDefault="00DF4497" w:rsidP="00DF4497">
      <w:pPr>
        <w:rPr>
          <w:color w:val="000000" w:themeColor="text1"/>
          <w:sz w:val="18"/>
          <w:szCs w:val="18"/>
        </w:rPr>
      </w:pPr>
    </w:p>
    <w:p w:rsidR="00DF4497" w:rsidRPr="00EE7E65" w:rsidRDefault="00E25AAA" w:rsidP="00EE7E65">
      <w:pPr>
        <w:pStyle w:val="ListParagraph"/>
        <w:widowControl/>
        <w:numPr>
          <w:ilvl w:val="0"/>
          <w:numId w:val="3"/>
        </w:numPr>
        <w:suppressAutoHyphens/>
        <w:spacing w:before="0" w:line="240" w:lineRule="auto"/>
        <w:ind w:left="389" w:hanging="288"/>
        <w:contextualSpacing/>
        <w:jc w:val="left"/>
        <w:rPr>
          <w:sz w:val="18"/>
          <w:szCs w:val="18"/>
        </w:rPr>
        <w:sectPr w:rsidR="00DF4497" w:rsidRPr="00EE7E65">
          <w:type w:val="continuous"/>
          <w:pgSz w:w="11910" w:h="16840"/>
          <w:pgMar w:top="1740" w:right="600" w:bottom="840" w:left="620" w:header="720" w:footer="720" w:gutter="0"/>
          <w:cols w:num="2" w:space="720" w:equalWidth="0">
            <w:col w:w="5214" w:space="138"/>
            <w:col w:w="5338"/>
          </w:cols>
        </w:sectPr>
      </w:pPr>
      <w:r w:rsidRPr="00E25AAA">
        <w:rPr>
          <w:color w:val="000000" w:themeColor="text1"/>
          <w:kern w:val="36"/>
          <w:sz w:val="18"/>
          <w:szCs w:val="18"/>
        </w:rPr>
        <w:t xml:space="preserve">Lauinger, S. M. et al. </w:t>
      </w:r>
      <w:r>
        <w:rPr>
          <w:color w:val="000000" w:themeColor="text1"/>
          <w:kern w:val="36"/>
          <w:sz w:val="18"/>
          <w:szCs w:val="18"/>
        </w:rPr>
        <w:t>(</w:t>
      </w:r>
      <w:r w:rsidRPr="00E25AAA">
        <w:rPr>
          <w:rStyle w:val="Strong"/>
          <w:b w:val="0"/>
          <w:color w:val="000000" w:themeColor="text1"/>
          <w:sz w:val="18"/>
          <w:szCs w:val="18"/>
        </w:rPr>
        <w:t>2017</w:t>
      </w:r>
      <w:r>
        <w:rPr>
          <w:rStyle w:val="Strong"/>
          <w:b w:val="0"/>
          <w:color w:val="000000" w:themeColor="text1"/>
          <w:sz w:val="18"/>
          <w:szCs w:val="18"/>
        </w:rPr>
        <w:t xml:space="preserve">) </w:t>
      </w:r>
      <w:r w:rsidRPr="00E25AAA">
        <w:rPr>
          <w:rStyle w:val="clientsectionheader"/>
          <w:i/>
          <w:iCs/>
          <w:color w:val="000000" w:themeColor="text1"/>
          <w:sz w:val="18"/>
          <w:szCs w:val="18"/>
        </w:rPr>
        <w:t>ACS Applied Materials &amp; Interfaces</w:t>
      </w:r>
      <w:r w:rsidR="00FF5B7D">
        <w:rPr>
          <w:color w:val="000000" w:themeColor="text1"/>
          <w:sz w:val="18"/>
          <w:szCs w:val="18"/>
        </w:rPr>
        <w:t xml:space="preserve"> </w:t>
      </w:r>
      <w:r w:rsidRPr="00E25AAA">
        <w:rPr>
          <w:rStyle w:val="Emphasis"/>
          <w:color w:val="000000" w:themeColor="text1"/>
          <w:sz w:val="18"/>
          <w:szCs w:val="18"/>
        </w:rPr>
        <w:t>9</w:t>
      </w:r>
      <w:r w:rsidR="00FF5B7D">
        <w:rPr>
          <w:color w:val="000000" w:themeColor="text1"/>
          <w:sz w:val="18"/>
          <w:szCs w:val="18"/>
        </w:rPr>
        <w:t>:</w:t>
      </w:r>
      <w:r w:rsidRPr="00E25AAA">
        <w:rPr>
          <w:color w:val="000000" w:themeColor="text1"/>
          <w:sz w:val="18"/>
          <w:szCs w:val="18"/>
        </w:rPr>
        <w:t xml:space="preserve"> </w:t>
      </w:r>
      <w:r w:rsidRPr="00E25AAA">
        <w:rPr>
          <w:rStyle w:val="articlepagerange"/>
          <w:color w:val="000000" w:themeColor="text1"/>
          <w:sz w:val="18"/>
          <w:szCs w:val="18"/>
        </w:rPr>
        <w:t>35048</w:t>
      </w:r>
      <w:r w:rsidR="00EE7E65">
        <w:rPr>
          <w:sz w:val="18"/>
          <w:szCs w:val="18"/>
        </w:rPr>
        <w:t>-35056.</w:t>
      </w:r>
    </w:p>
    <w:p w:rsidR="00816CFF" w:rsidRDefault="00816CFF" w:rsidP="008756E6">
      <w:pPr>
        <w:tabs>
          <w:tab w:val="left" w:pos="384"/>
        </w:tabs>
        <w:ind w:right="117"/>
        <w:rPr>
          <w:rFonts w:ascii="Calibri" w:hAnsi="Calibri" w:cs="Calibri"/>
          <w:color w:val="000000" w:themeColor="text1"/>
          <w:sz w:val="18"/>
          <w:szCs w:val="18"/>
        </w:rPr>
      </w:pPr>
    </w:p>
    <w:p w:rsidR="00DF4497" w:rsidRDefault="00DF4497" w:rsidP="008756E6">
      <w:pPr>
        <w:tabs>
          <w:tab w:val="left" w:pos="384"/>
        </w:tabs>
        <w:ind w:right="117"/>
        <w:rPr>
          <w:rFonts w:ascii="Calibri" w:hAnsi="Calibri" w:cs="Calibri"/>
          <w:color w:val="000000" w:themeColor="text1"/>
          <w:sz w:val="18"/>
          <w:szCs w:val="18"/>
        </w:r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25DAB">
        <w:rPr>
          <w:noProof/>
        </w:rPr>
        <w:drawing>
          <wp:inline distT="0" distB="0" distL="0" distR="0" wp14:anchorId="61EC3C6F" wp14:editId="3ED74EC2">
            <wp:extent cx="617585" cy="842137"/>
            <wp:effectExtent l="0" t="0" r="5080" b="0"/>
            <wp:docPr id="4" name="Picture 4" descr="Macintosh HD:Users:lchauvi:Documents:Administrative Stuff_Leslie Desktop:Hill_Craig:Meetings-Seminars 2015:ISF-1 Solar Fuels SWEDEN 2015:Craig:CLH Pic for ISF-1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chauvi:Documents:Administrative Stuff_Leslie Desktop:Hill_Craig:Meetings-Seminars 2015:ISF-1 Solar Fuels SWEDEN 2015:Craig:CLH Pic for ISF-1 .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8889" cy="857551"/>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B4DAA">
      <w:pPr>
        <w:spacing w:before="41" w:line="154" w:lineRule="exact"/>
        <w:ind w:left="213" w:right="231"/>
        <w:jc w:val="both"/>
        <w:rPr>
          <w:rFonts w:ascii="Arial"/>
          <w:sz w:val="14"/>
        </w:rPr>
      </w:pPr>
      <w:r>
        <w:rPr>
          <w:rFonts w:ascii="Arial"/>
          <w:sz w:val="14"/>
        </w:rPr>
        <w:t>Craig L. Hill (Ph</w:t>
      </w:r>
      <w:r w:rsidR="00366BC4">
        <w:rPr>
          <w:rFonts w:ascii="Arial"/>
          <w:sz w:val="14"/>
        </w:rPr>
        <w:t xml:space="preserve">D, </w:t>
      </w:r>
      <w:r>
        <w:rPr>
          <w:rFonts w:ascii="Arial"/>
          <w:sz w:val="14"/>
        </w:rPr>
        <w:t>MIT, NSF postdoc</w:t>
      </w:r>
      <w:r w:rsidR="00366BC4">
        <w:rPr>
          <w:rFonts w:ascii="Arial"/>
          <w:sz w:val="14"/>
        </w:rPr>
        <w:t>,</w:t>
      </w:r>
      <w:r>
        <w:rPr>
          <w:rFonts w:ascii="Arial"/>
          <w:sz w:val="14"/>
        </w:rPr>
        <w:t xml:space="preserve"> Stanford) is the Goodrich C. White Professor of Science at Emory University.  His group conducts</w:t>
      </w:r>
      <w:r w:rsidR="00366BC4">
        <w:rPr>
          <w:rFonts w:ascii="Arial"/>
          <w:sz w:val="14"/>
        </w:rPr>
        <w:t xml:space="preserve"> research on solar fuels and other aspects of green energy, multifunctional nanomaterials and new types of anticancer therapeutics.  He and his ~130 co-workers over the last 3 decades have published ~420 </w:t>
      </w:r>
      <w:r w:rsidR="002F2250">
        <w:rPr>
          <w:rFonts w:ascii="Arial"/>
          <w:sz w:val="14"/>
        </w:rPr>
        <w:t>papers that have been cited 28,6</w:t>
      </w:r>
      <w:r w:rsidR="00366BC4">
        <w:rPr>
          <w:rFonts w:ascii="Arial"/>
          <w:sz w:val="14"/>
        </w:rPr>
        <w:t xml:space="preserve">00 times for an H index of 85 (Google Scholar).  CLH is a Fellow of the AAAS, the Academia Europaea, the Victorian Institute of Chemical Sciences and the Royal Society of Chemistry.  He has edited multple journals, served or chaired many national and international research panels and chaired or organized 7 international scientific conferences. </w:t>
      </w:r>
    </w:p>
    <w:p w:rsidR="00AE3E37" w:rsidRDefault="00A9710C">
      <w:pPr>
        <w:spacing w:before="62"/>
        <w:ind w:left="4217" w:right="4235"/>
        <w:jc w:val="center"/>
        <w:rPr>
          <w:rFonts w:ascii="Arial"/>
          <w:sz w:val="14"/>
        </w:rPr>
      </w:pPr>
      <w:r>
        <w:rPr>
          <w:rFonts w:ascii="Arial"/>
          <w:sz w:val="14"/>
        </w:rPr>
        <w:t>Email:</w:t>
      </w:r>
      <w:r w:rsidR="00366BC4">
        <w:rPr>
          <w:rFonts w:ascii="Arial"/>
          <w:sz w:val="14"/>
        </w:rPr>
        <w:t xml:space="preserve">  chill@emory.edu</w:t>
      </w:r>
      <w:r>
        <w:rPr>
          <w:rFonts w:ascii="Arial"/>
          <w:sz w:val="14"/>
        </w:rPr>
        <w:t xml:space="preserve"> </w:t>
      </w:r>
    </w:p>
    <w:p w:rsidR="00AE3E37" w:rsidRPr="00A83D5B" w:rsidRDefault="00292ED9" w:rsidP="00A83D5B">
      <w:pPr>
        <w:pStyle w:val="BodyText"/>
        <w:spacing w:before="2"/>
        <w:rPr>
          <w:rFonts w:ascii="Arial"/>
          <w:sz w:val="19"/>
        </w:rPr>
        <w:sectPr w:rsidR="00AE3E37" w:rsidRPr="00A83D5B">
          <w:type w:val="continuous"/>
          <w:pgSz w:w="11910" w:h="16840"/>
          <w:pgMar w:top="1740" w:right="600" w:bottom="840" w:left="620" w:header="720" w:footer="720" w:gutter="0"/>
          <w:cols w:space="720"/>
        </w:sect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A83D5B">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E0D41" w:rsidRDefault="006E0D41">
      <w:r>
        <w:separator/>
      </w:r>
    </w:p>
  </w:endnote>
  <w:endnote w:type="continuationSeparator" w:id="0">
    <w:p w:rsidR="006E0D41" w:rsidRDefault="006E0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MS Y">
    <w:altName w:val="MS Mincho"/>
    <w:panose1 w:val="020B0604020202020204"/>
    <w:charset w:val="80"/>
    <w:family w:val="auto"/>
    <w:notTrueType/>
    <w:pitch w:val="default"/>
    <w:sig w:usb0="00000000" w:usb1="08070000" w:usb2="00000010" w:usb3="00000000" w:csb0="00020000" w:csb1="00000000"/>
  </w:font>
  <w:font w:name="CMB Extra">
    <w:altName w:val="Cambria"/>
    <w:panose1 w:val="020B0604020202020204"/>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E0D41" w:rsidRDefault="006E0D41">
      <w:r>
        <w:separator/>
      </w:r>
    </w:p>
  </w:footnote>
  <w:footnote w:type="continuationSeparator" w:id="0">
    <w:p w:rsidR="006E0D41" w:rsidRDefault="006E0D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9"/>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3BDE"/>
    <w:rsid w:val="000E2911"/>
    <w:rsid w:val="00125DAB"/>
    <w:rsid w:val="001263DF"/>
    <w:rsid w:val="00127A89"/>
    <w:rsid w:val="001377E4"/>
    <w:rsid w:val="001422C8"/>
    <w:rsid w:val="00172781"/>
    <w:rsid w:val="002455EC"/>
    <w:rsid w:val="00292ED9"/>
    <w:rsid w:val="002F2250"/>
    <w:rsid w:val="003112F5"/>
    <w:rsid w:val="00366BC4"/>
    <w:rsid w:val="003B7A39"/>
    <w:rsid w:val="003E70B3"/>
    <w:rsid w:val="00404E5B"/>
    <w:rsid w:val="00414F7B"/>
    <w:rsid w:val="00431160"/>
    <w:rsid w:val="004355DC"/>
    <w:rsid w:val="004749B4"/>
    <w:rsid w:val="00494130"/>
    <w:rsid w:val="004F3523"/>
    <w:rsid w:val="005710B1"/>
    <w:rsid w:val="005973B9"/>
    <w:rsid w:val="005B3A56"/>
    <w:rsid w:val="006060CE"/>
    <w:rsid w:val="0063497F"/>
    <w:rsid w:val="00662F66"/>
    <w:rsid w:val="006E0D41"/>
    <w:rsid w:val="007A0EA8"/>
    <w:rsid w:val="007C2383"/>
    <w:rsid w:val="00816CFF"/>
    <w:rsid w:val="00873DF0"/>
    <w:rsid w:val="008756E6"/>
    <w:rsid w:val="008A08B6"/>
    <w:rsid w:val="00933754"/>
    <w:rsid w:val="0098626A"/>
    <w:rsid w:val="009B2D44"/>
    <w:rsid w:val="009B2FDC"/>
    <w:rsid w:val="00A07E82"/>
    <w:rsid w:val="00A52C46"/>
    <w:rsid w:val="00A83D5B"/>
    <w:rsid w:val="00A9710C"/>
    <w:rsid w:val="00AE3E37"/>
    <w:rsid w:val="00B21A57"/>
    <w:rsid w:val="00B72BDB"/>
    <w:rsid w:val="00BB4A44"/>
    <w:rsid w:val="00BB7E20"/>
    <w:rsid w:val="00C33602"/>
    <w:rsid w:val="00C50A92"/>
    <w:rsid w:val="00CB730E"/>
    <w:rsid w:val="00CD6F55"/>
    <w:rsid w:val="00D01AA7"/>
    <w:rsid w:val="00DE3104"/>
    <w:rsid w:val="00DF4497"/>
    <w:rsid w:val="00E25AAA"/>
    <w:rsid w:val="00E26B10"/>
    <w:rsid w:val="00EB4DAA"/>
    <w:rsid w:val="00EE7E65"/>
    <w:rsid w:val="00F72EEA"/>
    <w:rsid w:val="00F84CAE"/>
    <w:rsid w:val="00FB2F6A"/>
    <w:rsid w:val="00FC55FC"/>
    <w:rsid w:val="00FF5B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F5398C"/>
  <w15:docId w15:val="{90E5AB76-F047-F642-98D1-5B2700C4C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FollowedHyperlink">
    <w:name w:val="FollowedHyperlink"/>
    <w:basedOn w:val="DefaultParagraphFont"/>
    <w:uiPriority w:val="99"/>
    <w:semiHidden/>
    <w:unhideWhenUsed/>
    <w:rsid w:val="00366BC4"/>
    <w:rPr>
      <w:color w:val="800080" w:themeColor="followedHyperlink"/>
      <w:u w:val="single"/>
    </w:rPr>
  </w:style>
  <w:style w:type="character" w:styleId="Strong">
    <w:name w:val="Strong"/>
    <w:uiPriority w:val="22"/>
    <w:qFormat/>
    <w:rsid w:val="00E25AAA"/>
    <w:rPr>
      <w:b/>
    </w:rPr>
  </w:style>
  <w:style w:type="character" w:customStyle="1" w:styleId="notinjournal">
    <w:name w:val="notinjournal"/>
    <w:basedOn w:val="DefaultParagraphFont"/>
    <w:rsid w:val="00E25AAA"/>
  </w:style>
  <w:style w:type="character" w:styleId="HTMLCite">
    <w:name w:val="HTML Cite"/>
    <w:uiPriority w:val="99"/>
    <w:rsid w:val="00E25AAA"/>
    <w:rPr>
      <w:i/>
    </w:rPr>
  </w:style>
  <w:style w:type="character" w:styleId="Emphasis">
    <w:name w:val="Emphasis"/>
    <w:uiPriority w:val="20"/>
    <w:qFormat/>
    <w:rsid w:val="00E25AAA"/>
    <w:rPr>
      <w:i/>
    </w:rPr>
  </w:style>
  <w:style w:type="character" w:customStyle="1" w:styleId="articlepagerange">
    <w:name w:val="articlepagerange"/>
    <w:basedOn w:val="DefaultParagraphFont"/>
    <w:rsid w:val="00E25AAA"/>
  </w:style>
  <w:style w:type="character" w:customStyle="1" w:styleId="clientsectionheader">
    <w:name w:val="clientsectionheader"/>
    <w:basedOn w:val="DefaultParagraphFont"/>
    <w:rsid w:val="00E25AAA"/>
  </w:style>
  <w:style w:type="paragraph" w:styleId="NormalWeb">
    <w:name w:val="Normal (Web)"/>
    <w:basedOn w:val="Normal"/>
    <w:uiPriority w:val="99"/>
    <w:semiHidden/>
    <w:unhideWhenUsed/>
    <w:rsid w:val="003112F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96613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9838985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91</TotalTime>
  <Pages>2</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28</cp:revision>
  <dcterms:created xsi:type="dcterms:W3CDTF">2016-12-06T11:19:00Z</dcterms:created>
  <dcterms:modified xsi:type="dcterms:W3CDTF">2018-06-17T05:34:00Z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