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045F" w:rsidRPr="004A045F" w:rsidRDefault="004A045F" w:rsidP="00CB0D34">
      <w:pPr>
        <w:rPr>
          <w:b/>
          <w:color w:val="337AB7"/>
          <w:sz w:val="36"/>
          <w:szCs w:val="36"/>
        </w:rPr>
      </w:pPr>
      <w:r w:rsidRPr="004A045F">
        <w:rPr>
          <w:b/>
          <w:color w:val="337AB7"/>
          <w:sz w:val="36"/>
          <w:szCs w:val="36"/>
        </w:rPr>
        <w:t>Coconut Waste as Bioresource for Sustainable Energy Development:</w:t>
      </w:r>
    </w:p>
    <w:p w:rsidR="004A045F" w:rsidRPr="004A045F" w:rsidRDefault="004A045F" w:rsidP="00CB0D34">
      <w:pPr>
        <w:rPr>
          <w:b/>
          <w:color w:val="337AB7"/>
          <w:sz w:val="36"/>
          <w:szCs w:val="36"/>
        </w:rPr>
      </w:pPr>
      <w:r w:rsidRPr="004A045F">
        <w:rPr>
          <w:b/>
          <w:color w:val="337AB7"/>
          <w:sz w:val="36"/>
          <w:szCs w:val="36"/>
        </w:rPr>
        <w:t>Quantifying the Waste, Energy Content and Emissions</w:t>
      </w:r>
    </w:p>
    <w:p w:rsidR="00AE3E37" w:rsidRPr="004A045F" w:rsidRDefault="00AE3E37" w:rsidP="004A045F">
      <w:pPr>
        <w:jc w:val="center"/>
        <w:rPr>
          <w:color w:val="337AB7"/>
          <w:sz w:val="36"/>
          <w:szCs w:val="36"/>
        </w:rPr>
      </w:pPr>
      <w:bookmarkStart w:id="0" w:name="_GoBack"/>
      <w:bookmarkEnd w:id="0"/>
    </w:p>
    <w:p w:rsidR="004A045F" w:rsidRDefault="004A045F" w:rsidP="004A045F">
      <w:pPr>
        <w:jc w:val="center"/>
        <w:rPr>
          <w:rFonts w:ascii="Times New Roman" w:hAnsi="Times New Roman" w:cs="Times New Roman"/>
          <w:b/>
          <w:vertAlign w:val="superscript"/>
        </w:rPr>
      </w:pPr>
    </w:p>
    <w:p w:rsidR="004A045F" w:rsidRDefault="004A045F" w:rsidP="004A045F">
      <w:pPr>
        <w:jc w:val="center"/>
        <w:rPr>
          <w:rFonts w:ascii="Times New Roman" w:hAnsi="Times New Roman" w:cs="Times New Roman"/>
          <w:b/>
          <w:vertAlign w:val="superscript"/>
        </w:rPr>
        <w:sectPr w:rsidR="004A045F" w:rsidSect="004A045F">
          <w:headerReference w:type="default" r:id="rId8"/>
          <w:footerReference w:type="default" r:id="rId9"/>
          <w:type w:val="continuous"/>
          <w:pgSz w:w="11910" w:h="16840"/>
          <w:pgMar w:top="1740" w:right="600" w:bottom="840" w:left="620" w:header="720" w:footer="720" w:gutter="0"/>
          <w:cols w:space="138"/>
        </w:sectPr>
      </w:pPr>
    </w:p>
    <w:p w:rsidR="004A045F" w:rsidRDefault="004A045F" w:rsidP="004A045F">
      <w:pPr>
        <w:jc w:val="center"/>
        <w:rPr>
          <w:rFonts w:ascii="Arial" w:hAnsi="Arial" w:cs="Arial"/>
          <w:b/>
          <w:sz w:val="18"/>
          <w:szCs w:val="18"/>
        </w:rPr>
      </w:pPr>
      <w:r w:rsidRPr="004A045F">
        <w:rPr>
          <w:rFonts w:ascii="Arial" w:hAnsi="Arial" w:cs="Arial"/>
          <w:b/>
          <w:sz w:val="18"/>
          <w:szCs w:val="18"/>
          <w:vertAlign w:val="superscript"/>
        </w:rPr>
        <w:lastRenderedPageBreak/>
        <w:t>1</w:t>
      </w:r>
      <w:r w:rsidRPr="004A045F">
        <w:rPr>
          <w:rFonts w:ascii="Arial" w:hAnsi="Arial" w:cs="Arial"/>
          <w:b/>
          <w:sz w:val="18"/>
          <w:szCs w:val="18"/>
        </w:rPr>
        <w:t xml:space="preserve">Amoah Y. D, </w:t>
      </w:r>
      <w:r w:rsidRPr="004A045F">
        <w:rPr>
          <w:rFonts w:ascii="Arial" w:hAnsi="Arial" w:cs="Arial"/>
          <w:b/>
          <w:sz w:val="18"/>
          <w:szCs w:val="18"/>
          <w:vertAlign w:val="superscript"/>
        </w:rPr>
        <w:t>2</w:t>
      </w:r>
      <w:r w:rsidRPr="004A045F">
        <w:rPr>
          <w:rFonts w:ascii="Arial" w:hAnsi="Arial" w:cs="Arial"/>
          <w:b/>
          <w:sz w:val="18"/>
          <w:szCs w:val="18"/>
        </w:rPr>
        <w:t xml:space="preserve">Ofori-Agyemang C, </w:t>
      </w:r>
      <w:r w:rsidRPr="004A045F">
        <w:rPr>
          <w:rFonts w:ascii="Arial" w:hAnsi="Arial" w:cs="Arial"/>
          <w:b/>
          <w:sz w:val="18"/>
          <w:szCs w:val="18"/>
          <w:vertAlign w:val="superscript"/>
        </w:rPr>
        <w:t>3</w:t>
      </w:r>
      <w:r w:rsidRPr="004A045F">
        <w:rPr>
          <w:rFonts w:ascii="Arial" w:hAnsi="Arial" w:cs="Arial"/>
          <w:b/>
          <w:sz w:val="18"/>
          <w:szCs w:val="18"/>
        </w:rPr>
        <w:t>Obeng G.Y</w:t>
      </w:r>
      <w:r w:rsidR="0072213B">
        <w:rPr>
          <w:rFonts w:ascii="Arial" w:hAnsi="Arial" w:cs="Arial"/>
          <w:b/>
          <w:sz w:val="18"/>
          <w:szCs w:val="18"/>
        </w:rPr>
        <w:t xml:space="preserve">, </w:t>
      </w:r>
      <w:r w:rsidRPr="004A045F">
        <w:rPr>
          <w:rFonts w:ascii="Arial" w:hAnsi="Arial" w:cs="Arial"/>
          <w:b/>
          <w:sz w:val="18"/>
          <w:szCs w:val="18"/>
        </w:rPr>
        <w:t xml:space="preserve"> </w:t>
      </w:r>
      <w:r w:rsidRPr="004A045F">
        <w:rPr>
          <w:rFonts w:ascii="Arial" w:hAnsi="Arial" w:cs="Arial"/>
          <w:b/>
          <w:sz w:val="18"/>
          <w:szCs w:val="18"/>
          <w:vertAlign w:val="superscript"/>
        </w:rPr>
        <w:t>4</w:t>
      </w:r>
      <w:r w:rsidRPr="004A045F">
        <w:rPr>
          <w:rFonts w:ascii="Arial" w:hAnsi="Arial" w:cs="Arial"/>
          <w:b/>
          <w:sz w:val="18"/>
          <w:szCs w:val="18"/>
        </w:rPr>
        <w:t>Mensah, E.</w:t>
      </w:r>
    </w:p>
    <w:p w:rsidR="004A045F" w:rsidRPr="004A045F" w:rsidRDefault="004A045F" w:rsidP="004A045F">
      <w:pPr>
        <w:jc w:val="center"/>
        <w:rPr>
          <w:rFonts w:ascii="Arial" w:hAnsi="Arial" w:cs="Arial"/>
          <w:b/>
          <w:sz w:val="18"/>
          <w:szCs w:val="18"/>
        </w:rPr>
      </w:pPr>
    </w:p>
    <w:p w:rsidR="004A045F" w:rsidRPr="004A045F" w:rsidRDefault="004A045F" w:rsidP="004A045F">
      <w:pPr>
        <w:jc w:val="center"/>
        <w:rPr>
          <w:rFonts w:ascii="Arial" w:hAnsi="Arial" w:cs="Arial"/>
          <w:color w:val="000000" w:themeColor="text1"/>
          <w:sz w:val="18"/>
          <w:szCs w:val="18"/>
        </w:rPr>
      </w:pPr>
      <w:r w:rsidRPr="004A045F">
        <w:rPr>
          <w:rFonts w:ascii="Arial" w:hAnsi="Arial" w:cs="Arial"/>
          <w:color w:val="000000" w:themeColor="text1"/>
          <w:sz w:val="18"/>
          <w:szCs w:val="18"/>
          <w:vertAlign w:val="superscript"/>
        </w:rPr>
        <w:t xml:space="preserve">1,2,4 </w:t>
      </w:r>
      <w:r w:rsidRPr="004A045F">
        <w:rPr>
          <w:rFonts w:ascii="Arial" w:hAnsi="Arial" w:cs="Arial"/>
          <w:color w:val="000000" w:themeColor="text1"/>
          <w:sz w:val="18"/>
          <w:szCs w:val="18"/>
        </w:rPr>
        <w:t>Department of Agricultural and Biosystems Engineering, College of Engineering, Kwame Nkrumah University of Science and Technology, Kumasi, Ghana.</w:t>
      </w:r>
    </w:p>
    <w:p w:rsidR="004A045F" w:rsidRPr="004A045F" w:rsidRDefault="004A045F" w:rsidP="004A045F">
      <w:pPr>
        <w:jc w:val="center"/>
        <w:rPr>
          <w:rFonts w:ascii="Arial" w:hAnsi="Arial" w:cs="Arial"/>
          <w:color w:val="000000" w:themeColor="text1"/>
          <w:sz w:val="18"/>
          <w:szCs w:val="18"/>
        </w:rPr>
      </w:pPr>
    </w:p>
    <w:p w:rsidR="004A045F" w:rsidRPr="004A045F" w:rsidRDefault="004A045F" w:rsidP="004A045F">
      <w:pPr>
        <w:jc w:val="center"/>
        <w:rPr>
          <w:rFonts w:ascii="Arial" w:hAnsi="Arial" w:cs="Arial"/>
          <w:color w:val="000000" w:themeColor="text1"/>
          <w:sz w:val="18"/>
          <w:szCs w:val="18"/>
        </w:rPr>
      </w:pPr>
      <w:r w:rsidRPr="004A045F">
        <w:rPr>
          <w:rFonts w:ascii="Arial" w:hAnsi="Arial" w:cs="Arial"/>
          <w:color w:val="000000" w:themeColor="text1"/>
          <w:sz w:val="18"/>
          <w:szCs w:val="18"/>
          <w:vertAlign w:val="superscript"/>
        </w:rPr>
        <w:t>3</w:t>
      </w:r>
      <w:r w:rsidRPr="004A045F">
        <w:rPr>
          <w:rFonts w:ascii="Arial" w:hAnsi="Arial" w:cs="Arial"/>
          <w:color w:val="000000" w:themeColor="text1"/>
          <w:sz w:val="18"/>
          <w:szCs w:val="18"/>
        </w:rPr>
        <w:t xml:space="preserve"> Department of Mechanical Engineering, College of Engineering, Kwame Nkrumah University of Science and Technology, Kumasi, Ghana.</w:t>
      </w:r>
    </w:p>
    <w:p w:rsidR="004A045F" w:rsidRPr="004A045F" w:rsidRDefault="004A045F" w:rsidP="004A045F">
      <w:pPr>
        <w:jc w:val="center"/>
        <w:rPr>
          <w:rFonts w:ascii="Arial" w:hAnsi="Arial" w:cs="Arial"/>
          <w:color w:val="000000" w:themeColor="text1"/>
          <w:sz w:val="18"/>
          <w:szCs w:val="18"/>
        </w:rPr>
      </w:pPr>
    </w:p>
    <w:p w:rsidR="004A045F" w:rsidRPr="004A045F" w:rsidRDefault="00A9710C" w:rsidP="004A045F">
      <w:pPr>
        <w:pStyle w:val="Heading3"/>
        <w:spacing w:before="147"/>
        <w:ind w:left="0"/>
        <w:jc w:val="both"/>
        <w:rPr>
          <w:color w:val="BF5A14"/>
        </w:rPr>
      </w:pPr>
      <w:r>
        <w:rPr>
          <w:color w:val="BF5A14"/>
        </w:rPr>
        <w:t>Abstract</w:t>
      </w:r>
      <w:r w:rsidR="00404E5B">
        <w:rPr>
          <w:color w:val="BF5A14"/>
        </w:rPr>
        <w:t xml:space="preserve"> (300 word limit)</w:t>
      </w:r>
    </w:p>
    <w:p w:rsidR="0072213B" w:rsidRDefault="004A045F" w:rsidP="0072213B">
      <w:pPr>
        <w:autoSpaceDE w:val="0"/>
        <w:autoSpaceDN w:val="0"/>
        <w:adjustRightInd w:val="0"/>
        <w:jc w:val="both"/>
        <w:rPr>
          <w:rFonts w:eastAsia="SimSun" w:cs="Times New Roman"/>
          <w:sz w:val="18"/>
          <w:szCs w:val="18"/>
          <w:lang w:eastAsia="zh-CN"/>
        </w:rPr>
      </w:pPr>
      <w:r w:rsidRPr="004A045F">
        <w:rPr>
          <w:rFonts w:eastAsia="Calibri" w:cs="Times New Roman"/>
          <w:sz w:val="18"/>
          <w:szCs w:val="18"/>
        </w:rPr>
        <w:t xml:space="preserve">After the edible portions of coconut fruit are consumed, the husks and shells are thrown away or burned raw as domestic fuel, particularly for the energy-poor. Improper disposal and burning of coconut waste result in environmental pollution. </w:t>
      </w:r>
      <w:r w:rsidRPr="004A045F">
        <w:rPr>
          <w:rFonts w:eastAsia="SimSun" w:cs="Times New Roman"/>
          <w:color w:val="000000" w:themeColor="text1"/>
          <w:sz w:val="18"/>
          <w:szCs w:val="18"/>
          <w:lang w:eastAsia="zh-CN"/>
        </w:rPr>
        <w:t>This study sought to quantify the waste, energy content, PM</w:t>
      </w:r>
      <w:r w:rsidRPr="004A045F">
        <w:rPr>
          <w:rFonts w:eastAsia="SimSun" w:cs="Times New Roman"/>
          <w:color w:val="000000" w:themeColor="text1"/>
          <w:sz w:val="18"/>
          <w:szCs w:val="18"/>
          <w:vertAlign w:val="subscript"/>
          <w:lang w:eastAsia="zh-CN"/>
        </w:rPr>
        <w:t>2.5</w:t>
      </w:r>
      <w:r w:rsidRPr="004A045F">
        <w:rPr>
          <w:rFonts w:eastAsia="SimSun" w:cs="Times New Roman"/>
          <w:color w:val="000000" w:themeColor="text1"/>
          <w:sz w:val="18"/>
          <w:szCs w:val="18"/>
          <w:lang w:eastAsia="zh-CN"/>
        </w:rPr>
        <w:t xml:space="preserve"> and CO emissions from burning of coconut waste for sustainable bio-char energy production in Kumasi, Ghana. </w:t>
      </w:r>
      <w:r w:rsidRPr="004A045F">
        <w:rPr>
          <w:rFonts w:cs="Times New Roman"/>
          <w:sz w:val="18"/>
          <w:szCs w:val="18"/>
        </w:rPr>
        <w:t xml:space="preserve">Cross-sectional data were gathered from primary sources by administering questionnaires to 110 coconut sellers. </w:t>
      </w:r>
      <w:r w:rsidRPr="004A045F">
        <w:rPr>
          <w:rFonts w:cs="Times New Roman"/>
          <w:color w:val="000000"/>
          <w:sz w:val="18"/>
          <w:szCs w:val="18"/>
          <w:lang w:val="en-GB"/>
        </w:rPr>
        <w:t xml:space="preserve">Coconut wholesale </w:t>
      </w:r>
      <w:proofErr w:type="gramStart"/>
      <w:r w:rsidRPr="004A045F">
        <w:rPr>
          <w:rFonts w:cs="Times New Roman"/>
          <w:color w:val="000000"/>
          <w:sz w:val="18"/>
          <w:szCs w:val="18"/>
          <w:lang w:val="en-GB"/>
        </w:rPr>
        <w:t>points,</w:t>
      </w:r>
      <w:proofErr w:type="gramEnd"/>
      <w:r w:rsidRPr="004A045F">
        <w:rPr>
          <w:rFonts w:cs="Times New Roman"/>
          <w:color w:val="000000"/>
          <w:sz w:val="18"/>
          <w:szCs w:val="18"/>
          <w:lang w:val="en-GB"/>
        </w:rPr>
        <w:t xml:space="preserve"> </w:t>
      </w:r>
      <w:r w:rsidRPr="004A045F">
        <w:rPr>
          <w:rFonts w:cs="Times New Roman"/>
          <w:sz w:val="18"/>
          <w:szCs w:val="18"/>
        </w:rPr>
        <w:t xml:space="preserve">dump sites and landfill sites </w:t>
      </w:r>
      <w:r w:rsidRPr="004A045F">
        <w:rPr>
          <w:rFonts w:cs="Times New Roman"/>
          <w:color w:val="000000"/>
          <w:sz w:val="18"/>
          <w:szCs w:val="18"/>
          <w:lang w:val="en-GB"/>
        </w:rPr>
        <w:t xml:space="preserve">in Kumasi were also surveyed. Furthermore, </w:t>
      </w:r>
      <w:r w:rsidRPr="004A045F">
        <w:rPr>
          <w:rFonts w:eastAsia="SimSun" w:cs="Times New Roman"/>
          <w:color w:val="000000" w:themeColor="text1"/>
          <w:sz w:val="18"/>
          <w:szCs w:val="18"/>
          <w:lang w:eastAsia="zh-CN"/>
        </w:rPr>
        <w:t>50 fresh coconuts (25 local and 25 hybrid varieties) were randomly sampled, weighed, dehusked and the residue was used in an experiment. T</w:t>
      </w:r>
      <w:r w:rsidRPr="004A045F">
        <w:rPr>
          <w:rFonts w:eastAsia="SimSun" w:cs="Times New Roman"/>
          <w:sz w:val="18"/>
          <w:szCs w:val="18"/>
          <w:lang w:eastAsia="zh-CN"/>
        </w:rPr>
        <w:t xml:space="preserve">he study revealed that several </w:t>
      </w:r>
      <w:r w:rsidRPr="004A045F">
        <w:rPr>
          <w:rFonts w:cs="Times New Roman"/>
          <w:sz w:val="18"/>
          <w:szCs w:val="18"/>
        </w:rPr>
        <w:t>tonnes of coconut waste are generated per month out of which 91% is dumped. O</w:t>
      </w:r>
      <w:r w:rsidRPr="004A045F">
        <w:rPr>
          <w:rFonts w:eastAsia="SimSun" w:cs="Times New Roman"/>
          <w:color w:val="000000" w:themeColor="text1"/>
          <w:sz w:val="18"/>
          <w:szCs w:val="18"/>
          <w:lang w:eastAsia="zh-CN"/>
        </w:rPr>
        <w:t xml:space="preserve">f the total mass of fresh coconut, 61-65% is </w:t>
      </w:r>
      <w:r w:rsidRPr="004A045F">
        <w:rPr>
          <w:rFonts w:eastAsia="SimSun" w:cs="Times New Roman"/>
          <w:sz w:val="18"/>
          <w:szCs w:val="18"/>
          <w:lang w:eastAsia="zh-CN"/>
        </w:rPr>
        <w:t xml:space="preserve">generated as waste (shells 14-15%, husks 47-50%). Energy content of raw uncharred coconut waste was 9-16 MJ/kg and charred coconut waste was 17-21 MJ/kg. These values compared favorably to wood (12-16 MJ/kg) at 20% moisture content. However, </w:t>
      </w:r>
      <w:r w:rsidRPr="004A045F">
        <w:rPr>
          <w:rFonts w:eastAsia="SimSun" w:cs="Times New Roman"/>
          <w:color w:val="000000" w:themeColor="text1"/>
          <w:sz w:val="18"/>
          <w:szCs w:val="18"/>
          <w:lang w:eastAsia="zh-CN"/>
        </w:rPr>
        <w:t>PM</w:t>
      </w:r>
      <w:r w:rsidRPr="004A045F">
        <w:rPr>
          <w:rFonts w:eastAsia="SimSun" w:cs="Times New Roman"/>
          <w:color w:val="000000" w:themeColor="text1"/>
          <w:sz w:val="18"/>
          <w:szCs w:val="18"/>
          <w:vertAlign w:val="subscript"/>
          <w:lang w:eastAsia="zh-CN"/>
        </w:rPr>
        <w:t>2.5</w:t>
      </w:r>
      <w:r w:rsidRPr="004A045F">
        <w:rPr>
          <w:rFonts w:eastAsia="SimSun" w:cs="Times New Roman"/>
          <w:color w:val="000000" w:themeColor="text1"/>
          <w:sz w:val="18"/>
          <w:szCs w:val="18"/>
          <w:lang w:eastAsia="zh-CN"/>
        </w:rPr>
        <w:t xml:space="preserve"> and CO were higher compared to </w:t>
      </w:r>
      <w:r w:rsidRPr="004A045F">
        <w:rPr>
          <w:rFonts w:eastAsia="Times New Roman" w:cs="Times New Roman"/>
          <w:sz w:val="18"/>
          <w:szCs w:val="18"/>
          <w:lang w:eastAsia="en-GB"/>
        </w:rPr>
        <w:t>WHO 24-hr AQG values at 25 °C, 1 atm.</w:t>
      </w:r>
      <w:r w:rsidRPr="004A045F">
        <w:rPr>
          <w:rFonts w:eastAsia="SimSun" w:cs="Times New Roman"/>
          <w:color w:val="000000" w:themeColor="text1"/>
          <w:sz w:val="18"/>
          <w:szCs w:val="18"/>
          <w:lang w:eastAsia="zh-CN"/>
        </w:rPr>
        <w:t xml:space="preserve"> </w:t>
      </w:r>
      <w:r w:rsidRPr="004A045F">
        <w:rPr>
          <w:rFonts w:eastAsia="SimSun" w:cs="Times New Roman"/>
          <w:sz w:val="18"/>
          <w:szCs w:val="18"/>
          <w:lang w:eastAsia="zh-CN"/>
        </w:rPr>
        <w:t xml:space="preserve">Higher concentrations of </w:t>
      </w:r>
      <w:r w:rsidRPr="004A045F">
        <w:rPr>
          <w:rFonts w:eastAsia="SimSun" w:cs="Times New Roman"/>
          <w:color w:val="000000" w:themeColor="text1"/>
          <w:sz w:val="18"/>
          <w:szCs w:val="18"/>
          <w:lang w:eastAsia="zh-CN"/>
        </w:rPr>
        <w:t>PM</w:t>
      </w:r>
      <w:r w:rsidRPr="004A045F">
        <w:rPr>
          <w:rFonts w:eastAsia="SimSun" w:cs="Times New Roman"/>
          <w:color w:val="000000" w:themeColor="text1"/>
          <w:sz w:val="18"/>
          <w:szCs w:val="18"/>
          <w:vertAlign w:val="subscript"/>
          <w:lang w:eastAsia="zh-CN"/>
        </w:rPr>
        <w:t>2.5</w:t>
      </w:r>
      <w:r w:rsidRPr="004A045F">
        <w:rPr>
          <w:rFonts w:eastAsia="SimSun" w:cs="Times New Roman"/>
          <w:color w:val="000000" w:themeColor="text1"/>
          <w:sz w:val="18"/>
          <w:szCs w:val="18"/>
          <w:lang w:eastAsia="zh-CN"/>
        </w:rPr>
        <w:t xml:space="preserve"> and </w:t>
      </w:r>
      <w:r w:rsidRPr="004A045F">
        <w:rPr>
          <w:rFonts w:eastAsia="SimSun" w:cs="Times New Roman"/>
          <w:sz w:val="18"/>
          <w:szCs w:val="18"/>
          <w:lang w:eastAsia="zh-CN"/>
        </w:rPr>
        <w:t xml:space="preserve">CO emissions can adversely affect human health and the atmosphere. Hence to effectively utilize the total mass and energy content of coconut waste for sustainable energy, there is the need to biochar under a controlled environment </w:t>
      </w:r>
      <w:r w:rsidRPr="004A045F">
        <w:rPr>
          <w:rStyle w:val="st"/>
          <w:rFonts w:cs="Times New Roman"/>
          <w:sz w:val="18"/>
          <w:szCs w:val="18"/>
        </w:rPr>
        <w:t>to increase energy content, reduce emissions and maintain optimal energy production conditions</w:t>
      </w:r>
      <w:r w:rsidRPr="004A045F">
        <w:rPr>
          <w:rFonts w:eastAsia="SimSun" w:cs="Times New Roman"/>
          <w:sz w:val="18"/>
          <w:szCs w:val="18"/>
          <w:lang w:eastAsia="zh-CN"/>
        </w:rPr>
        <w:t>.</w:t>
      </w:r>
    </w:p>
    <w:p w:rsidR="00AE3E37" w:rsidRPr="0072213B" w:rsidRDefault="00A9710C" w:rsidP="0072213B">
      <w:pPr>
        <w:autoSpaceDE w:val="0"/>
        <w:autoSpaceDN w:val="0"/>
        <w:adjustRightInd w:val="0"/>
        <w:jc w:val="both"/>
        <w:rPr>
          <w:rFonts w:cs="Times New Roman"/>
          <w:color w:val="000000"/>
          <w:sz w:val="18"/>
          <w:szCs w:val="18"/>
          <w:lang w:val="en-GB"/>
        </w:rPr>
      </w:pPr>
      <w:r>
        <w:rPr>
          <w:color w:val="BF5A14"/>
        </w:rPr>
        <w:t>Image</w:t>
      </w:r>
    </w:p>
    <w:p w:rsidR="00AE3E37" w:rsidRDefault="00753522">
      <w:pPr>
        <w:pStyle w:val="BodyText"/>
        <w:spacing w:before="2"/>
        <w:rPr>
          <w:rFonts w:ascii="Arial"/>
          <w:b/>
          <w:sz w:val="16"/>
        </w:rPr>
      </w:pPr>
      <w:r>
        <w:rPr>
          <w:noProof/>
          <w:lang w:val="en-GB" w:eastAsia="en-GB"/>
        </w:rPr>
        <w:lastRenderedPageBreak/>
        <w:drawing>
          <wp:inline distT="0" distB="0" distL="0" distR="0" wp14:anchorId="43F475BB" wp14:editId="145571C9">
            <wp:extent cx="3057754" cy="1667866"/>
            <wp:effectExtent l="0" t="0" r="9525" b="2794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A045F" w:rsidRDefault="005973B9" w:rsidP="004A045F">
      <w:pPr>
        <w:spacing w:line="204" w:lineRule="exact"/>
        <w:rPr>
          <w:rFonts w:ascii="Arial"/>
          <w:b/>
          <w:sz w:val="20"/>
        </w:rPr>
      </w:pPr>
      <w:r>
        <w:rPr>
          <w:rFonts w:ascii="Arial"/>
          <w:b/>
          <w:color w:val="BF5A14"/>
          <w:sz w:val="20"/>
        </w:rPr>
        <w:br/>
      </w:r>
      <w:r w:rsidR="004A045F">
        <w:rPr>
          <w:rFonts w:ascii="Arial"/>
          <w:b/>
          <w:color w:val="BF5A14"/>
          <w:sz w:val="20"/>
        </w:rPr>
        <w:t>Recent Publications (minimum 5)</w:t>
      </w:r>
    </w:p>
    <w:p w:rsidR="00CB0D34" w:rsidRPr="00CB0D34" w:rsidRDefault="00CB0D34" w:rsidP="00CB0D34">
      <w:pPr>
        <w:pStyle w:val="ListParagraph"/>
        <w:numPr>
          <w:ilvl w:val="0"/>
          <w:numId w:val="4"/>
        </w:numPr>
        <w:tabs>
          <w:tab w:val="left" w:pos="7020"/>
        </w:tabs>
        <w:ind w:left="284" w:hanging="142"/>
        <w:rPr>
          <w:rFonts w:asciiTheme="minorHAnsi" w:hAnsiTheme="minorHAnsi" w:cstheme="minorHAnsi"/>
          <w:sz w:val="18"/>
          <w:szCs w:val="18"/>
        </w:rPr>
      </w:pPr>
      <w:r w:rsidRPr="00CB0D34">
        <w:rPr>
          <w:rFonts w:asciiTheme="minorHAnsi" w:hAnsiTheme="minorHAnsi" w:cstheme="minorHAnsi"/>
          <w:sz w:val="18"/>
          <w:szCs w:val="18"/>
        </w:rPr>
        <w:t xml:space="preserve">Ayamga, E. A., </w:t>
      </w:r>
      <w:r w:rsidRPr="00CB0D34">
        <w:rPr>
          <w:rFonts w:asciiTheme="minorHAnsi" w:hAnsiTheme="minorHAnsi" w:cstheme="minorHAnsi"/>
          <w:sz w:val="18"/>
          <w:szCs w:val="18"/>
          <w:lang w:val="en-GB"/>
        </w:rPr>
        <w:t xml:space="preserve">Kemausor, F. and Addo, A. (2015). </w:t>
      </w:r>
      <w:r w:rsidRPr="00CB0D34">
        <w:rPr>
          <w:rFonts w:asciiTheme="minorHAnsi" w:hAnsiTheme="minorHAnsi" w:cstheme="minorHAnsi"/>
          <w:sz w:val="18"/>
          <w:szCs w:val="18"/>
        </w:rPr>
        <w:t xml:space="preserve">Technical analysis of crop residue biomass energy in an agricultural region of Ghana.  </w:t>
      </w:r>
      <w:r w:rsidRPr="00CB0D34">
        <w:rPr>
          <w:rFonts w:asciiTheme="minorHAnsi" w:hAnsiTheme="minorHAnsi" w:cstheme="minorHAnsi"/>
          <w:i/>
          <w:sz w:val="18"/>
          <w:szCs w:val="18"/>
        </w:rPr>
        <w:t xml:space="preserve">Journal of Resources Conservation and Recycling </w:t>
      </w:r>
      <w:r w:rsidRPr="00CB0D34">
        <w:rPr>
          <w:rFonts w:asciiTheme="minorHAnsi" w:hAnsiTheme="minorHAnsi" w:cstheme="minorHAnsi"/>
          <w:sz w:val="18"/>
          <w:szCs w:val="18"/>
        </w:rPr>
        <w:t>98</w:t>
      </w:r>
      <w:r w:rsidRPr="00CB0D34">
        <w:rPr>
          <w:rFonts w:asciiTheme="minorHAnsi" w:hAnsiTheme="minorHAnsi" w:cstheme="minorHAnsi"/>
          <w:i/>
          <w:sz w:val="18"/>
          <w:szCs w:val="18"/>
        </w:rPr>
        <w:t xml:space="preserve">. </w:t>
      </w:r>
      <w:r w:rsidRPr="00CB0D34">
        <w:rPr>
          <w:rFonts w:asciiTheme="minorHAnsi" w:hAnsiTheme="minorHAnsi" w:cstheme="minorHAnsi"/>
          <w:sz w:val="18"/>
          <w:szCs w:val="18"/>
        </w:rPr>
        <w:t>p. 51-60.</w:t>
      </w:r>
    </w:p>
    <w:p w:rsidR="00CB0D34" w:rsidRPr="00CB0D34" w:rsidRDefault="00CB0D34" w:rsidP="00CB0D34">
      <w:pPr>
        <w:pStyle w:val="ListParagraph"/>
        <w:numPr>
          <w:ilvl w:val="0"/>
          <w:numId w:val="4"/>
        </w:numPr>
        <w:tabs>
          <w:tab w:val="left" w:pos="7020"/>
        </w:tabs>
        <w:ind w:left="284" w:hanging="142"/>
        <w:rPr>
          <w:rFonts w:asciiTheme="minorHAnsi" w:hAnsiTheme="minorHAnsi" w:cstheme="minorHAnsi"/>
          <w:sz w:val="18"/>
          <w:szCs w:val="18"/>
        </w:rPr>
      </w:pPr>
      <w:r w:rsidRPr="00CB0D34">
        <w:rPr>
          <w:rFonts w:asciiTheme="minorHAnsi" w:hAnsiTheme="minorHAnsi" w:cstheme="minorHAnsi"/>
          <w:sz w:val="18"/>
          <w:szCs w:val="18"/>
          <w:lang w:val="en-GB"/>
        </w:rPr>
        <w:t>Bradley, W. L</w:t>
      </w:r>
      <w:r w:rsidRPr="00CB0D34">
        <w:rPr>
          <w:rFonts w:asciiTheme="minorHAnsi" w:hAnsiTheme="minorHAnsi" w:cstheme="minorHAnsi"/>
          <w:sz w:val="18"/>
          <w:szCs w:val="18"/>
        </w:rPr>
        <w:t>.</w:t>
      </w:r>
      <w:r w:rsidRPr="00CB0D34">
        <w:rPr>
          <w:rFonts w:asciiTheme="minorHAnsi" w:hAnsiTheme="minorHAnsi" w:cstheme="minorHAnsi"/>
          <w:sz w:val="18"/>
          <w:szCs w:val="18"/>
          <w:lang w:val="en-GB"/>
        </w:rPr>
        <w:t xml:space="preserve">, Poel, J.  </w:t>
      </w:r>
      <w:proofErr w:type="gramStart"/>
      <w:r w:rsidRPr="00CB0D34">
        <w:rPr>
          <w:rFonts w:asciiTheme="minorHAnsi" w:hAnsiTheme="minorHAnsi" w:cstheme="minorHAnsi"/>
          <w:sz w:val="18"/>
          <w:szCs w:val="18"/>
          <w:lang w:val="en-GB"/>
        </w:rPr>
        <w:t>and</w:t>
      </w:r>
      <w:proofErr w:type="gramEnd"/>
      <w:r w:rsidRPr="00CB0D34">
        <w:rPr>
          <w:rFonts w:asciiTheme="minorHAnsi" w:hAnsiTheme="minorHAnsi" w:cstheme="minorHAnsi"/>
          <w:sz w:val="18"/>
          <w:szCs w:val="18"/>
          <w:lang w:val="en-GB"/>
        </w:rPr>
        <w:t xml:space="preserve"> Huang, H. (2006). Cocos nucifera: An Abundant Renewable Source of Energy. </w:t>
      </w:r>
      <w:r w:rsidRPr="00CB0D34">
        <w:rPr>
          <w:rFonts w:asciiTheme="minorHAnsi" w:hAnsiTheme="minorHAnsi" w:cstheme="minorHAnsi"/>
          <w:sz w:val="18"/>
          <w:szCs w:val="18"/>
        </w:rPr>
        <w:t xml:space="preserve">Proceedings of the International Conference on Renewable Energy for Developing Countries. p. 1-5. Available on </w:t>
      </w:r>
      <w:hyperlink r:id="rId11" w:history="1">
        <w:r w:rsidRPr="00CB0D34">
          <w:rPr>
            <w:rFonts w:asciiTheme="minorHAnsi" w:hAnsiTheme="minorHAnsi" w:cstheme="minorHAnsi"/>
            <w:sz w:val="18"/>
            <w:szCs w:val="18"/>
          </w:rPr>
          <w:t>http://www.udc.edu/docs/cere/Cocos%20Nucifera-paper.pdf</w:t>
        </w:r>
      </w:hyperlink>
      <w:r w:rsidRPr="00CB0D34">
        <w:rPr>
          <w:rFonts w:asciiTheme="minorHAnsi" w:hAnsiTheme="minorHAnsi" w:cstheme="minorHAnsi"/>
          <w:sz w:val="18"/>
          <w:szCs w:val="18"/>
        </w:rPr>
        <w:t xml:space="preserve"> on March 8, 2016.</w:t>
      </w:r>
    </w:p>
    <w:p w:rsidR="00CB0D34" w:rsidRPr="00CB0D34" w:rsidRDefault="00CB0D34" w:rsidP="00CB0D34">
      <w:pPr>
        <w:pStyle w:val="ListParagraph"/>
        <w:numPr>
          <w:ilvl w:val="0"/>
          <w:numId w:val="4"/>
        </w:numPr>
        <w:tabs>
          <w:tab w:val="left" w:pos="7020"/>
        </w:tabs>
        <w:ind w:left="284" w:hanging="142"/>
        <w:rPr>
          <w:rFonts w:asciiTheme="minorHAnsi" w:hAnsiTheme="minorHAnsi" w:cstheme="minorHAnsi"/>
          <w:sz w:val="18"/>
          <w:szCs w:val="18"/>
          <w:lang w:val="en-GB"/>
        </w:rPr>
      </w:pPr>
      <w:r w:rsidRPr="00CB0D34">
        <w:rPr>
          <w:rFonts w:asciiTheme="minorHAnsi" w:hAnsiTheme="minorHAnsi" w:cstheme="minorHAnsi"/>
          <w:sz w:val="18"/>
          <w:szCs w:val="18"/>
          <w:lang w:val="en-GB"/>
        </w:rPr>
        <w:t xml:space="preserve">Duku, M. H., </w:t>
      </w:r>
      <w:proofErr w:type="spellStart"/>
      <w:proofErr w:type="gramStart"/>
      <w:r w:rsidRPr="00CB0D34">
        <w:rPr>
          <w:rFonts w:asciiTheme="minorHAnsi" w:hAnsiTheme="minorHAnsi" w:cstheme="minorHAnsi"/>
          <w:sz w:val="18"/>
          <w:szCs w:val="18"/>
          <w:lang w:val="en-GB"/>
        </w:rPr>
        <w:t>Gu</w:t>
      </w:r>
      <w:proofErr w:type="spellEnd"/>
      <w:proofErr w:type="gramEnd"/>
      <w:r w:rsidRPr="00CB0D34">
        <w:rPr>
          <w:rFonts w:asciiTheme="minorHAnsi" w:hAnsiTheme="minorHAnsi" w:cstheme="minorHAnsi"/>
          <w:sz w:val="18"/>
          <w:szCs w:val="18"/>
          <w:lang w:val="en-GB"/>
        </w:rPr>
        <w:t>, S., and Hagan, E. B. (2011). A comprehensive review of biomass resources and biofuels potential in Ghana. Renewable and Sustainable Energy (15), p. 404–415.</w:t>
      </w:r>
    </w:p>
    <w:p w:rsidR="00CB0D34" w:rsidRPr="00CB0D34" w:rsidRDefault="00CB0D34" w:rsidP="00CB0D34">
      <w:pPr>
        <w:pStyle w:val="ListParagraph"/>
        <w:numPr>
          <w:ilvl w:val="0"/>
          <w:numId w:val="4"/>
        </w:numPr>
        <w:tabs>
          <w:tab w:val="left" w:pos="7020"/>
        </w:tabs>
        <w:ind w:left="284" w:hanging="142"/>
        <w:rPr>
          <w:rFonts w:asciiTheme="minorHAnsi" w:hAnsiTheme="minorHAnsi" w:cstheme="minorHAnsi"/>
          <w:sz w:val="18"/>
          <w:szCs w:val="18"/>
        </w:rPr>
      </w:pPr>
      <w:r w:rsidRPr="00CB0D34">
        <w:rPr>
          <w:rFonts w:asciiTheme="minorHAnsi" w:hAnsiTheme="minorHAnsi" w:cstheme="minorHAnsi"/>
          <w:sz w:val="18"/>
          <w:szCs w:val="18"/>
        </w:rPr>
        <w:t>Ganiron, J. T. U. (2013). Sustainable Management of Waste Coconut Shells as Aggregates in Concrete Mixture.</w:t>
      </w:r>
      <w:r w:rsidRPr="00CB0D34">
        <w:rPr>
          <w:rFonts w:asciiTheme="minorHAnsi" w:hAnsiTheme="minorHAnsi" w:cstheme="minorHAnsi"/>
          <w:sz w:val="18"/>
          <w:szCs w:val="18"/>
          <w:lang w:val="en-GB"/>
        </w:rPr>
        <w:t xml:space="preserve"> </w:t>
      </w:r>
      <w:r w:rsidRPr="00CB0D34">
        <w:rPr>
          <w:rFonts w:asciiTheme="minorHAnsi" w:hAnsiTheme="minorHAnsi" w:cstheme="minorHAnsi"/>
          <w:sz w:val="18"/>
          <w:szCs w:val="18"/>
        </w:rPr>
        <w:t>Journal of Engineering Science and Technology. 6(5), 7-14.</w:t>
      </w:r>
    </w:p>
    <w:p w:rsidR="00CB0D34" w:rsidRPr="00CB0D34" w:rsidRDefault="00CB0D34" w:rsidP="00CB0D34">
      <w:pPr>
        <w:pStyle w:val="ListParagraph"/>
        <w:numPr>
          <w:ilvl w:val="0"/>
          <w:numId w:val="4"/>
        </w:numPr>
        <w:tabs>
          <w:tab w:val="left" w:pos="7020"/>
        </w:tabs>
        <w:ind w:left="284" w:hanging="142"/>
        <w:rPr>
          <w:rFonts w:asciiTheme="minorHAnsi" w:hAnsiTheme="minorHAnsi" w:cstheme="minorHAnsi"/>
          <w:sz w:val="18"/>
          <w:szCs w:val="18"/>
        </w:rPr>
      </w:pPr>
      <w:r w:rsidRPr="00CB0D34">
        <w:rPr>
          <w:rFonts w:asciiTheme="minorHAnsi" w:hAnsiTheme="minorHAnsi" w:cstheme="minorHAnsi"/>
          <w:sz w:val="18"/>
          <w:szCs w:val="18"/>
        </w:rPr>
        <w:t>Ofori-Agyeman, C. (2016). Assessment of Coconut Waste Management: A Case Study Kumasi Metropolitan Assembly. Unpublished undergraduate thesis, Kwame Nkrumah University of Science and Technology, Ghana.</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72213B" w:rsidRDefault="008756E6" w:rsidP="00404E5B">
      <w:pPr>
        <w:spacing w:before="92"/>
        <w:ind w:right="4234"/>
        <w:rPr>
          <w:noProof/>
        </w:rPr>
      </w:pPr>
      <w:r>
        <w:rPr>
          <w:noProof/>
        </w:rPr>
        <w:t xml:space="preserve">              </w:t>
      </w:r>
      <w:r>
        <w:rPr>
          <w:noProof/>
          <w:lang w:val="en-GB" w:eastAsia="en-GB"/>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(150 word limit)</w:t>
      </w:r>
    </w:p>
    <w:p w:rsidR="0072213B" w:rsidRDefault="0072213B" w:rsidP="0072213B">
      <w:pPr>
        <w:ind w:right="4235"/>
        <w:rPr>
          <w:rFonts w:ascii="Arial"/>
        </w:rPr>
      </w:pPr>
    </w:p>
    <w:p w:rsidR="0072213B" w:rsidRDefault="0072213B" w:rsidP="0072213B">
      <w:pPr>
        <w:jc w:val="both"/>
        <w:rPr>
          <w:rFonts w:ascii="Arial" w:hAnsi="Arial" w:cs="Arial"/>
          <w:sz w:val="14"/>
          <w:szCs w:val="14"/>
          <w:lang w:eastAsia="en-GB"/>
        </w:rPr>
      </w:pPr>
      <w:r w:rsidRPr="009E3C01">
        <w:rPr>
          <w:rFonts w:ascii="Arial" w:hAnsi="Arial" w:cs="Arial"/>
          <w:sz w:val="14"/>
          <w:szCs w:val="14"/>
          <w:lang w:eastAsia="en-GB"/>
        </w:rPr>
        <w:t>George Yaw Obeng is an Associate Professor of Mechanical Engineering and former Director of Technology Consultancy Centre, Kwame Nkrumah University of Science and Technology (KNUST), Ghana. He is Barrett Global Fellow and Senior Sustainability Fellow,</w:t>
      </w:r>
      <w:r w:rsidRPr="009E3C01">
        <w:rPr>
          <w:rFonts w:ascii="Arial" w:eastAsiaTheme="minorHAnsi" w:hAnsi="Arial" w:cs="Arial"/>
          <w:color w:val="000000"/>
          <w:sz w:val="14"/>
          <w:szCs w:val="14"/>
          <w:lang w:val="en-GB"/>
        </w:rPr>
        <w:t xml:space="preserve"> Julie Ann Wrigley Global Institute of Sustainability</w:t>
      </w:r>
      <w:r w:rsidRPr="009E3C01">
        <w:rPr>
          <w:rFonts w:ascii="Arial" w:hAnsi="Arial" w:cs="Arial"/>
          <w:sz w:val="14"/>
          <w:szCs w:val="14"/>
          <w:lang w:eastAsia="en-GB"/>
        </w:rPr>
        <w:t xml:space="preserve"> of Arizona State University, USA where he served as a visiting faculty from fall 2016 to spring 2017. He is also a Fellow of The Energy Center, KNUST. He has been a faculty of KNUST for over 23 years. He teaches quantitative methods, spatial statistics, renewable energy for rural applications and sustainable energy applications for developing world and has been practically involved in the development and study of agro processing equipment. His primary research areas include renewables (solar, bioenergy), environment and sustainable engineering design. He holds a PhD in Development Studies with focus on energy access and development, MSc in Appr</w:t>
      </w:r>
      <w:r>
        <w:rPr>
          <w:rFonts w:ascii="Arial" w:hAnsi="Arial" w:cs="Arial"/>
          <w:sz w:val="14"/>
          <w:szCs w:val="14"/>
          <w:lang w:eastAsia="en-GB"/>
        </w:rPr>
        <w:t>opriate</w:t>
      </w:r>
      <w:r w:rsidRPr="009E3C01">
        <w:rPr>
          <w:rFonts w:ascii="Arial" w:hAnsi="Arial" w:cs="Arial"/>
          <w:sz w:val="14"/>
          <w:szCs w:val="14"/>
          <w:lang w:eastAsia="en-GB"/>
        </w:rPr>
        <w:t>. Technology and Development (major in Renewable Energy Technologies) from Flensburg University, Germany, and BSc (Hons) in Agricultural Engineering from KNUST</w:t>
      </w:r>
    </w:p>
    <w:p w:rsidR="0072213B" w:rsidRDefault="0072213B">
      <w:pPr>
        <w:spacing w:before="62"/>
        <w:ind w:left="4217" w:right="4235"/>
        <w:jc w:val="center"/>
        <w:rPr>
          <w:rFonts w:ascii="Arial"/>
          <w:sz w:val="14"/>
        </w:rPr>
      </w:pPr>
    </w:p>
    <w:p w:rsidR="00AE3E37" w:rsidRDefault="00A9710C">
      <w:pPr>
        <w:spacing w:before="62"/>
        <w:ind w:left="4217" w:right="4235"/>
        <w:jc w:val="center"/>
        <w:rPr>
          <w:rFonts w:ascii="Arial"/>
          <w:sz w:val="14"/>
        </w:rPr>
      </w:pPr>
      <w:r>
        <w:rPr>
          <w:rFonts w:ascii="Arial"/>
          <w:sz w:val="14"/>
        </w:rPr>
        <w:t xml:space="preserve">Email: </w:t>
      </w:r>
      <w:r w:rsidR="0072213B">
        <w:rPr>
          <w:rFonts w:ascii="Arial"/>
          <w:sz w:val="14"/>
        </w:rPr>
        <w:t>gyobeng.coe@knust.edu.gh</w:t>
      </w:r>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rsidP="00CB0D34">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7EED" w:rsidRDefault="00547EED">
      <w:r>
        <w:separator/>
      </w:r>
    </w:p>
  </w:endnote>
  <w:endnote w:type="continuationSeparator" w:id="0">
    <w:p w:rsidR="00547EED" w:rsidRDefault="00547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310AF6F1" wp14:editId="0CB04DF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62AC1BCD" wp14:editId="7FB3793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233E027B" wp14:editId="1CF1F7E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7EED" w:rsidRDefault="00547EED">
      <w:r>
        <w:separator/>
      </w:r>
    </w:p>
  </w:footnote>
  <w:footnote w:type="continuationSeparator" w:id="0">
    <w:p w:rsidR="00547EED" w:rsidRDefault="00547E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28176081" wp14:editId="23DE0F6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1900BFE7" wp14:editId="4CCEB53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6F0961"/>
    <w:multiLevelType w:val="hybridMultilevel"/>
    <w:tmpl w:val="F8C65E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A045F"/>
    <w:rsid w:val="004F3523"/>
    <w:rsid w:val="00547EED"/>
    <w:rsid w:val="005973B9"/>
    <w:rsid w:val="005B3A56"/>
    <w:rsid w:val="006060CE"/>
    <w:rsid w:val="0063497F"/>
    <w:rsid w:val="0072213B"/>
    <w:rsid w:val="00753522"/>
    <w:rsid w:val="00873DF0"/>
    <w:rsid w:val="008756E6"/>
    <w:rsid w:val="008A08B6"/>
    <w:rsid w:val="009B2D44"/>
    <w:rsid w:val="00A07E82"/>
    <w:rsid w:val="00A9710C"/>
    <w:rsid w:val="00AE3E37"/>
    <w:rsid w:val="00B21A57"/>
    <w:rsid w:val="00C33602"/>
    <w:rsid w:val="00CB0D34"/>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st">
    <w:name w:val="st"/>
    <w:basedOn w:val="DefaultParagraphFont"/>
    <w:rsid w:val="004A045F"/>
  </w:style>
  <w:style w:type="character" w:customStyle="1" w:styleId="Heading3Char">
    <w:name w:val="Heading 3 Char"/>
    <w:basedOn w:val="DefaultParagraphFont"/>
    <w:link w:val="Heading3"/>
    <w:uiPriority w:val="1"/>
    <w:rsid w:val="004A045F"/>
    <w:rPr>
      <w:rFonts w:ascii="Arial" w:eastAsia="Arial" w:hAnsi="Arial" w:cs="Arial"/>
      <w:b/>
      <w:bCs/>
      <w:sz w:val="20"/>
      <w:szCs w:val="20"/>
    </w:rPr>
  </w:style>
  <w:style w:type="paragraph" w:styleId="FootnoteText">
    <w:name w:val="footnote text"/>
    <w:basedOn w:val="Normal"/>
    <w:link w:val="FootnoteTextChar"/>
    <w:uiPriority w:val="99"/>
    <w:semiHidden/>
    <w:unhideWhenUsed/>
    <w:rsid w:val="004A045F"/>
    <w:rPr>
      <w:sz w:val="20"/>
      <w:szCs w:val="20"/>
    </w:rPr>
  </w:style>
  <w:style w:type="character" w:customStyle="1" w:styleId="FootnoteTextChar">
    <w:name w:val="Footnote Text Char"/>
    <w:basedOn w:val="DefaultParagraphFont"/>
    <w:link w:val="FootnoteText"/>
    <w:uiPriority w:val="99"/>
    <w:semiHidden/>
    <w:rsid w:val="004A045F"/>
    <w:rPr>
      <w:rFonts w:ascii="Tw Cen MT" w:eastAsia="Tw Cen MT" w:hAnsi="Tw Cen MT" w:cs="Tw Cen MT"/>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st">
    <w:name w:val="st"/>
    <w:basedOn w:val="DefaultParagraphFont"/>
    <w:rsid w:val="004A045F"/>
  </w:style>
  <w:style w:type="character" w:customStyle="1" w:styleId="Heading3Char">
    <w:name w:val="Heading 3 Char"/>
    <w:basedOn w:val="DefaultParagraphFont"/>
    <w:link w:val="Heading3"/>
    <w:uiPriority w:val="1"/>
    <w:rsid w:val="004A045F"/>
    <w:rPr>
      <w:rFonts w:ascii="Arial" w:eastAsia="Arial" w:hAnsi="Arial" w:cs="Arial"/>
      <w:b/>
      <w:bCs/>
      <w:sz w:val="20"/>
      <w:szCs w:val="20"/>
    </w:rPr>
  </w:style>
  <w:style w:type="paragraph" w:styleId="FootnoteText">
    <w:name w:val="footnote text"/>
    <w:basedOn w:val="Normal"/>
    <w:link w:val="FootnoteTextChar"/>
    <w:uiPriority w:val="99"/>
    <w:semiHidden/>
    <w:unhideWhenUsed/>
    <w:rsid w:val="004A045F"/>
    <w:rPr>
      <w:sz w:val="20"/>
      <w:szCs w:val="20"/>
    </w:rPr>
  </w:style>
  <w:style w:type="character" w:customStyle="1" w:styleId="FootnoteTextChar">
    <w:name w:val="Footnote Text Char"/>
    <w:basedOn w:val="DefaultParagraphFont"/>
    <w:link w:val="FootnoteText"/>
    <w:uiPriority w:val="99"/>
    <w:semiHidden/>
    <w:rsid w:val="004A045F"/>
    <w:rPr>
      <w:rFonts w:ascii="Tw Cen MT" w:eastAsia="Tw Cen MT" w:hAnsi="Tw Cen MT" w:cs="Tw Cen M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dc.edu/docs/cere/Cocos%20Nucifera-paper.pdf" TargetMode="Externa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Goerge\Documents\Agric.%20Eng%20Students\Derrick%20Yeboah\Coconut%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792081377376993"/>
          <c:y val="0.11410388963053075"/>
          <c:w val="0.70282892208567382"/>
          <c:h val="0.67108830119140328"/>
        </c:manualLayout>
      </c:layout>
      <c:lineChart>
        <c:grouping val="standard"/>
        <c:varyColors val="0"/>
        <c:ser>
          <c:idx val="1"/>
          <c:order val="0"/>
          <c:spPr>
            <a:ln w="19050">
              <a:solidFill>
                <a:srgbClr val="00B050"/>
              </a:solidFill>
            </a:ln>
          </c:spPr>
          <c:marker>
            <c:symbol val="none"/>
          </c:marker>
          <c:cat>
            <c:strRef>
              <c:f>Sheet2!$F$3:$F$8</c:f>
              <c:strCache>
                <c:ptCount val="6"/>
                <c:pt idx="0">
                  <c:v>3 days</c:v>
                </c:pt>
                <c:pt idx="1">
                  <c:v>6 days</c:v>
                </c:pt>
                <c:pt idx="2">
                  <c:v>9 days</c:v>
                </c:pt>
                <c:pt idx="3">
                  <c:v>12 days</c:v>
                </c:pt>
                <c:pt idx="4">
                  <c:v>15 days</c:v>
                </c:pt>
                <c:pt idx="5">
                  <c:v>18 days</c:v>
                </c:pt>
              </c:strCache>
            </c:strRef>
          </c:cat>
          <c:val>
            <c:numRef>
              <c:f>Sheet2!$I$3:$I$8</c:f>
              <c:numCache>
                <c:formatCode>General</c:formatCode>
                <c:ptCount val="6"/>
                <c:pt idx="0">
                  <c:v>6.11</c:v>
                </c:pt>
                <c:pt idx="1">
                  <c:v>6.11</c:v>
                </c:pt>
                <c:pt idx="2">
                  <c:v>6.11</c:v>
                </c:pt>
                <c:pt idx="3">
                  <c:v>6.11</c:v>
                </c:pt>
                <c:pt idx="4">
                  <c:v>6.11</c:v>
                </c:pt>
                <c:pt idx="5">
                  <c:v>6.11</c:v>
                </c:pt>
              </c:numCache>
            </c:numRef>
          </c:val>
          <c:smooth val="0"/>
        </c:ser>
        <c:ser>
          <c:idx val="0"/>
          <c:order val="1"/>
          <c:spPr>
            <a:ln w="19050">
              <a:solidFill>
                <a:srgbClr val="C00000"/>
              </a:solidFill>
              <a:prstDash val="sysDash"/>
            </a:ln>
          </c:spPr>
          <c:marker>
            <c:symbol val="star"/>
            <c:size val="5"/>
            <c:spPr>
              <a:noFill/>
              <a:ln w="12700">
                <a:solidFill>
                  <a:schemeClr val="tx1"/>
                </a:solidFill>
              </a:ln>
            </c:spPr>
          </c:marker>
          <c:cat>
            <c:strRef>
              <c:f>Sheet2!$F$3:$F$8</c:f>
              <c:strCache>
                <c:ptCount val="6"/>
                <c:pt idx="0">
                  <c:v>3 days</c:v>
                </c:pt>
                <c:pt idx="1">
                  <c:v>6 days</c:v>
                </c:pt>
                <c:pt idx="2">
                  <c:v>9 days</c:v>
                </c:pt>
                <c:pt idx="3">
                  <c:v>12 days</c:v>
                </c:pt>
                <c:pt idx="4">
                  <c:v>15 days</c:v>
                </c:pt>
                <c:pt idx="5">
                  <c:v>18 days</c:v>
                </c:pt>
              </c:strCache>
            </c:strRef>
          </c:cat>
          <c:val>
            <c:numRef>
              <c:f>Sheet2!$H$3:$H$8</c:f>
              <c:numCache>
                <c:formatCode>General</c:formatCode>
                <c:ptCount val="6"/>
                <c:pt idx="0">
                  <c:v>12.1</c:v>
                </c:pt>
                <c:pt idx="1">
                  <c:v>10.8</c:v>
                </c:pt>
                <c:pt idx="2">
                  <c:v>9.1</c:v>
                </c:pt>
                <c:pt idx="3">
                  <c:v>11.1</c:v>
                </c:pt>
                <c:pt idx="4">
                  <c:v>10.4</c:v>
                </c:pt>
                <c:pt idx="5">
                  <c:v>11.1</c:v>
                </c:pt>
              </c:numCache>
            </c:numRef>
          </c:val>
          <c:smooth val="0"/>
        </c:ser>
        <c:ser>
          <c:idx val="2"/>
          <c:order val="2"/>
          <c:tx>
            <c:v>Series 3</c:v>
          </c:tx>
          <c:spPr>
            <a:ln w="19050">
              <a:solidFill>
                <a:srgbClr val="C00000"/>
              </a:solidFill>
            </a:ln>
          </c:spPr>
          <c:marker>
            <c:symbol val="none"/>
          </c:marker>
          <c:cat>
            <c:strRef>
              <c:f>Sheet2!$F$3:$F$8</c:f>
              <c:strCache>
                <c:ptCount val="6"/>
                <c:pt idx="0">
                  <c:v>3 days</c:v>
                </c:pt>
                <c:pt idx="1">
                  <c:v>6 days</c:v>
                </c:pt>
                <c:pt idx="2">
                  <c:v>9 days</c:v>
                </c:pt>
                <c:pt idx="3">
                  <c:v>12 days</c:v>
                </c:pt>
                <c:pt idx="4">
                  <c:v>15 days</c:v>
                </c:pt>
                <c:pt idx="5">
                  <c:v>18 days</c:v>
                </c:pt>
              </c:strCache>
            </c:strRef>
          </c:cat>
          <c:val>
            <c:numRef>
              <c:f>Sheet2!$G$3:$G$8</c:f>
              <c:numCache>
                <c:formatCode>General</c:formatCode>
                <c:ptCount val="6"/>
                <c:pt idx="0">
                  <c:v>9.9</c:v>
                </c:pt>
                <c:pt idx="1">
                  <c:v>7.9</c:v>
                </c:pt>
                <c:pt idx="2">
                  <c:v>7.9</c:v>
                </c:pt>
                <c:pt idx="3">
                  <c:v>7.8</c:v>
                </c:pt>
                <c:pt idx="4">
                  <c:v>8.5</c:v>
                </c:pt>
                <c:pt idx="5">
                  <c:v>9.1</c:v>
                </c:pt>
              </c:numCache>
            </c:numRef>
          </c:val>
          <c:smooth val="0"/>
        </c:ser>
        <c:dLbls>
          <c:showLegendKey val="0"/>
          <c:showVal val="0"/>
          <c:showCatName val="0"/>
          <c:showSerName val="0"/>
          <c:showPercent val="0"/>
          <c:showBubbleSize val="0"/>
        </c:dLbls>
        <c:marker val="1"/>
        <c:smooth val="0"/>
        <c:axId val="683999616"/>
        <c:axId val="684001536"/>
      </c:lineChart>
      <c:lineChart>
        <c:grouping val="standard"/>
        <c:varyColors val="0"/>
        <c:ser>
          <c:idx val="3"/>
          <c:order val="3"/>
          <c:tx>
            <c:v>series 4</c:v>
          </c:tx>
          <c:marker>
            <c:symbol val="none"/>
          </c:marker>
          <c:val>
            <c:numRef>
              <c:f>Sheet2!$J$3:$J$8</c:f>
              <c:numCache>
                <c:formatCode>General</c:formatCode>
                <c:ptCount val="6"/>
                <c:pt idx="0">
                  <c:v>36.4</c:v>
                </c:pt>
                <c:pt idx="1">
                  <c:v>26.1</c:v>
                </c:pt>
                <c:pt idx="2">
                  <c:v>21.7</c:v>
                </c:pt>
                <c:pt idx="3">
                  <c:v>16.8</c:v>
                </c:pt>
                <c:pt idx="4">
                  <c:v>13.7</c:v>
                </c:pt>
                <c:pt idx="5">
                  <c:v>10.3</c:v>
                </c:pt>
              </c:numCache>
            </c:numRef>
          </c:val>
          <c:smooth val="0"/>
        </c:ser>
        <c:dLbls>
          <c:showLegendKey val="0"/>
          <c:showVal val="0"/>
          <c:showCatName val="0"/>
          <c:showSerName val="0"/>
          <c:showPercent val="0"/>
          <c:showBubbleSize val="0"/>
        </c:dLbls>
        <c:marker val="1"/>
        <c:smooth val="0"/>
        <c:axId val="684026112"/>
        <c:axId val="684024192"/>
      </c:lineChart>
      <c:catAx>
        <c:axId val="683999616"/>
        <c:scaling>
          <c:orientation val="minMax"/>
        </c:scaling>
        <c:delete val="0"/>
        <c:axPos val="b"/>
        <c:title>
          <c:tx>
            <c:rich>
              <a:bodyPr/>
              <a:lstStyle/>
              <a:p>
                <a:pPr>
                  <a:defRPr sz="800" b="0"/>
                </a:pPr>
                <a:r>
                  <a:rPr lang="en-GB" sz="800" b="0"/>
                  <a:t>Time of measurements</a:t>
                </a:r>
              </a:p>
            </c:rich>
          </c:tx>
          <c:overlay val="0"/>
        </c:title>
        <c:numFmt formatCode="General" sourceLinked="1"/>
        <c:majorTickMark val="out"/>
        <c:minorTickMark val="none"/>
        <c:tickLblPos val="nextTo"/>
        <c:txPr>
          <a:bodyPr rot="0" vert="horz"/>
          <a:lstStyle/>
          <a:p>
            <a:pPr>
              <a:defRPr sz="800"/>
            </a:pPr>
            <a:endParaRPr lang="en-US"/>
          </a:p>
        </c:txPr>
        <c:crossAx val="684001536"/>
        <c:crosses val="autoZero"/>
        <c:auto val="1"/>
        <c:lblAlgn val="ctr"/>
        <c:lblOffset val="100"/>
        <c:noMultiLvlLbl val="0"/>
      </c:catAx>
      <c:valAx>
        <c:axId val="684001536"/>
        <c:scaling>
          <c:orientation val="minMax"/>
        </c:scaling>
        <c:delete val="0"/>
        <c:axPos val="l"/>
        <c:title>
          <c:tx>
            <c:rich>
              <a:bodyPr rot="-5400000" vert="horz"/>
              <a:lstStyle/>
              <a:p>
                <a:pPr>
                  <a:defRPr sz="800" b="0"/>
                </a:pPr>
                <a:r>
                  <a:rPr lang="en-GB" sz="800" b="0"/>
                  <a:t>CO concentration (ppm)</a:t>
                </a:r>
              </a:p>
            </c:rich>
          </c:tx>
          <c:overlay val="0"/>
        </c:title>
        <c:numFmt formatCode="General" sourceLinked="1"/>
        <c:majorTickMark val="out"/>
        <c:minorTickMark val="in"/>
        <c:tickLblPos val="nextTo"/>
        <c:txPr>
          <a:bodyPr/>
          <a:lstStyle/>
          <a:p>
            <a:pPr>
              <a:defRPr sz="800"/>
            </a:pPr>
            <a:endParaRPr lang="en-US"/>
          </a:p>
        </c:txPr>
        <c:crossAx val="683999616"/>
        <c:crosses val="autoZero"/>
        <c:crossBetween val="between"/>
      </c:valAx>
      <c:valAx>
        <c:axId val="684024192"/>
        <c:scaling>
          <c:orientation val="minMax"/>
        </c:scaling>
        <c:delete val="0"/>
        <c:axPos val="r"/>
        <c:title>
          <c:tx>
            <c:rich>
              <a:bodyPr rot="-5400000" vert="horz"/>
              <a:lstStyle/>
              <a:p>
                <a:pPr>
                  <a:defRPr sz="800" b="0"/>
                </a:pPr>
                <a:r>
                  <a:rPr lang="en-GB" sz="800" b="0"/>
                  <a:t>Moisture content (%)</a:t>
                </a:r>
              </a:p>
            </c:rich>
          </c:tx>
          <c:layout>
            <c:manualLayout>
              <c:xMode val="edge"/>
              <c:yMode val="edge"/>
              <c:x val="0.93302569736922425"/>
              <c:y val="0.19655615863551038"/>
            </c:manualLayout>
          </c:layout>
          <c:overlay val="0"/>
        </c:title>
        <c:numFmt formatCode="General" sourceLinked="1"/>
        <c:majorTickMark val="out"/>
        <c:minorTickMark val="none"/>
        <c:tickLblPos val="nextTo"/>
        <c:txPr>
          <a:bodyPr/>
          <a:lstStyle/>
          <a:p>
            <a:pPr>
              <a:defRPr sz="800"/>
            </a:pPr>
            <a:endParaRPr lang="en-US"/>
          </a:p>
        </c:txPr>
        <c:crossAx val="684026112"/>
        <c:crosses val="max"/>
        <c:crossBetween val="between"/>
      </c:valAx>
      <c:catAx>
        <c:axId val="684026112"/>
        <c:scaling>
          <c:orientation val="minMax"/>
        </c:scaling>
        <c:delete val="1"/>
        <c:axPos val="b"/>
        <c:majorTickMark val="out"/>
        <c:minorTickMark val="none"/>
        <c:tickLblPos val="nextTo"/>
        <c:crossAx val="684024192"/>
        <c:crosses val="autoZero"/>
        <c:auto val="1"/>
        <c:lblAlgn val="ctr"/>
        <c:lblOffset val="100"/>
        <c:noMultiLvlLbl val="0"/>
      </c:catAx>
    </c:plotArea>
    <c:plotVisOnly val="1"/>
    <c:dispBlanksAs val="gap"/>
    <c:showDLblsOverMax val="0"/>
  </c:chart>
  <c:txPr>
    <a:bodyPr/>
    <a:lstStyle/>
    <a:p>
      <a:pPr>
        <a:defRPr lang="en-GB"/>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0.38041</cdr:x>
      <cdr:y>0.37716</cdr:y>
    </cdr:from>
    <cdr:to>
      <cdr:x>0.77996</cdr:x>
      <cdr:y>0.47786</cdr:y>
    </cdr:to>
    <cdr:sp macro="" textlink="">
      <cdr:nvSpPr>
        <cdr:cNvPr id="2" name="TextBox 1"/>
        <cdr:cNvSpPr txBox="1"/>
      </cdr:nvSpPr>
      <cdr:spPr>
        <a:xfrm xmlns:a="http://schemas.openxmlformats.org/drawingml/2006/main">
          <a:off x="1163116" y="700767"/>
          <a:ext cx="1221640" cy="18710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700">
              <a:effectLst/>
              <a:latin typeface="+mn-lt"/>
              <a:ea typeface="+mn-ea"/>
              <a:cs typeface="Times New Roman" panose="02020603050405020304" pitchFamily="18" charset="0"/>
            </a:rPr>
            <a:t>WHO 24-hr AQG standard</a:t>
          </a:r>
          <a:r>
            <a:rPr lang="en-US" sz="1000">
              <a:effectLst/>
              <a:latin typeface="Times New Roman" panose="02020603050405020304" pitchFamily="18" charset="0"/>
              <a:ea typeface="+mn-ea"/>
              <a:cs typeface="Times New Roman" panose="02020603050405020304" pitchFamily="18" charset="0"/>
            </a:rPr>
            <a:t> </a:t>
          </a:r>
          <a:endParaRPr lang="en-GB" sz="10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0.38565</cdr:x>
      <cdr:y>0.14237</cdr:y>
    </cdr:from>
    <cdr:to>
      <cdr:x>0.75856</cdr:x>
      <cdr:y>0.24306</cdr:y>
    </cdr:to>
    <cdr:sp macro="" textlink="">
      <cdr:nvSpPr>
        <cdr:cNvPr id="3" name="TextBox 1"/>
        <cdr:cNvSpPr txBox="1"/>
      </cdr:nvSpPr>
      <cdr:spPr>
        <a:xfrm xmlns:a="http://schemas.openxmlformats.org/drawingml/2006/main">
          <a:off x="1179145" y="288482"/>
          <a:ext cx="1140181" cy="20402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700">
              <a:effectLst/>
              <a:latin typeface="+mn-lt"/>
              <a:ea typeface="+mn-ea"/>
              <a:cs typeface="Times New Roman" panose="02020603050405020304" pitchFamily="18" charset="0"/>
            </a:rPr>
            <a:t>CO</a:t>
          </a:r>
          <a:r>
            <a:rPr lang="en-US" sz="700" baseline="0">
              <a:effectLst/>
              <a:latin typeface="+mn-lt"/>
              <a:ea typeface="+mn-ea"/>
              <a:cs typeface="Times New Roman" panose="02020603050405020304" pitchFamily="18" charset="0"/>
            </a:rPr>
            <a:t> </a:t>
          </a:r>
          <a:r>
            <a:rPr lang="en-US" sz="700">
              <a:effectLst/>
              <a:latin typeface="+mn-lt"/>
              <a:ea typeface="+mn-ea"/>
              <a:cs typeface="Times New Roman" panose="02020603050405020304" pitchFamily="18" charset="0"/>
            </a:rPr>
            <a:t>values (hybrid</a:t>
          </a:r>
          <a:r>
            <a:rPr lang="en-US" sz="700" baseline="0">
              <a:effectLst/>
              <a:latin typeface="+mn-lt"/>
              <a:ea typeface="+mn-ea"/>
              <a:cs typeface="Times New Roman" panose="02020603050405020304" pitchFamily="18" charset="0"/>
            </a:rPr>
            <a:t> </a:t>
          </a:r>
          <a:r>
            <a:rPr lang="en-US" sz="700">
              <a:effectLst/>
              <a:latin typeface="+mn-lt"/>
              <a:ea typeface="+mn-ea"/>
              <a:cs typeface="Times New Roman" panose="02020603050405020304" pitchFamily="18" charset="0"/>
            </a:rPr>
            <a:t>variety</a:t>
          </a:r>
          <a:r>
            <a:rPr lang="en-US" sz="700" baseline="0">
              <a:effectLst/>
              <a:latin typeface="+mn-lt"/>
              <a:ea typeface="+mn-ea"/>
              <a:cs typeface="Times New Roman" panose="02020603050405020304" pitchFamily="18" charset="0"/>
            </a:rPr>
            <a:t>)</a:t>
          </a:r>
          <a:endParaRPr lang="en-GB" sz="700">
            <a:latin typeface="+mn-lt"/>
            <a:cs typeface="Times New Roman" panose="02020603050405020304" pitchFamily="18" charset="0"/>
          </a:endParaRPr>
        </a:p>
      </cdr:txBody>
    </cdr:sp>
  </cdr:relSizeAnchor>
  <cdr:relSizeAnchor xmlns:cdr="http://schemas.openxmlformats.org/drawingml/2006/chartDrawing">
    <cdr:from>
      <cdr:x>0.44965</cdr:x>
      <cdr:y>0.29906</cdr:y>
    </cdr:from>
    <cdr:to>
      <cdr:x>0.82257</cdr:x>
      <cdr:y>0.39975</cdr:y>
    </cdr:to>
    <cdr:sp macro="" textlink="">
      <cdr:nvSpPr>
        <cdr:cNvPr id="4" name="TextBox 1"/>
        <cdr:cNvSpPr txBox="1"/>
      </cdr:nvSpPr>
      <cdr:spPr>
        <a:xfrm xmlns:a="http://schemas.openxmlformats.org/drawingml/2006/main">
          <a:off x="1374812" y="555658"/>
          <a:ext cx="1140213" cy="18708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700">
              <a:effectLst/>
              <a:latin typeface="+mn-lt"/>
              <a:ea typeface="+mn-ea"/>
              <a:cs typeface="Times New Roman" panose="02020603050405020304" pitchFamily="18" charset="0"/>
            </a:rPr>
            <a:t>CO</a:t>
          </a:r>
          <a:r>
            <a:rPr lang="en-US" sz="700" baseline="0">
              <a:effectLst/>
              <a:latin typeface="+mn-lt"/>
              <a:ea typeface="+mn-ea"/>
              <a:cs typeface="Times New Roman" panose="02020603050405020304" pitchFamily="18" charset="0"/>
            </a:rPr>
            <a:t> </a:t>
          </a:r>
          <a:r>
            <a:rPr lang="en-US" sz="700">
              <a:effectLst/>
              <a:latin typeface="+mn-lt"/>
              <a:ea typeface="+mn-ea"/>
              <a:cs typeface="Times New Roman" panose="02020603050405020304" pitchFamily="18" charset="0"/>
            </a:rPr>
            <a:t>values (local </a:t>
          </a:r>
          <a:r>
            <a:rPr lang="en-US" sz="700" baseline="0">
              <a:effectLst/>
              <a:latin typeface="+mn-lt"/>
              <a:ea typeface="+mn-ea"/>
              <a:cs typeface="Times New Roman" panose="02020603050405020304" pitchFamily="18" charset="0"/>
            </a:rPr>
            <a:t>variety)</a:t>
          </a:r>
          <a:endParaRPr lang="en-GB" sz="700">
            <a:latin typeface="+mn-lt"/>
            <a:cs typeface="Times New Roman" panose="02020603050405020304" pitchFamily="18" charset="0"/>
          </a:endParaRPr>
        </a:p>
      </cdr:txBody>
    </cdr:sp>
  </cdr:relSizeAnchor>
  <cdr:relSizeAnchor xmlns:cdr="http://schemas.openxmlformats.org/drawingml/2006/chartDrawing">
    <cdr:from>
      <cdr:x>0.66749</cdr:x>
      <cdr:y>0.60553</cdr:y>
    </cdr:from>
    <cdr:to>
      <cdr:x>0.92721</cdr:x>
      <cdr:y>0.78701</cdr:y>
    </cdr:to>
    <cdr:sp macro="" textlink="">
      <cdr:nvSpPr>
        <cdr:cNvPr id="5" name="TextBox 4"/>
        <cdr:cNvSpPr txBox="1"/>
      </cdr:nvSpPr>
      <cdr:spPr>
        <a:xfrm xmlns:a="http://schemas.openxmlformats.org/drawingml/2006/main">
          <a:off x="2040867" y="1226976"/>
          <a:ext cx="794101" cy="36773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700">
              <a:latin typeface="+mn-lt"/>
              <a:cs typeface="Times New Roman" panose="02020603050405020304" pitchFamily="18" charset="0"/>
            </a:rPr>
            <a:t>Moisture content</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665</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George</cp:lastModifiedBy>
  <cp:revision>4</cp:revision>
  <dcterms:created xsi:type="dcterms:W3CDTF">2018-05-25T21:25:00Z</dcterms:created>
  <dcterms:modified xsi:type="dcterms:W3CDTF">2018-05-25T21:49:00Z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