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ABC" w:rsidRDefault="00C01ABC" w:rsidP="00C01ABC">
      <w:pPr>
        <w:pStyle w:val="NoSpacing"/>
        <w:jc w:val="center"/>
        <w:rPr>
          <w:rStyle w:val="bold"/>
          <w:rFonts w:ascii="Times New Roman" w:hAnsi="Times New Roman"/>
          <w:b/>
          <w:sz w:val="24"/>
          <w:szCs w:val="24"/>
        </w:rPr>
      </w:pPr>
      <w:r w:rsidRPr="002F7245">
        <w:rPr>
          <w:rStyle w:val="bold"/>
          <w:rFonts w:ascii="Times New Roman" w:hAnsi="Times New Roman"/>
          <w:b/>
          <w:sz w:val="24"/>
          <w:szCs w:val="24"/>
        </w:rPr>
        <w:t xml:space="preserve">The </w:t>
      </w:r>
      <w:r w:rsidRPr="002F7245">
        <w:rPr>
          <w:rFonts w:ascii="Times New Roman" w:hAnsi="Times New Roman"/>
          <w:b/>
          <w:sz w:val="24"/>
          <w:szCs w:val="24"/>
        </w:rPr>
        <w:t>Climate Change–Agriculture–Food (In</w:t>
      </w:r>
      <w:proofErr w:type="gramStart"/>
      <w:r w:rsidRPr="002F7245">
        <w:rPr>
          <w:rFonts w:ascii="Times New Roman" w:hAnsi="Times New Roman"/>
          <w:b/>
          <w:sz w:val="24"/>
          <w:szCs w:val="24"/>
        </w:rPr>
        <w:t>)security</w:t>
      </w:r>
      <w:proofErr w:type="gramEnd"/>
      <w:r w:rsidRPr="002F7245">
        <w:rPr>
          <w:rFonts w:ascii="Times New Roman" w:hAnsi="Times New Roman"/>
          <w:b/>
          <w:sz w:val="24"/>
          <w:szCs w:val="24"/>
        </w:rPr>
        <w:t xml:space="preserve"> Nexus</w:t>
      </w:r>
      <w:r w:rsidRPr="002F7245">
        <w:rPr>
          <w:rStyle w:val="bold"/>
          <w:rFonts w:ascii="Times New Roman" w:hAnsi="Times New Roman"/>
          <w:b/>
          <w:sz w:val="24"/>
          <w:szCs w:val="24"/>
        </w:rPr>
        <w:t xml:space="preserve"> and the Biomass Regime: </w:t>
      </w:r>
    </w:p>
    <w:p w:rsidR="00C01ABC" w:rsidRPr="002F7245" w:rsidRDefault="00C01ABC" w:rsidP="00C01ABC">
      <w:pPr>
        <w:pStyle w:val="NoSpacing"/>
        <w:jc w:val="center"/>
        <w:rPr>
          <w:rStyle w:val="bold"/>
          <w:rFonts w:ascii="Times New Roman" w:hAnsi="Times New Roman"/>
          <w:b/>
          <w:sz w:val="24"/>
          <w:szCs w:val="24"/>
        </w:rPr>
      </w:pPr>
      <w:r w:rsidRPr="002F7245">
        <w:rPr>
          <w:rStyle w:val="bold"/>
          <w:rFonts w:ascii="Times New Roman" w:hAnsi="Times New Roman"/>
          <w:b/>
          <w:sz w:val="24"/>
          <w:szCs w:val="24"/>
        </w:rPr>
        <w:t>What Implications for Africa’s Development?</w:t>
      </w:r>
    </w:p>
    <w:p w:rsidR="00C01ABC" w:rsidRDefault="00C01ABC" w:rsidP="006A199B">
      <w:pPr>
        <w:pStyle w:val="NoSpacing"/>
        <w:rPr>
          <w:rStyle w:val="bold"/>
          <w:rFonts w:ascii="Times New Roman" w:hAnsi="Times New Roman"/>
          <w:b/>
          <w:sz w:val="14"/>
          <w:szCs w:val="14"/>
        </w:rPr>
      </w:pPr>
    </w:p>
    <w:p w:rsidR="006A199B" w:rsidRPr="00341AE8" w:rsidRDefault="006A199B" w:rsidP="006A199B">
      <w:pPr>
        <w:pStyle w:val="NoSpacing"/>
        <w:rPr>
          <w:rStyle w:val="bold"/>
          <w:rFonts w:ascii="Times New Roman" w:hAnsi="Times New Roman"/>
          <w:b/>
          <w:sz w:val="14"/>
          <w:szCs w:val="14"/>
        </w:rPr>
      </w:pPr>
      <w:bookmarkStart w:id="0" w:name="_GoBack"/>
      <w:bookmarkEnd w:id="0"/>
    </w:p>
    <w:p w:rsidR="00C01ABC" w:rsidRPr="00341AE8" w:rsidRDefault="00C01ABC" w:rsidP="00C01ABC">
      <w:pPr>
        <w:pStyle w:val="NoSpacing"/>
        <w:spacing w:line="360" w:lineRule="auto"/>
        <w:rPr>
          <w:rFonts w:ascii="Times New Roman" w:hAnsi="Times New Roman"/>
          <w:sz w:val="14"/>
          <w:szCs w:val="14"/>
        </w:rPr>
      </w:pPr>
    </w:p>
    <w:p w:rsidR="00C01ABC" w:rsidRDefault="00C01ABC" w:rsidP="00C01ABC">
      <w:pPr>
        <w:pStyle w:val="NoSpacing"/>
        <w:jc w:val="both"/>
        <w:rPr>
          <w:rFonts w:ascii="Times New Roman" w:hAnsi="Times New Roman"/>
          <w:sz w:val="24"/>
          <w:szCs w:val="24"/>
        </w:rPr>
      </w:pPr>
      <w:r w:rsidRPr="002F7245">
        <w:rPr>
          <w:rFonts w:ascii="Times New Roman" w:hAnsi="Times New Roman"/>
          <w:sz w:val="24"/>
          <w:szCs w:val="24"/>
        </w:rPr>
        <w:t xml:space="preserve">By </w:t>
      </w:r>
      <w:r w:rsidRPr="002F7245">
        <w:rPr>
          <w:rFonts w:ascii="Times New Roman" w:hAnsi="Times New Roman"/>
          <w:b/>
          <w:sz w:val="24"/>
          <w:szCs w:val="24"/>
        </w:rPr>
        <w:t>Akachi Odoemene</w:t>
      </w:r>
      <w:r w:rsidRPr="002F7245">
        <w:rPr>
          <w:rFonts w:ascii="Times New Roman" w:hAnsi="Times New Roman"/>
          <w:sz w:val="24"/>
          <w:szCs w:val="24"/>
        </w:rPr>
        <w:t>, Ph.D.</w:t>
      </w:r>
    </w:p>
    <w:p w:rsidR="003E2668" w:rsidRDefault="006A199B" w:rsidP="00C01ABC">
      <w:pPr>
        <w:pStyle w:val="NoSpacing"/>
        <w:jc w:val="both"/>
        <w:rPr>
          <w:rFonts w:ascii="Times New Roman" w:hAnsi="Times New Roman"/>
          <w:sz w:val="24"/>
          <w:szCs w:val="24"/>
        </w:rPr>
      </w:pPr>
      <w:r>
        <w:rPr>
          <w:rFonts w:ascii="Times New Roman" w:hAnsi="Times New Roman"/>
          <w:sz w:val="24"/>
          <w:szCs w:val="24"/>
        </w:rPr>
        <w:t>Department of History and I</w:t>
      </w:r>
      <w:r w:rsidR="003E2668">
        <w:rPr>
          <w:rFonts w:ascii="Times New Roman" w:hAnsi="Times New Roman"/>
          <w:sz w:val="24"/>
          <w:szCs w:val="24"/>
        </w:rPr>
        <w:t>nternational Studies</w:t>
      </w:r>
    </w:p>
    <w:p w:rsidR="003E2668" w:rsidRDefault="003E2668" w:rsidP="00C01ABC">
      <w:pPr>
        <w:pStyle w:val="NoSpacing"/>
        <w:jc w:val="both"/>
        <w:rPr>
          <w:rFonts w:ascii="Times New Roman" w:hAnsi="Times New Roman"/>
          <w:sz w:val="24"/>
          <w:szCs w:val="24"/>
        </w:rPr>
      </w:pPr>
      <w:r>
        <w:rPr>
          <w:rFonts w:ascii="Times New Roman" w:hAnsi="Times New Roman"/>
          <w:sz w:val="24"/>
          <w:szCs w:val="24"/>
        </w:rPr>
        <w:t>Federal University Otuoke</w:t>
      </w:r>
      <w:r w:rsidR="006A199B">
        <w:rPr>
          <w:rFonts w:ascii="Times New Roman" w:hAnsi="Times New Roman"/>
          <w:sz w:val="24"/>
          <w:szCs w:val="24"/>
        </w:rPr>
        <w:t xml:space="preserve"> (FUO)</w:t>
      </w:r>
    </w:p>
    <w:p w:rsidR="003E2668" w:rsidRDefault="003E2668" w:rsidP="00C01ABC">
      <w:pPr>
        <w:pStyle w:val="NoSpacing"/>
        <w:jc w:val="both"/>
        <w:rPr>
          <w:rFonts w:ascii="Times New Roman" w:hAnsi="Times New Roman"/>
          <w:sz w:val="24"/>
          <w:szCs w:val="24"/>
        </w:rPr>
      </w:pPr>
      <w:proofErr w:type="spellStart"/>
      <w:r>
        <w:rPr>
          <w:rFonts w:ascii="Times New Roman" w:hAnsi="Times New Roman"/>
          <w:sz w:val="24"/>
          <w:szCs w:val="24"/>
        </w:rPr>
        <w:t>Bayelsa</w:t>
      </w:r>
      <w:proofErr w:type="spellEnd"/>
      <w:r>
        <w:rPr>
          <w:rFonts w:ascii="Times New Roman" w:hAnsi="Times New Roman"/>
          <w:sz w:val="24"/>
          <w:szCs w:val="24"/>
        </w:rPr>
        <w:t xml:space="preserve"> State, Nigeria.</w:t>
      </w:r>
    </w:p>
    <w:p w:rsidR="006A199B" w:rsidRPr="002F7245" w:rsidRDefault="006A199B" w:rsidP="00C01ABC">
      <w:pPr>
        <w:pStyle w:val="NoSpacing"/>
        <w:jc w:val="both"/>
        <w:rPr>
          <w:rFonts w:ascii="Times New Roman" w:hAnsi="Times New Roman"/>
          <w:sz w:val="24"/>
          <w:szCs w:val="24"/>
        </w:rPr>
      </w:pPr>
    </w:p>
    <w:p w:rsidR="00C01ABC" w:rsidRPr="002F7245" w:rsidRDefault="00C01ABC" w:rsidP="00C01ABC">
      <w:pPr>
        <w:pStyle w:val="NoSpacing"/>
        <w:spacing w:line="480" w:lineRule="auto"/>
        <w:rPr>
          <w:rFonts w:ascii="Times New Roman" w:hAnsi="Times New Roman"/>
          <w:sz w:val="16"/>
          <w:szCs w:val="16"/>
        </w:rPr>
      </w:pPr>
    </w:p>
    <w:p w:rsidR="00C01ABC" w:rsidRPr="002F7245" w:rsidRDefault="00C01ABC" w:rsidP="00C01ABC">
      <w:pPr>
        <w:pStyle w:val="NoSpacing"/>
        <w:spacing w:line="360" w:lineRule="auto"/>
        <w:rPr>
          <w:rFonts w:ascii="Times New Roman" w:hAnsi="Times New Roman"/>
          <w:b/>
          <w:sz w:val="24"/>
          <w:szCs w:val="24"/>
        </w:rPr>
      </w:pPr>
      <w:r>
        <w:rPr>
          <w:rFonts w:ascii="Times New Roman" w:hAnsi="Times New Roman"/>
          <w:b/>
          <w:sz w:val="24"/>
          <w:szCs w:val="24"/>
        </w:rPr>
        <w:t>Abstract</w:t>
      </w:r>
    </w:p>
    <w:p w:rsidR="003E2668" w:rsidRPr="003E2668" w:rsidRDefault="00C01ABC" w:rsidP="00842021">
      <w:pPr>
        <w:jc w:val="both"/>
        <w:rPr>
          <w:rFonts w:ascii="Times New Roman" w:hAnsi="Times New Roman"/>
          <w:sz w:val="24"/>
          <w:szCs w:val="24"/>
        </w:rPr>
      </w:pPr>
      <w:r w:rsidRPr="003E2668">
        <w:rPr>
          <w:rFonts w:ascii="Times New Roman" w:hAnsi="Times New Roman"/>
          <w:sz w:val="24"/>
          <w:szCs w:val="24"/>
        </w:rPr>
        <w:t>The nexus of climate change, agriculture and food security (CCAFS) has been noted as “one of the quintessential challenges of sustainable development” in the world in contemporary times.</w:t>
      </w:r>
      <w:r w:rsidRPr="003E2668">
        <w:rPr>
          <w:rFonts w:ascii="Times New Roman" w:hAnsi="Times New Roman"/>
          <w:sz w:val="24"/>
          <w:szCs w:val="24"/>
        </w:rPr>
        <w:t xml:space="preserve"> C</w:t>
      </w:r>
      <w:r w:rsidRPr="003E2668">
        <w:rPr>
          <w:rFonts w:ascii="Times New Roman" w:hAnsi="Times New Roman"/>
          <w:sz w:val="24"/>
          <w:szCs w:val="24"/>
        </w:rPr>
        <w:t>limate change, an aspect of the global environmental change (GEC), has resulted in adverse conditions which threaten to reverse decades of human development and gains</w:t>
      </w:r>
      <w:r w:rsidRPr="003E2668">
        <w:rPr>
          <w:rFonts w:ascii="Times New Roman" w:hAnsi="Times New Roman"/>
          <w:sz w:val="24"/>
          <w:szCs w:val="24"/>
        </w:rPr>
        <w:t>. Indeed,</w:t>
      </w:r>
      <w:r w:rsidRPr="003E2668">
        <w:rPr>
          <w:rFonts w:ascii="Times New Roman" w:hAnsi="Times New Roman"/>
          <w:sz w:val="24"/>
          <w:szCs w:val="24"/>
        </w:rPr>
        <w:t xml:space="preserve"> </w:t>
      </w:r>
      <w:r w:rsidRPr="003E2668">
        <w:rPr>
          <w:rFonts w:ascii="Times New Roman" w:hAnsi="Times New Roman"/>
          <w:sz w:val="24"/>
          <w:szCs w:val="24"/>
        </w:rPr>
        <w:t>c</w:t>
      </w:r>
      <w:r w:rsidRPr="003E2668">
        <w:rPr>
          <w:rFonts w:ascii="Times New Roman" w:hAnsi="Times New Roman"/>
          <w:sz w:val="24"/>
          <w:szCs w:val="24"/>
        </w:rPr>
        <w:t>limate change</w:t>
      </w:r>
      <w:r w:rsidRPr="003E2668">
        <w:rPr>
          <w:rFonts w:ascii="Times New Roman" w:hAnsi="Times New Roman"/>
          <w:sz w:val="24"/>
          <w:szCs w:val="24"/>
        </w:rPr>
        <w:t xml:space="preserve"> </w:t>
      </w:r>
      <w:r w:rsidRPr="003E2668">
        <w:rPr>
          <w:rFonts w:ascii="Times New Roman" w:hAnsi="Times New Roman"/>
          <w:sz w:val="24"/>
          <w:szCs w:val="24"/>
        </w:rPr>
        <w:t>has adversely affected food security and agricultural livelihoods of vulnerable populations, especially in rural African societies. Ironically, efforts at mitigating such changes, particularly pioneered by the West, yet through agricultural development, have equally proven a potent threat on food security and sustainability for the same vulnerable populations. Using case studies from Ghana, Nigeria and Sierra Leone, this study examine</w:t>
      </w:r>
      <w:r w:rsidRPr="003E2668">
        <w:rPr>
          <w:rFonts w:ascii="Times New Roman" w:hAnsi="Times New Roman"/>
          <w:sz w:val="24"/>
          <w:szCs w:val="24"/>
        </w:rPr>
        <w:t>s</w:t>
      </w:r>
      <w:r w:rsidRPr="003E2668">
        <w:rPr>
          <w:rFonts w:ascii="Times New Roman" w:hAnsi="Times New Roman"/>
          <w:sz w:val="24"/>
          <w:szCs w:val="24"/>
        </w:rPr>
        <w:t xml:space="preserve"> the implications of the climate change-agriculture-food security intersection. This is especially as it relates to the ‘land grab’ question, the issue of responsible agricultural development, as well as food, environmental, energy and economic insecurities.</w:t>
      </w:r>
      <w:r w:rsidRPr="003E2668">
        <w:rPr>
          <w:rFonts w:ascii="Times New Roman" w:hAnsi="Times New Roman"/>
          <w:sz w:val="24"/>
          <w:szCs w:val="24"/>
        </w:rPr>
        <w:t xml:space="preserve"> It argues that the nexus of these phenomena </w:t>
      </w:r>
      <w:r w:rsidRPr="003E2668">
        <w:rPr>
          <w:rFonts w:ascii="Times New Roman" w:hAnsi="Times New Roman"/>
          <w:sz w:val="24"/>
          <w:szCs w:val="24"/>
        </w:rPr>
        <w:t>inaugurated a ‘Biomass regime’</w:t>
      </w:r>
      <w:r w:rsidR="00842021" w:rsidRPr="003E2668">
        <w:rPr>
          <w:rFonts w:ascii="Times New Roman" w:hAnsi="Times New Roman"/>
          <w:sz w:val="24"/>
          <w:szCs w:val="24"/>
        </w:rPr>
        <w:t xml:space="preserve"> in Africa,</w:t>
      </w:r>
      <w:r w:rsidRPr="003E2668">
        <w:rPr>
          <w:rFonts w:ascii="Times New Roman" w:hAnsi="Times New Roman"/>
          <w:sz w:val="24"/>
          <w:szCs w:val="24"/>
        </w:rPr>
        <w:t xml:space="preserve"> which sought large-scale arable lands for agricultural purposes towards biofuels production</w:t>
      </w:r>
      <w:r w:rsidR="00842021" w:rsidRPr="003E2668">
        <w:rPr>
          <w:rFonts w:ascii="Times New Roman" w:hAnsi="Times New Roman"/>
          <w:sz w:val="24"/>
          <w:szCs w:val="24"/>
        </w:rPr>
        <w:t xml:space="preserve"> – but for foreign market</w:t>
      </w:r>
      <w:r w:rsidRPr="003E2668">
        <w:rPr>
          <w:rFonts w:ascii="Times New Roman" w:hAnsi="Times New Roman"/>
          <w:sz w:val="24"/>
          <w:szCs w:val="24"/>
        </w:rPr>
        <w:t>.</w:t>
      </w:r>
      <w:r w:rsidR="00842021" w:rsidRPr="003E2668">
        <w:rPr>
          <w:rFonts w:ascii="Times New Roman" w:hAnsi="Times New Roman"/>
          <w:sz w:val="24"/>
          <w:szCs w:val="24"/>
        </w:rPr>
        <w:t xml:space="preserve"> It further demonstrates how not only does </w:t>
      </w:r>
      <w:r w:rsidRPr="003E2668">
        <w:rPr>
          <w:rFonts w:ascii="Times New Roman" w:hAnsi="Times New Roman"/>
          <w:sz w:val="24"/>
          <w:szCs w:val="24"/>
        </w:rPr>
        <w:t>the new land acquisition trend encourages and bolsters food insecurity</w:t>
      </w:r>
      <w:r w:rsidR="00842021" w:rsidRPr="003E2668">
        <w:rPr>
          <w:rFonts w:ascii="Times New Roman" w:hAnsi="Times New Roman"/>
          <w:sz w:val="24"/>
          <w:szCs w:val="24"/>
        </w:rPr>
        <w:t xml:space="preserve"> in Africa, but also how the continent is largely being </w:t>
      </w:r>
      <w:r w:rsidR="00842021" w:rsidRPr="003E2668">
        <w:rPr>
          <w:rFonts w:ascii="Times New Roman" w:hAnsi="Times New Roman"/>
          <w:sz w:val="24"/>
          <w:szCs w:val="24"/>
        </w:rPr>
        <w:t>left behind in th</w:t>
      </w:r>
      <w:r w:rsidR="00842021" w:rsidRPr="003E2668">
        <w:rPr>
          <w:rFonts w:ascii="Times New Roman" w:hAnsi="Times New Roman"/>
          <w:sz w:val="24"/>
          <w:szCs w:val="24"/>
        </w:rPr>
        <w:t xml:space="preserve">e on-going energy </w:t>
      </w:r>
      <w:r w:rsidR="00842021" w:rsidRPr="003E2668">
        <w:rPr>
          <w:rFonts w:ascii="Times New Roman" w:hAnsi="Times New Roman"/>
          <w:sz w:val="24"/>
          <w:szCs w:val="24"/>
        </w:rPr>
        <w:t>migration arrangement</w:t>
      </w:r>
      <w:r w:rsidRPr="003E2668">
        <w:rPr>
          <w:rFonts w:ascii="Times New Roman" w:hAnsi="Times New Roman"/>
          <w:sz w:val="24"/>
          <w:szCs w:val="24"/>
        </w:rPr>
        <w:t>.</w:t>
      </w:r>
      <w:r w:rsidR="00842021" w:rsidRPr="003E2668">
        <w:rPr>
          <w:rFonts w:ascii="Times New Roman" w:hAnsi="Times New Roman"/>
          <w:sz w:val="24"/>
          <w:szCs w:val="24"/>
        </w:rPr>
        <w:t xml:space="preserve"> The</w:t>
      </w:r>
      <w:r w:rsidR="003E2668" w:rsidRPr="003E2668">
        <w:rPr>
          <w:rFonts w:ascii="Times New Roman" w:hAnsi="Times New Roman"/>
          <w:sz w:val="24"/>
          <w:szCs w:val="24"/>
        </w:rPr>
        <w:t>se, the</w:t>
      </w:r>
      <w:r w:rsidR="00842021" w:rsidRPr="003E2668">
        <w:rPr>
          <w:rFonts w:ascii="Times New Roman" w:hAnsi="Times New Roman"/>
          <w:sz w:val="24"/>
          <w:szCs w:val="24"/>
        </w:rPr>
        <w:t xml:space="preserve"> paper also argues</w:t>
      </w:r>
      <w:r w:rsidR="003E2668" w:rsidRPr="003E2668">
        <w:rPr>
          <w:rFonts w:ascii="Times New Roman" w:hAnsi="Times New Roman"/>
          <w:sz w:val="24"/>
          <w:szCs w:val="24"/>
        </w:rPr>
        <w:t>,</w:t>
      </w:r>
      <w:r w:rsidR="00842021" w:rsidRPr="003E2668">
        <w:rPr>
          <w:rFonts w:ascii="Times New Roman" w:hAnsi="Times New Roman"/>
          <w:sz w:val="24"/>
          <w:szCs w:val="24"/>
        </w:rPr>
        <w:t xml:space="preserve"> </w:t>
      </w:r>
      <w:r w:rsidR="00842021" w:rsidRPr="003E2668">
        <w:rPr>
          <w:rFonts w:ascii="Times New Roman" w:hAnsi="Times New Roman"/>
          <w:sz w:val="24"/>
          <w:szCs w:val="24"/>
        </w:rPr>
        <w:t xml:space="preserve">signal an impending energy </w:t>
      </w:r>
      <w:r w:rsidR="003E2668" w:rsidRPr="003E2668">
        <w:rPr>
          <w:rFonts w:ascii="Times New Roman" w:hAnsi="Times New Roman"/>
          <w:sz w:val="24"/>
          <w:szCs w:val="24"/>
        </w:rPr>
        <w:t xml:space="preserve">and economic </w:t>
      </w:r>
      <w:r w:rsidR="00842021" w:rsidRPr="003E2668">
        <w:rPr>
          <w:rFonts w:ascii="Times New Roman" w:hAnsi="Times New Roman"/>
          <w:sz w:val="24"/>
          <w:szCs w:val="24"/>
        </w:rPr>
        <w:t>cris</w:t>
      </w:r>
      <w:r w:rsidR="003E2668" w:rsidRPr="003E2668">
        <w:rPr>
          <w:rFonts w:ascii="Times New Roman" w:hAnsi="Times New Roman"/>
          <w:sz w:val="24"/>
          <w:szCs w:val="24"/>
        </w:rPr>
        <w:t>e</w:t>
      </w:r>
      <w:r w:rsidR="00842021" w:rsidRPr="003E2668">
        <w:rPr>
          <w:rFonts w:ascii="Times New Roman" w:hAnsi="Times New Roman"/>
          <w:sz w:val="24"/>
          <w:szCs w:val="24"/>
        </w:rPr>
        <w:t>s to many African countries heavily dependent on crude oil.</w:t>
      </w:r>
      <w:r w:rsidR="00842021" w:rsidRPr="003E2668">
        <w:rPr>
          <w:rFonts w:ascii="Times New Roman" w:hAnsi="Times New Roman"/>
          <w:sz w:val="24"/>
          <w:szCs w:val="24"/>
        </w:rPr>
        <w:t xml:space="preserve"> In </w:t>
      </w:r>
      <w:r w:rsidR="003E2668">
        <w:rPr>
          <w:rFonts w:ascii="Times New Roman" w:hAnsi="Times New Roman"/>
          <w:sz w:val="24"/>
          <w:szCs w:val="24"/>
        </w:rPr>
        <w:t xml:space="preserve">conclusion, the </w:t>
      </w:r>
      <w:r w:rsidR="003E2668" w:rsidRPr="003E2668">
        <w:rPr>
          <w:rFonts w:ascii="Times New Roman" w:hAnsi="Times New Roman"/>
          <w:sz w:val="24"/>
          <w:szCs w:val="24"/>
        </w:rPr>
        <w:t xml:space="preserve">paper </w:t>
      </w:r>
      <w:r w:rsidR="00842021" w:rsidRPr="003E2668">
        <w:rPr>
          <w:rFonts w:ascii="Times New Roman" w:hAnsi="Times New Roman"/>
          <w:sz w:val="24"/>
          <w:szCs w:val="24"/>
        </w:rPr>
        <w:t>underlin</w:t>
      </w:r>
      <w:r w:rsidR="003E2668">
        <w:rPr>
          <w:rFonts w:ascii="Times New Roman" w:hAnsi="Times New Roman"/>
          <w:sz w:val="24"/>
          <w:szCs w:val="24"/>
        </w:rPr>
        <w:t xml:space="preserve">es </w:t>
      </w:r>
      <w:r w:rsidR="00842021" w:rsidRPr="003E2668">
        <w:rPr>
          <w:rFonts w:ascii="Times New Roman" w:hAnsi="Times New Roman"/>
          <w:sz w:val="24"/>
          <w:szCs w:val="24"/>
        </w:rPr>
        <w:t xml:space="preserve">the </w:t>
      </w:r>
      <w:r w:rsidR="003E2668" w:rsidRPr="003E2668">
        <w:rPr>
          <w:rFonts w:ascii="Times New Roman" w:hAnsi="Times New Roman"/>
          <w:sz w:val="24"/>
          <w:szCs w:val="24"/>
        </w:rPr>
        <w:t xml:space="preserve">importance </w:t>
      </w:r>
      <w:r w:rsidR="003E2668" w:rsidRPr="003E2668">
        <w:rPr>
          <w:rFonts w:ascii="Times New Roman" w:hAnsi="Times New Roman"/>
          <w:sz w:val="24"/>
          <w:szCs w:val="24"/>
        </w:rPr>
        <w:t xml:space="preserve">of the </w:t>
      </w:r>
      <w:r w:rsidR="003E2668" w:rsidRPr="003E2668">
        <w:rPr>
          <w:rFonts w:ascii="Times New Roman" w:hAnsi="Times New Roman"/>
          <w:sz w:val="24"/>
          <w:szCs w:val="24"/>
        </w:rPr>
        <w:t>CCAFS nexus</w:t>
      </w:r>
      <w:r w:rsidR="003E2668" w:rsidRPr="003E2668">
        <w:rPr>
          <w:rFonts w:ascii="Times New Roman" w:hAnsi="Times New Roman"/>
          <w:sz w:val="24"/>
          <w:szCs w:val="24"/>
        </w:rPr>
        <w:t xml:space="preserve"> </w:t>
      </w:r>
      <w:r w:rsidR="003E2668" w:rsidRPr="003E2668">
        <w:rPr>
          <w:rFonts w:ascii="Times New Roman" w:hAnsi="Times New Roman"/>
          <w:sz w:val="24"/>
          <w:szCs w:val="24"/>
        </w:rPr>
        <w:t>and their diverse exigencies to Africa’s development</w:t>
      </w:r>
      <w:r w:rsidR="003E2668" w:rsidRPr="003E2668">
        <w:rPr>
          <w:rFonts w:ascii="Times New Roman" w:hAnsi="Times New Roman"/>
          <w:sz w:val="24"/>
          <w:szCs w:val="24"/>
        </w:rPr>
        <w:t xml:space="preserve">, </w:t>
      </w:r>
      <w:r w:rsidR="003E2668">
        <w:rPr>
          <w:rFonts w:ascii="Times New Roman" w:hAnsi="Times New Roman"/>
          <w:sz w:val="24"/>
          <w:szCs w:val="24"/>
        </w:rPr>
        <w:t>noting that</w:t>
      </w:r>
      <w:r w:rsidR="003E2668" w:rsidRPr="003E2668">
        <w:rPr>
          <w:rFonts w:ascii="Times New Roman" w:hAnsi="Times New Roman"/>
          <w:sz w:val="24"/>
          <w:szCs w:val="24"/>
        </w:rPr>
        <w:t xml:space="preserve"> they</w:t>
      </w:r>
      <w:r w:rsidR="00842021" w:rsidRPr="003E2668">
        <w:rPr>
          <w:rFonts w:ascii="Times New Roman" w:hAnsi="Times New Roman"/>
          <w:sz w:val="24"/>
          <w:szCs w:val="24"/>
        </w:rPr>
        <w:t xml:space="preserve"> undeniably reinforce hunger, starvation, poverty and underdevelopment.</w:t>
      </w:r>
    </w:p>
    <w:sectPr w:rsidR="003E2668" w:rsidRPr="003E26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ABC"/>
    <w:rsid w:val="003E2668"/>
    <w:rsid w:val="006A199B"/>
    <w:rsid w:val="00842021"/>
    <w:rsid w:val="00986DFA"/>
    <w:rsid w:val="00C01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4235B-7F04-4931-9710-6651D52E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rsid w:val="00C01ABC"/>
    <w:rPr>
      <w:rFonts w:cs="Times New Roman"/>
    </w:rPr>
  </w:style>
  <w:style w:type="paragraph" w:styleId="NoSpacing">
    <w:name w:val="No Spacing"/>
    <w:uiPriority w:val="1"/>
    <w:qFormat/>
    <w:rsid w:val="00C01AB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Akachi Odoemene</dc:creator>
  <cp:keywords/>
  <dc:description/>
  <cp:lastModifiedBy>Akachi Odoemene</cp:lastModifiedBy>
  <cp:revision>2</cp:revision>
  <dcterms:created xsi:type="dcterms:W3CDTF">2018-05-03T03:13:00Z</dcterms:created>
  <dcterms:modified xsi:type="dcterms:W3CDTF">2018-05-03T03:42:00Z</dcterms:modified>
</cp:coreProperties>
</file>