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C032CB" w:rsidRDefault="004973D3" w:rsidP="00C032CB">
      <w:pPr>
        <w:pStyle w:val="Heading1"/>
        <w:spacing w:before="170" w:line="276" w:lineRule="auto"/>
        <w:ind w:left="0"/>
        <w:jc w:val="center"/>
        <w:rPr>
          <w:sz w:val="28"/>
          <w:szCs w:val="28"/>
        </w:rPr>
      </w:pPr>
      <w:r w:rsidRPr="00C032CB">
        <w:rPr>
          <w:color w:val="337AB7"/>
          <w:sz w:val="28"/>
          <w:szCs w:val="28"/>
        </w:rPr>
        <w:t>Ta</w:t>
      </w:r>
      <w:r w:rsidRPr="00C032CB">
        <w:rPr>
          <w:color w:val="337AB7"/>
          <w:sz w:val="28"/>
          <w:szCs w:val="28"/>
          <w:vertAlign w:val="subscript"/>
        </w:rPr>
        <w:t>2</w:t>
      </w:r>
      <w:r w:rsidRPr="00C032CB">
        <w:rPr>
          <w:color w:val="337AB7"/>
          <w:sz w:val="28"/>
          <w:szCs w:val="28"/>
        </w:rPr>
        <w:t>O</w:t>
      </w:r>
      <w:r w:rsidRPr="00C032CB">
        <w:rPr>
          <w:color w:val="337AB7"/>
          <w:sz w:val="28"/>
          <w:szCs w:val="28"/>
          <w:vertAlign w:val="subscript"/>
        </w:rPr>
        <w:t>5</w:t>
      </w:r>
      <w:r w:rsidRPr="00C032CB">
        <w:rPr>
          <w:color w:val="337AB7"/>
          <w:sz w:val="28"/>
          <w:szCs w:val="28"/>
        </w:rPr>
        <w:t>-nanoparticle-modified graphite felt as a high-performance electrode for vanadium redox flow</w:t>
      </w:r>
      <w:r w:rsidR="00746D5A">
        <w:rPr>
          <w:color w:val="337AB7"/>
          <w:sz w:val="28"/>
          <w:szCs w:val="28"/>
        </w:rPr>
        <w:t xml:space="preserve"> </w:t>
      </w:r>
      <w:r w:rsidR="00746D5A" w:rsidRPr="00746D5A">
        <w:rPr>
          <w:rFonts w:ascii="Times New Roman" w:hAnsi="Times New Roman" w:cs="Times New Roman"/>
          <w:color w:val="548DD4" w:themeColor="text2" w:themeTint="99"/>
          <w:sz w:val="24"/>
          <w:szCs w:val="24"/>
        </w:rPr>
        <w:t>battery</w:t>
      </w:r>
    </w:p>
    <w:p w:rsidR="004973D3" w:rsidRPr="00C032CB" w:rsidRDefault="004973D3" w:rsidP="004973D3">
      <w:pPr>
        <w:spacing w:line="360" w:lineRule="auto"/>
        <w:contextualSpacing/>
        <w:jc w:val="center"/>
        <w:rPr>
          <w:rFonts w:ascii="Times New Roman" w:eastAsiaTheme="minorEastAsia" w:hAnsi="Times New Roman" w:cs="Times New Roman"/>
          <w:sz w:val="20"/>
          <w:szCs w:val="20"/>
          <w:vertAlign w:val="superscript"/>
        </w:rPr>
      </w:pPr>
      <w:r w:rsidRPr="00C032CB">
        <w:rPr>
          <w:rFonts w:ascii="Times New Roman" w:eastAsiaTheme="minorEastAsia" w:hAnsi="Times New Roman" w:cs="Times New Roman"/>
          <w:sz w:val="20"/>
          <w:szCs w:val="20"/>
        </w:rPr>
        <w:t>Anteneh Wodaje Bayeh, Daniel Manaye Kabtamu, Yu-Chung Chang, Guan-Cheng Chen, Hsueh-Yu Chen, Guan-Yi Lin, Ting-Ruei Liu, Tadele Hunde Wondimu, Kai-Chin Wang and Chen-Hao Wang</w:t>
      </w:r>
      <w:r w:rsidRPr="00C032CB">
        <w:rPr>
          <w:rFonts w:ascii="Times New Roman" w:eastAsiaTheme="minorEastAsia" w:hAnsi="Times New Roman" w:cs="Times New Roman"/>
          <w:sz w:val="20"/>
          <w:szCs w:val="20"/>
          <w:vertAlign w:val="superscript"/>
        </w:rPr>
        <w:t>*</w:t>
      </w:r>
    </w:p>
    <w:p w:rsidR="003B494B" w:rsidRPr="00C032CB" w:rsidRDefault="003B494B" w:rsidP="003B494B">
      <w:pPr>
        <w:spacing w:line="360" w:lineRule="auto"/>
        <w:contextualSpacing/>
        <w:jc w:val="center"/>
        <w:rPr>
          <w:rFonts w:ascii="Times New Roman" w:eastAsiaTheme="minorEastAsia" w:hAnsi="Times New Roman" w:cs="Times New Roman"/>
          <w:i/>
          <w:sz w:val="20"/>
          <w:szCs w:val="20"/>
        </w:rPr>
      </w:pPr>
      <w:r w:rsidRPr="00C032CB">
        <w:rPr>
          <w:rFonts w:ascii="Times New Roman" w:eastAsiaTheme="minorEastAsia" w:hAnsi="Times New Roman" w:cs="Times New Roman"/>
          <w:i/>
          <w:sz w:val="20"/>
          <w:szCs w:val="20"/>
        </w:rPr>
        <w:t>Department of Materials Science and Engineering, National Taiwan University of Science and Technology, 10607, Taipei, Taiwan.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611283" w:rsidRDefault="003B494B" w:rsidP="00F11868">
      <w:pPr>
        <w:pStyle w:val="Heading3"/>
        <w:spacing w:before="147" w:line="360" w:lineRule="auto"/>
        <w:ind w:left="0"/>
        <w:jc w:val="center"/>
      </w:pPr>
      <w:r w:rsidRPr="00611283">
        <w:lastRenderedPageBreak/>
        <w:t>Abstract</w:t>
      </w:r>
    </w:p>
    <w:p w:rsidR="003B494B" w:rsidRPr="00611283" w:rsidRDefault="003B494B" w:rsidP="003B494B">
      <w:pPr>
        <w:spacing w:line="360" w:lineRule="auto"/>
        <w:jc w:val="both"/>
        <w:rPr>
          <w:rFonts w:ascii="Times New Roman" w:hAnsi="Times New Roman" w:cs="Times New Roman"/>
          <w:sz w:val="20"/>
          <w:szCs w:val="20"/>
        </w:rPr>
      </w:pPr>
      <w:r w:rsidRPr="00611283">
        <w:rPr>
          <w:rFonts w:ascii="Times New Roman" w:hAnsi="Times New Roman" w:cs="Times New Roman"/>
          <w:sz w:val="20"/>
          <w:szCs w:val="20"/>
        </w:rPr>
        <w:t>To increase the electrocatalytic activity of graphite felt (GF) electrodes in vanadium redox flow batteries (VRFBs) toward the VO</w:t>
      </w:r>
      <w:r w:rsidRPr="00611283">
        <w:rPr>
          <w:rFonts w:ascii="Times New Roman" w:hAnsi="Times New Roman" w:cs="Times New Roman"/>
          <w:sz w:val="20"/>
          <w:szCs w:val="20"/>
          <w:vertAlign w:val="subscript"/>
        </w:rPr>
        <w:t>2</w:t>
      </w:r>
      <w:r w:rsidRPr="00611283">
        <w:rPr>
          <w:rFonts w:ascii="Times New Roman" w:hAnsi="Times New Roman" w:cs="Times New Roman"/>
          <w:sz w:val="20"/>
          <w:szCs w:val="20"/>
          <w:vertAlign w:val="superscript"/>
        </w:rPr>
        <w:t>+</w:t>
      </w:r>
      <w:r w:rsidRPr="00611283">
        <w:rPr>
          <w:rFonts w:ascii="Times New Roman" w:hAnsi="Times New Roman" w:cs="Times New Roman"/>
          <w:sz w:val="20"/>
          <w:szCs w:val="20"/>
        </w:rPr>
        <w:t>/VO</w:t>
      </w:r>
      <w:r w:rsidRPr="00611283">
        <w:rPr>
          <w:rFonts w:ascii="Times New Roman" w:hAnsi="Times New Roman" w:cs="Times New Roman"/>
          <w:sz w:val="20"/>
          <w:szCs w:val="20"/>
          <w:vertAlign w:val="superscript"/>
        </w:rPr>
        <w:t xml:space="preserve">2+ </w:t>
      </w:r>
      <w:r w:rsidRPr="00611283">
        <w:rPr>
          <w:rFonts w:ascii="Times New Roman" w:hAnsi="Times New Roman" w:cs="Times New Roman"/>
          <w:sz w:val="20"/>
          <w:szCs w:val="20"/>
        </w:rPr>
        <w:t>redox couple, we prepared stable, high catalytic activity, and uniformly distributed hexagonal Ta</w:t>
      </w:r>
      <w:r w:rsidRPr="00611283">
        <w:rPr>
          <w:rFonts w:ascii="Times New Roman" w:hAnsi="Times New Roman" w:cs="Times New Roman"/>
          <w:sz w:val="20"/>
          <w:szCs w:val="20"/>
          <w:vertAlign w:val="subscript"/>
        </w:rPr>
        <w:t>2</w:t>
      </w:r>
      <w:r w:rsidRPr="00611283">
        <w:rPr>
          <w:rFonts w:ascii="Times New Roman" w:hAnsi="Times New Roman" w:cs="Times New Roman"/>
          <w:sz w:val="20"/>
          <w:szCs w:val="20"/>
        </w:rPr>
        <w:t>O</w:t>
      </w:r>
      <w:r w:rsidRPr="00611283">
        <w:rPr>
          <w:rFonts w:ascii="Times New Roman" w:hAnsi="Times New Roman" w:cs="Times New Roman"/>
          <w:sz w:val="20"/>
          <w:szCs w:val="20"/>
          <w:vertAlign w:val="subscript"/>
        </w:rPr>
        <w:t>5</w:t>
      </w:r>
      <w:r w:rsidRPr="00611283">
        <w:rPr>
          <w:rFonts w:ascii="Times New Roman" w:hAnsi="Times New Roman" w:cs="Times New Roman"/>
          <w:sz w:val="20"/>
          <w:szCs w:val="20"/>
        </w:rPr>
        <w:t xml:space="preserve"> nanoparticles on the surface of GF by varying the Ta</w:t>
      </w:r>
      <w:r w:rsidRPr="00611283">
        <w:rPr>
          <w:rFonts w:ascii="Times New Roman" w:hAnsi="Times New Roman" w:cs="Times New Roman"/>
          <w:sz w:val="20"/>
          <w:szCs w:val="20"/>
          <w:vertAlign w:val="subscript"/>
        </w:rPr>
        <w:t>2</w:t>
      </w:r>
      <w:r w:rsidRPr="00611283">
        <w:rPr>
          <w:rFonts w:ascii="Times New Roman" w:hAnsi="Times New Roman" w:cs="Times New Roman"/>
          <w:sz w:val="20"/>
          <w:szCs w:val="20"/>
        </w:rPr>
        <w:t>O</w:t>
      </w:r>
      <w:r w:rsidRPr="00611283">
        <w:rPr>
          <w:rFonts w:ascii="Times New Roman" w:hAnsi="Times New Roman" w:cs="Times New Roman"/>
          <w:sz w:val="20"/>
          <w:szCs w:val="20"/>
          <w:vertAlign w:val="subscript"/>
        </w:rPr>
        <w:t>5</w:t>
      </w:r>
      <w:r w:rsidRPr="00611283">
        <w:rPr>
          <w:rFonts w:ascii="Times New Roman" w:hAnsi="Times New Roman" w:cs="Times New Roman"/>
          <w:sz w:val="20"/>
          <w:szCs w:val="20"/>
        </w:rPr>
        <w:t xml:space="preserve"> contents. Scanning electron microscopy (SEM) revealed the amount and distribution uniformity of the electrocatalyst on the surface of GF. It was found that the optimum amount and uniformly immobilized Ta</w:t>
      </w:r>
      <w:r w:rsidRPr="00611283">
        <w:rPr>
          <w:rFonts w:ascii="Times New Roman" w:hAnsi="Times New Roman" w:cs="Times New Roman"/>
          <w:sz w:val="20"/>
          <w:szCs w:val="20"/>
          <w:vertAlign w:val="subscript"/>
        </w:rPr>
        <w:t>2</w:t>
      </w:r>
      <w:r w:rsidRPr="00611283">
        <w:rPr>
          <w:rFonts w:ascii="Times New Roman" w:hAnsi="Times New Roman" w:cs="Times New Roman"/>
          <w:sz w:val="20"/>
          <w:szCs w:val="20"/>
        </w:rPr>
        <w:t>O</w:t>
      </w:r>
      <w:r w:rsidRPr="00611283">
        <w:rPr>
          <w:rFonts w:ascii="Times New Roman" w:hAnsi="Times New Roman" w:cs="Times New Roman"/>
          <w:sz w:val="20"/>
          <w:szCs w:val="20"/>
          <w:vertAlign w:val="subscript"/>
        </w:rPr>
        <w:t>5</w:t>
      </w:r>
      <w:r w:rsidRPr="00611283">
        <w:rPr>
          <w:rFonts w:ascii="Times New Roman" w:hAnsi="Times New Roman" w:cs="Times New Roman"/>
          <w:sz w:val="20"/>
          <w:szCs w:val="20"/>
        </w:rPr>
        <w:t xml:space="preserve"> nanoparticles on GF surface provided the active sites, enhanced </w:t>
      </w:r>
      <w:r w:rsidRPr="00611283">
        <w:rPr>
          <w:rFonts w:ascii="Times New Roman" w:eastAsia="Calibri" w:hAnsi="Times New Roman" w:cs="Times New Roman"/>
          <w:sz w:val="20"/>
          <w:szCs w:val="20"/>
        </w:rPr>
        <w:t xml:space="preserve">hydrophilicity </w:t>
      </w:r>
      <w:r w:rsidRPr="00611283">
        <w:rPr>
          <w:rFonts w:ascii="Times New Roman" w:hAnsi="Times New Roman" w:cs="Times New Roman"/>
          <w:sz w:val="20"/>
          <w:szCs w:val="20"/>
        </w:rPr>
        <w:t>and electrolyte accessibility, thus remarkably improved electrochemical performance of GF. In particular, cyclic voltammetry (CV) and electrochemical impedance spectroscopy (EIS) results showed that the Ta</w:t>
      </w:r>
      <w:r w:rsidRPr="00611283">
        <w:rPr>
          <w:rFonts w:ascii="Times New Roman" w:hAnsi="Times New Roman" w:cs="Times New Roman"/>
          <w:sz w:val="20"/>
          <w:szCs w:val="20"/>
          <w:vertAlign w:val="subscript"/>
        </w:rPr>
        <w:t>2</w:t>
      </w:r>
      <w:r w:rsidRPr="00611283">
        <w:rPr>
          <w:rFonts w:ascii="Times New Roman" w:hAnsi="Times New Roman" w:cs="Times New Roman"/>
          <w:sz w:val="20"/>
          <w:szCs w:val="20"/>
        </w:rPr>
        <w:t>O</w:t>
      </w:r>
      <w:r w:rsidRPr="00611283">
        <w:rPr>
          <w:rFonts w:ascii="Times New Roman" w:hAnsi="Times New Roman" w:cs="Times New Roman"/>
          <w:sz w:val="20"/>
          <w:szCs w:val="20"/>
          <w:vertAlign w:val="subscript"/>
        </w:rPr>
        <w:t>5</w:t>
      </w:r>
      <w:r w:rsidRPr="00611283">
        <w:rPr>
          <w:rFonts w:ascii="Times New Roman" w:hAnsi="Times New Roman" w:cs="Times New Roman"/>
          <w:sz w:val="20"/>
          <w:szCs w:val="20"/>
        </w:rPr>
        <w:t>-GF nanocomposite electrode with weight percentage of Ta</w:t>
      </w:r>
      <w:r w:rsidRPr="00611283">
        <w:rPr>
          <w:rFonts w:ascii="Times New Roman" w:hAnsi="Times New Roman" w:cs="Times New Roman"/>
          <w:sz w:val="20"/>
          <w:szCs w:val="20"/>
          <w:vertAlign w:val="subscript"/>
        </w:rPr>
        <w:t>2</w:t>
      </w:r>
      <w:r w:rsidRPr="00611283">
        <w:rPr>
          <w:rFonts w:ascii="Times New Roman" w:hAnsi="Times New Roman" w:cs="Times New Roman"/>
          <w:sz w:val="20"/>
          <w:szCs w:val="20"/>
        </w:rPr>
        <w:t>O</w:t>
      </w:r>
      <w:r w:rsidRPr="00611283">
        <w:rPr>
          <w:rFonts w:ascii="Times New Roman" w:hAnsi="Times New Roman" w:cs="Times New Roman"/>
          <w:sz w:val="20"/>
          <w:szCs w:val="20"/>
          <w:vertAlign w:val="subscript"/>
        </w:rPr>
        <w:t>5</w:t>
      </w:r>
      <w:r w:rsidRPr="00611283">
        <w:rPr>
          <w:rFonts w:ascii="Times New Roman" w:hAnsi="Times New Roman" w:cs="Times New Roman"/>
          <w:sz w:val="20"/>
          <w:szCs w:val="20"/>
        </w:rPr>
        <w:t xml:space="preserve"> to GF of 0.75 wt% exhibited the best electrochemical activity and reversibility toward the VO</w:t>
      </w:r>
      <w:r w:rsidRPr="00611283">
        <w:rPr>
          <w:rFonts w:ascii="Times New Roman" w:hAnsi="Times New Roman" w:cs="Times New Roman"/>
          <w:sz w:val="20"/>
          <w:szCs w:val="20"/>
          <w:vertAlign w:val="subscript"/>
        </w:rPr>
        <w:t>2</w:t>
      </w:r>
      <w:r w:rsidRPr="00611283">
        <w:rPr>
          <w:rFonts w:ascii="Times New Roman" w:hAnsi="Times New Roman" w:cs="Times New Roman"/>
          <w:sz w:val="20"/>
          <w:szCs w:val="20"/>
          <w:vertAlign w:val="superscript"/>
        </w:rPr>
        <w:t>+</w:t>
      </w:r>
      <w:r w:rsidRPr="00611283">
        <w:rPr>
          <w:rFonts w:ascii="Times New Roman" w:hAnsi="Times New Roman" w:cs="Times New Roman"/>
          <w:sz w:val="20"/>
          <w:szCs w:val="20"/>
        </w:rPr>
        <w:t>/VO</w:t>
      </w:r>
      <w:r w:rsidRPr="00611283">
        <w:rPr>
          <w:rFonts w:ascii="Times New Roman" w:hAnsi="Times New Roman" w:cs="Times New Roman"/>
          <w:sz w:val="20"/>
          <w:szCs w:val="20"/>
          <w:vertAlign w:val="superscript"/>
        </w:rPr>
        <w:t>2+</w:t>
      </w:r>
      <w:r w:rsidRPr="00611283">
        <w:rPr>
          <w:rFonts w:ascii="Times New Roman" w:hAnsi="Times New Roman" w:cs="Times New Roman"/>
          <w:sz w:val="20"/>
          <w:szCs w:val="20"/>
        </w:rPr>
        <w:t xml:space="preserve"> redox reaction, when compared with the other electrodes. The corresponding energy efficiency was enhanced by </w:t>
      </w:r>
      <m:oMath>
        <m:r>
          <w:rPr>
            <w:rFonts w:ascii="Cambria Math" w:hAnsi="Cambria Math" w:cs="Times New Roman"/>
            <w:sz w:val="20"/>
            <w:szCs w:val="20"/>
          </w:rPr>
          <m:t>~</m:t>
        </m:r>
      </m:oMath>
      <w:r w:rsidRPr="00611283">
        <w:rPr>
          <w:rFonts w:ascii="Times New Roman" w:hAnsi="Times New Roman" w:cs="Times New Roman"/>
          <w:sz w:val="20"/>
          <w:szCs w:val="20"/>
        </w:rPr>
        <w:t xml:space="preserve"> 9% at a current density of 80 mA cm</w:t>
      </w:r>
      <w:r w:rsidRPr="00611283">
        <w:rPr>
          <w:rFonts w:ascii="Times New Roman" w:hAnsi="Times New Roman" w:cs="Times New Roman"/>
          <w:sz w:val="20"/>
          <w:szCs w:val="20"/>
          <w:vertAlign w:val="superscript"/>
        </w:rPr>
        <w:t>−2</w:t>
      </w:r>
      <w:r w:rsidRPr="00611283">
        <w:rPr>
          <w:rFonts w:ascii="Times New Roman" w:hAnsi="Times New Roman" w:cs="Times New Roman"/>
          <w:sz w:val="20"/>
          <w:szCs w:val="20"/>
        </w:rPr>
        <w:t>, as compared with untreated GF. Furthermore, the charge–discharge</w:t>
      </w:r>
    </w:p>
    <w:p w:rsidR="003B494B" w:rsidRPr="00611283" w:rsidRDefault="003B494B" w:rsidP="003B494B">
      <w:pPr>
        <w:spacing w:line="360" w:lineRule="auto"/>
        <w:jc w:val="both"/>
        <w:rPr>
          <w:rFonts w:ascii="Times New Roman" w:hAnsi="Times New Roman" w:cs="Times New Roman"/>
          <w:sz w:val="20"/>
          <w:szCs w:val="20"/>
          <w:lang w:eastAsia="zh-TW"/>
        </w:rPr>
      </w:pPr>
      <w:r w:rsidRPr="00611283">
        <w:rPr>
          <w:rFonts w:ascii="Times New Roman" w:hAnsi="Times New Roman" w:cs="Times New Roman"/>
          <w:sz w:val="20"/>
          <w:szCs w:val="20"/>
        </w:rPr>
        <w:t xml:space="preserve"> stability test with 0.75 wt% Ta</w:t>
      </w:r>
      <w:r w:rsidRPr="00611283">
        <w:rPr>
          <w:rFonts w:ascii="Times New Roman" w:hAnsi="Times New Roman" w:cs="Times New Roman"/>
          <w:sz w:val="20"/>
          <w:szCs w:val="20"/>
          <w:vertAlign w:val="subscript"/>
        </w:rPr>
        <w:t>2</w:t>
      </w:r>
      <w:r w:rsidRPr="00611283">
        <w:rPr>
          <w:rFonts w:ascii="Times New Roman" w:hAnsi="Times New Roman" w:cs="Times New Roman"/>
          <w:sz w:val="20"/>
          <w:szCs w:val="20"/>
        </w:rPr>
        <w:t>O</w:t>
      </w:r>
      <w:r w:rsidRPr="00611283">
        <w:rPr>
          <w:rFonts w:ascii="Times New Roman" w:hAnsi="Times New Roman" w:cs="Times New Roman"/>
          <w:sz w:val="20"/>
          <w:szCs w:val="20"/>
          <w:vertAlign w:val="subscript"/>
        </w:rPr>
        <w:t>5</w:t>
      </w:r>
      <w:r w:rsidRPr="00611283">
        <w:rPr>
          <w:rFonts w:ascii="Times New Roman" w:hAnsi="Times New Roman" w:cs="Times New Roman"/>
          <w:sz w:val="20"/>
          <w:szCs w:val="20"/>
        </w:rPr>
        <w:t>-GF electrode at 80 mA cm</w:t>
      </w:r>
      <w:r w:rsidRPr="00611283">
        <w:rPr>
          <w:rFonts w:ascii="Times New Roman" w:hAnsi="Times New Roman" w:cs="Times New Roman"/>
          <w:sz w:val="20"/>
          <w:szCs w:val="20"/>
          <w:vertAlign w:val="superscript"/>
        </w:rPr>
        <w:t xml:space="preserve">−2 </w:t>
      </w:r>
      <w:r w:rsidRPr="00611283">
        <w:rPr>
          <w:rFonts w:ascii="Times New Roman" w:hAnsi="Times New Roman" w:cs="Times New Roman"/>
          <w:sz w:val="20"/>
          <w:szCs w:val="20"/>
        </w:rPr>
        <w:t xml:space="preserve">showed that after 100 cycles, there was no obvious attenuation of efficiencies signifying, the best stability of </w:t>
      </w:r>
      <w:r w:rsidRPr="00611283">
        <w:rPr>
          <w:rFonts w:ascii="Times New Roman" w:hAnsi="Times New Roman" w:cs="Times New Roman" w:hint="eastAsia"/>
          <w:sz w:val="20"/>
          <w:szCs w:val="20"/>
          <w:lang w:eastAsia="zh-TW"/>
        </w:rPr>
        <w:t>Ta</w:t>
      </w:r>
      <w:r w:rsidRPr="00611283">
        <w:rPr>
          <w:rFonts w:ascii="Times New Roman" w:hAnsi="Times New Roman" w:cs="Times New Roman" w:hint="eastAsia"/>
          <w:sz w:val="20"/>
          <w:szCs w:val="20"/>
          <w:vertAlign w:val="subscript"/>
          <w:lang w:eastAsia="zh-TW"/>
        </w:rPr>
        <w:t>2</w:t>
      </w:r>
      <w:r w:rsidRPr="00611283">
        <w:rPr>
          <w:rFonts w:ascii="Times New Roman" w:hAnsi="Times New Roman" w:cs="Times New Roman" w:hint="eastAsia"/>
          <w:sz w:val="20"/>
          <w:szCs w:val="20"/>
          <w:lang w:eastAsia="zh-TW"/>
        </w:rPr>
        <w:t>O</w:t>
      </w:r>
      <w:r w:rsidRPr="00611283">
        <w:rPr>
          <w:rFonts w:ascii="Times New Roman" w:hAnsi="Times New Roman" w:cs="Times New Roman" w:hint="eastAsia"/>
          <w:sz w:val="20"/>
          <w:szCs w:val="20"/>
          <w:vertAlign w:val="subscript"/>
          <w:lang w:eastAsia="zh-TW"/>
        </w:rPr>
        <w:t>5</w:t>
      </w:r>
      <w:r w:rsidRPr="00611283">
        <w:rPr>
          <w:rFonts w:ascii="Times New Roman" w:hAnsi="Times New Roman" w:cs="Times New Roman" w:hint="eastAsia"/>
          <w:sz w:val="20"/>
          <w:szCs w:val="20"/>
          <w:lang w:eastAsia="zh-TW"/>
        </w:rPr>
        <w:t xml:space="preserve"> nanoparticles</w:t>
      </w:r>
      <w:r w:rsidRPr="00611283">
        <w:rPr>
          <w:rFonts w:ascii="Times New Roman" w:hAnsi="Times New Roman" w:cs="Times New Roman"/>
          <w:sz w:val="20"/>
          <w:szCs w:val="20"/>
        </w:rPr>
        <w:t xml:space="preserve"> which strongly adhered on the GF surface. </w:t>
      </w:r>
    </w:p>
    <w:p w:rsidR="00611283" w:rsidRPr="00611283" w:rsidRDefault="00611283" w:rsidP="00611283">
      <w:pPr>
        <w:pStyle w:val="Heading3"/>
        <w:spacing w:before="74" w:line="360" w:lineRule="auto"/>
        <w:ind w:left="0"/>
        <w:rPr>
          <w:rFonts w:ascii="Times New Roman" w:hAnsi="Times New Roman" w:cs="Times New Roman"/>
        </w:rPr>
      </w:pPr>
    </w:p>
    <w:p w:rsidR="00AE3E37" w:rsidRDefault="00AE3E37">
      <w:pPr>
        <w:pStyle w:val="BodyText"/>
        <w:spacing w:before="2"/>
        <w:rPr>
          <w:rFonts w:ascii="Arial"/>
          <w:b/>
          <w:sz w:val="16"/>
        </w:rPr>
      </w:pPr>
    </w:p>
    <w:p w:rsidR="00F11868" w:rsidRDefault="00E2267C" w:rsidP="00F11868">
      <w:pPr>
        <w:pStyle w:val="Heading3"/>
        <w:spacing w:before="74" w:line="360" w:lineRule="auto"/>
        <w:ind w:left="0"/>
        <w:rPr>
          <w:rFonts w:ascii="Times New Roman" w:hAnsi="Times New Roman" w:cs="Times New Roman"/>
        </w:rPr>
      </w:pPr>
      <w:r>
        <w:rPr>
          <w:b w:val="0"/>
          <w:color w:val="BF5A14"/>
        </w:rPr>
        <w:br/>
      </w:r>
      <w:r w:rsidR="00F11868">
        <w:rPr>
          <w:rFonts w:ascii="Times New Roman" w:hAnsi="Times New Roman" w:cs="Times New Roman"/>
        </w:rPr>
        <w:t xml:space="preserve"> </w:t>
      </w:r>
    </w:p>
    <w:p w:rsidR="00F11868" w:rsidRPr="00F11868" w:rsidRDefault="00F11868" w:rsidP="00F11868">
      <w:pPr>
        <w:pStyle w:val="Heading3"/>
        <w:spacing w:before="74" w:line="360" w:lineRule="auto"/>
        <w:ind w:left="0"/>
        <w:jc w:val="center"/>
      </w:pPr>
      <w:r w:rsidRPr="00F11868">
        <w:lastRenderedPageBreak/>
        <w:t>Image</w:t>
      </w:r>
    </w:p>
    <w:p w:rsidR="00F11868" w:rsidRDefault="00F11868" w:rsidP="00E2267C">
      <w:pPr>
        <w:spacing w:line="360" w:lineRule="auto"/>
        <w:jc w:val="both"/>
        <w:rPr>
          <w:rFonts w:ascii="Times New Roman" w:hAnsi="Times New Roman" w:cs="Times New Roman"/>
          <w:b/>
          <w:sz w:val="20"/>
        </w:rPr>
      </w:pPr>
    </w:p>
    <w:p w:rsidR="00F11868" w:rsidRDefault="00AE5803" w:rsidP="00E2267C">
      <w:pPr>
        <w:spacing w:line="360" w:lineRule="auto"/>
        <w:jc w:val="both"/>
        <w:rPr>
          <w:rFonts w:ascii="Times New Roman" w:hAnsi="Times New Roman" w:cs="Times New Roman"/>
          <w:b/>
          <w:sz w:val="20"/>
        </w:rPr>
      </w:pPr>
      <w:r w:rsidRPr="00790A88">
        <w:rPr>
          <w:rFonts w:ascii="Times New Roman" w:eastAsia="Times New Roman" w:hAnsi="Times New Roman" w:cs="Times New Roman"/>
          <w:b/>
          <w:bCs/>
          <w:noProof/>
          <w:sz w:val="28"/>
          <w:szCs w:val="28"/>
          <w:lang w:eastAsia="zh-TW"/>
        </w:rPr>
        <w:drawing>
          <wp:anchor distT="0" distB="0" distL="114300" distR="114300" simplePos="0" relativeHeight="251658240" behindDoc="1" locked="0" layoutInCell="1" allowOverlap="1" wp14:anchorId="2ADD1494" wp14:editId="7E6B454F">
            <wp:simplePos x="0" y="0"/>
            <wp:positionH relativeFrom="column">
              <wp:posOffset>160020</wp:posOffset>
            </wp:positionH>
            <wp:positionV relativeFrom="paragraph">
              <wp:posOffset>-132907</wp:posOffset>
            </wp:positionV>
            <wp:extent cx="3165475" cy="1499235"/>
            <wp:effectExtent l="0" t="0" r="0" b="5715"/>
            <wp:wrapTight wrapText="bothSides">
              <wp:wrapPolygon edited="0">
                <wp:start x="1950" y="0"/>
                <wp:lineTo x="1300" y="1647"/>
                <wp:lineTo x="1040" y="3294"/>
                <wp:lineTo x="1300" y="4391"/>
                <wp:lineTo x="0" y="6587"/>
                <wp:lineTo x="0" y="12900"/>
                <wp:lineTo x="130" y="16193"/>
                <wp:lineTo x="7929" y="17565"/>
                <wp:lineTo x="7929" y="21408"/>
                <wp:lineTo x="8709" y="21408"/>
                <wp:lineTo x="10529" y="17840"/>
                <wp:lineTo x="20018" y="17291"/>
                <wp:lineTo x="21448" y="15919"/>
                <wp:lineTo x="21448" y="1921"/>
                <wp:lineTo x="20538" y="1921"/>
                <wp:lineTo x="3900" y="0"/>
                <wp:lineTo x="195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2.tif"/>
                    <pic:cNvPicPr/>
                  </pic:nvPicPr>
                  <pic:blipFill rotWithShape="1">
                    <a:blip r:embed="rId9" cstate="print">
                      <a:extLst>
                        <a:ext uri="{28A0092B-C50C-407E-A947-70E740481C1C}">
                          <a14:useLocalDpi xmlns:a14="http://schemas.microsoft.com/office/drawing/2010/main" val="0"/>
                        </a:ext>
                      </a:extLst>
                    </a:blip>
                    <a:srcRect r="4296"/>
                    <a:stretch/>
                  </pic:blipFill>
                  <pic:spPr bwMode="auto">
                    <a:xfrm>
                      <a:off x="0" y="0"/>
                      <a:ext cx="3165475" cy="1499235"/>
                    </a:xfrm>
                    <a:prstGeom prst="rect">
                      <a:avLst/>
                    </a:prstGeom>
                    <a:ln>
                      <a:noFill/>
                    </a:ln>
                    <a:extLst>
                      <a:ext uri="{53640926-AAD7-44D8-BBD7-CCE9431645EC}">
                        <a14:shadowObscured xmlns:a14="http://schemas.microsoft.com/office/drawing/2010/main"/>
                      </a:ext>
                    </a:extLst>
                  </pic:spPr>
                </pic:pic>
              </a:graphicData>
            </a:graphic>
          </wp:anchor>
        </w:drawing>
      </w:r>
    </w:p>
    <w:p w:rsidR="00F11868" w:rsidRDefault="00F11868" w:rsidP="00E2267C">
      <w:pPr>
        <w:spacing w:line="360" w:lineRule="auto"/>
        <w:jc w:val="both"/>
        <w:rPr>
          <w:rFonts w:ascii="Times New Roman" w:hAnsi="Times New Roman" w:cs="Times New Roman"/>
          <w:b/>
          <w:sz w:val="20"/>
        </w:rPr>
      </w:pPr>
      <w:bookmarkStart w:id="0" w:name="_GoBack"/>
      <w:bookmarkEnd w:id="0"/>
    </w:p>
    <w:p w:rsidR="005973B9" w:rsidRPr="00E2267C" w:rsidRDefault="00E2267C" w:rsidP="00E2267C">
      <w:pPr>
        <w:spacing w:line="360" w:lineRule="auto"/>
        <w:jc w:val="both"/>
        <w:rPr>
          <w:rFonts w:ascii="Times New Roman" w:hAnsi="Times New Roman" w:cs="Times New Roman"/>
          <w:b/>
          <w:sz w:val="20"/>
        </w:rPr>
      </w:pPr>
      <w:r w:rsidRPr="00E2267C">
        <w:rPr>
          <w:rFonts w:ascii="Times New Roman" w:hAnsi="Times New Roman" w:cs="Times New Roman"/>
          <w:b/>
          <w:sz w:val="20"/>
        </w:rPr>
        <w:t xml:space="preserve">Recent Publications </w:t>
      </w:r>
    </w:p>
    <w:p w:rsidR="00F11868" w:rsidRPr="00F11868" w:rsidRDefault="00F11868" w:rsidP="00F11868">
      <w:pPr>
        <w:pStyle w:val="EndNoteBibliography"/>
        <w:numPr>
          <w:ilvl w:val="0"/>
          <w:numId w:val="4"/>
        </w:numPr>
        <w:spacing w:after="0" w:line="360" w:lineRule="auto"/>
        <w:jc w:val="both"/>
        <w:rPr>
          <w:rFonts w:ascii="Times New Roman" w:hAnsi="Times New Roman" w:cs="Times New Roman"/>
          <w:sz w:val="20"/>
          <w:szCs w:val="20"/>
        </w:rPr>
      </w:pPr>
      <w:r w:rsidRPr="00F11868">
        <w:rPr>
          <w:rFonts w:ascii="Times New Roman" w:hAnsi="Times New Roman" w:cs="Times New Roman"/>
          <w:sz w:val="20"/>
          <w:szCs w:val="20"/>
        </w:rPr>
        <w:t xml:space="preserve">Ponce de León, C.; Frías-Ferrer, A.; González-García, J.; Szánto, D. A.; Walsh, F. C., Redox flow cells for energy conversion. </w:t>
      </w:r>
      <w:r w:rsidRPr="00F11868">
        <w:rPr>
          <w:rFonts w:ascii="Times New Roman" w:hAnsi="Times New Roman" w:cs="Times New Roman"/>
          <w:i/>
          <w:sz w:val="20"/>
          <w:szCs w:val="20"/>
        </w:rPr>
        <w:t xml:space="preserve">J. Power Sources </w:t>
      </w:r>
      <w:r w:rsidRPr="00F11868">
        <w:rPr>
          <w:rFonts w:ascii="Times New Roman" w:hAnsi="Times New Roman" w:cs="Times New Roman"/>
          <w:b/>
          <w:sz w:val="20"/>
          <w:szCs w:val="20"/>
        </w:rPr>
        <w:t>2006,</w:t>
      </w:r>
      <w:r w:rsidRPr="00F11868">
        <w:rPr>
          <w:rFonts w:ascii="Times New Roman" w:hAnsi="Times New Roman" w:cs="Times New Roman"/>
          <w:sz w:val="20"/>
          <w:szCs w:val="20"/>
        </w:rPr>
        <w:t xml:space="preserve"> </w:t>
      </w:r>
      <w:r w:rsidRPr="00F11868">
        <w:rPr>
          <w:rFonts w:ascii="Times New Roman" w:hAnsi="Times New Roman" w:cs="Times New Roman"/>
          <w:i/>
          <w:sz w:val="20"/>
          <w:szCs w:val="20"/>
        </w:rPr>
        <w:t>160</w:t>
      </w:r>
      <w:r w:rsidRPr="00F11868">
        <w:rPr>
          <w:rFonts w:ascii="Times New Roman" w:hAnsi="Times New Roman" w:cs="Times New Roman"/>
          <w:sz w:val="20"/>
          <w:szCs w:val="20"/>
        </w:rPr>
        <w:t xml:space="preserve"> (1), 716-732.</w:t>
      </w:r>
    </w:p>
    <w:p w:rsidR="00F11868" w:rsidRPr="00F11868" w:rsidRDefault="00F11868" w:rsidP="00F11868">
      <w:pPr>
        <w:pStyle w:val="EndNoteBibliography"/>
        <w:numPr>
          <w:ilvl w:val="0"/>
          <w:numId w:val="4"/>
        </w:numPr>
        <w:spacing w:after="0" w:line="360" w:lineRule="auto"/>
        <w:jc w:val="both"/>
        <w:rPr>
          <w:rFonts w:ascii="Times New Roman" w:hAnsi="Times New Roman" w:cs="Times New Roman"/>
          <w:sz w:val="20"/>
          <w:szCs w:val="20"/>
        </w:rPr>
      </w:pPr>
      <w:r w:rsidRPr="00F11868">
        <w:rPr>
          <w:rFonts w:ascii="Times New Roman" w:hAnsi="Times New Roman" w:cs="Times New Roman"/>
          <w:sz w:val="20"/>
          <w:szCs w:val="20"/>
        </w:rPr>
        <w:t xml:space="preserve">Yang, Z.; Zhang, J.; Kintner-Meyer, M. C.; Lu, X.; Choi, D.; Lemmon, J. P.; Liu, J., Electrochemical energy storage for green grid. </w:t>
      </w:r>
      <w:r w:rsidRPr="00F11868">
        <w:rPr>
          <w:rFonts w:ascii="Times New Roman" w:hAnsi="Times New Roman" w:cs="Times New Roman"/>
          <w:i/>
          <w:sz w:val="20"/>
          <w:szCs w:val="20"/>
        </w:rPr>
        <w:t xml:space="preserve">Chem Rev </w:t>
      </w:r>
      <w:r w:rsidRPr="00F11868">
        <w:rPr>
          <w:rFonts w:ascii="Times New Roman" w:hAnsi="Times New Roman" w:cs="Times New Roman"/>
          <w:b/>
          <w:sz w:val="20"/>
          <w:szCs w:val="20"/>
        </w:rPr>
        <w:t>2011,</w:t>
      </w:r>
      <w:r w:rsidRPr="00F11868">
        <w:rPr>
          <w:rFonts w:ascii="Times New Roman" w:hAnsi="Times New Roman" w:cs="Times New Roman"/>
          <w:sz w:val="20"/>
          <w:szCs w:val="20"/>
        </w:rPr>
        <w:t xml:space="preserve"> </w:t>
      </w:r>
      <w:r w:rsidRPr="00F11868">
        <w:rPr>
          <w:rFonts w:ascii="Times New Roman" w:hAnsi="Times New Roman" w:cs="Times New Roman"/>
          <w:i/>
          <w:sz w:val="20"/>
          <w:szCs w:val="20"/>
        </w:rPr>
        <w:t>111</w:t>
      </w:r>
      <w:r w:rsidRPr="00F11868">
        <w:rPr>
          <w:rFonts w:ascii="Times New Roman" w:hAnsi="Times New Roman" w:cs="Times New Roman"/>
          <w:sz w:val="20"/>
          <w:szCs w:val="20"/>
        </w:rPr>
        <w:t xml:space="preserve"> (5), 3577-613.</w:t>
      </w:r>
    </w:p>
    <w:p w:rsidR="00F11868" w:rsidRPr="00F11868" w:rsidRDefault="00F11868" w:rsidP="00F11868">
      <w:pPr>
        <w:pStyle w:val="EndNoteBibliography"/>
        <w:numPr>
          <w:ilvl w:val="0"/>
          <w:numId w:val="4"/>
        </w:numPr>
        <w:spacing w:after="0" w:line="360" w:lineRule="auto"/>
        <w:jc w:val="both"/>
        <w:rPr>
          <w:rFonts w:ascii="Times New Roman" w:hAnsi="Times New Roman" w:cs="Times New Roman"/>
          <w:sz w:val="20"/>
          <w:szCs w:val="20"/>
        </w:rPr>
      </w:pPr>
      <w:r w:rsidRPr="00F11868">
        <w:rPr>
          <w:rFonts w:ascii="Times New Roman" w:hAnsi="Times New Roman" w:cs="Times New Roman"/>
          <w:sz w:val="20"/>
          <w:szCs w:val="20"/>
        </w:rPr>
        <w:t xml:space="preserve">Larcher, D.; Tarascon, J. M., Towards greener and more sustainable batteries for electrical energy storage. </w:t>
      </w:r>
      <w:r w:rsidRPr="00F11868">
        <w:rPr>
          <w:rFonts w:ascii="Times New Roman" w:hAnsi="Times New Roman" w:cs="Times New Roman"/>
          <w:i/>
          <w:sz w:val="20"/>
          <w:szCs w:val="20"/>
        </w:rPr>
        <w:t xml:space="preserve">Nat Chem </w:t>
      </w:r>
      <w:r w:rsidRPr="00F11868">
        <w:rPr>
          <w:rFonts w:ascii="Times New Roman" w:hAnsi="Times New Roman" w:cs="Times New Roman"/>
          <w:b/>
          <w:sz w:val="20"/>
          <w:szCs w:val="20"/>
        </w:rPr>
        <w:t>2015,</w:t>
      </w:r>
      <w:r w:rsidRPr="00F11868">
        <w:rPr>
          <w:rFonts w:ascii="Times New Roman" w:hAnsi="Times New Roman" w:cs="Times New Roman"/>
          <w:sz w:val="20"/>
          <w:szCs w:val="20"/>
        </w:rPr>
        <w:t xml:space="preserve"> </w:t>
      </w:r>
      <w:r w:rsidRPr="00F11868">
        <w:rPr>
          <w:rFonts w:ascii="Times New Roman" w:hAnsi="Times New Roman" w:cs="Times New Roman"/>
          <w:i/>
          <w:sz w:val="20"/>
          <w:szCs w:val="20"/>
        </w:rPr>
        <w:t>7</w:t>
      </w:r>
      <w:r w:rsidRPr="00F11868">
        <w:rPr>
          <w:rFonts w:ascii="Times New Roman" w:hAnsi="Times New Roman" w:cs="Times New Roman"/>
          <w:sz w:val="20"/>
          <w:szCs w:val="20"/>
        </w:rPr>
        <w:t xml:space="preserve"> (1), 19-29.</w:t>
      </w:r>
    </w:p>
    <w:p w:rsidR="00F11868" w:rsidRPr="00F11868" w:rsidRDefault="00F11868" w:rsidP="00F11868">
      <w:pPr>
        <w:pStyle w:val="EndNoteBibliography"/>
        <w:numPr>
          <w:ilvl w:val="0"/>
          <w:numId w:val="4"/>
        </w:numPr>
        <w:spacing w:after="0" w:line="360" w:lineRule="auto"/>
        <w:jc w:val="both"/>
        <w:rPr>
          <w:rFonts w:ascii="Times New Roman" w:hAnsi="Times New Roman" w:cs="Times New Roman"/>
          <w:sz w:val="20"/>
          <w:szCs w:val="20"/>
        </w:rPr>
      </w:pPr>
      <w:r w:rsidRPr="00F11868">
        <w:rPr>
          <w:rFonts w:ascii="Times New Roman" w:hAnsi="Times New Roman" w:cs="Times New Roman"/>
          <w:sz w:val="20"/>
          <w:szCs w:val="20"/>
        </w:rPr>
        <w:t xml:space="preserve">Lin, K.; Gómez-Bombarelli, R.; Beh, E. S.; Tong, L.; Chen, Q.; Valle, A.; Aspuru-Guzik, A.; Aziz, M. J.; Gordon, R. G., A redox-flow battery with an alloxazine-based organic electrolyte. </w:t>
      </w:r>
      <w:r w:rsidRPr="00F11868">
        <w:rPr>
          <w:rFonts w:ascii="Times New Roman" w:hAnsi="Times New Roman" w:cs="Times New Roman"/>
          <w:i/>
          <w:sz w:val="20"/>
          <w:szCs w:val="20"/>
        </w:rPr>
        <w:t xml:space="preserve">Nature Energy </w:t>
      </w:r>
      <w:r w:rsidRPr="00F11868">
        <w:rPr>
          <w:rFonts w:ascii="Times New Roman" w:hAnsi="Times New Roman" w:cs="Times New Roman"/>
          <w:b/>
          <w:sz w:val="20"/>
          <w:szCs w:val="20"/>
        </w:rPr>
        <w:t>2016,</w:t>
      </w:r>
      <w:r w:rsidRPr="00F11868">
        <w:rPr>
          <w:rFonts w:ascii="Times New Roman" w:hAnsi="Times New Roman" w:cs="Times New Roman"/>
          <w:sz w:val="20"/>
          <w:szCs w:val="20"/>
        </w:rPr>
        <w:t xml:space="preserve"> </w:t>
      </w:r>
      <w:r w:rsidRPr="00F11868">
        <w:rPr>
          <w:rFonts w:ascii="Times New Roman" w:hAnsi="Times New Roman" w:cs="Times New Roman"/>
          <w:i/>
          <w:sz w:val="20"/>
          <w:szCs w:val="20"/>
        </w:rPr>
        <w:t>1</w:t>
      </w:r>
      <w:r w:rsidRPr="00F11868">
        <w:rPr>
          <w:rFonts w:ascii="Times New Roman" w:hAnsi="Times New Roman" w:cs="Times New Roman"/>
          <w:sz w:val="20"/>
          <w:szCs w:val="20"/>
        </w:rPr>
        <w:t>, 16102.</w:t>
      </w:r>
    </w:p>
    <w:p w:rsidR="00F11868" w:rsidRDefault="00F11868" w:rsidP="00F11868">
      <w:pPr>
        <w:pStyle w:val="EndNoteBibliography"/>
        <w:numPr>
          <w:ilvl w:val="0"/>
          <w:numId w:val="4"/>
        </w:numPr>
        <w:spacing w:after="0" w:line="360" w:lineRule="auto"/>
        <w:jc w:val="both"/>
        <w:rPr>
          <w:rFonts w:ascii="Times New Roman" w:hAnsi="Times New Roman" w:cs="Times New Roman"/>
          <w:sz w:val="20"/>
          <w:szCs w:val="20"/>
        </w:rPr>
      </w:pPr>
      <w:r w:rsidRPr="00F11868">
        <w:rPr>
          <w:rFonts w:ascii="Times New Roman" w:hAnsi="Times New Roman" w:cs="Times New Roman"/>
          <w:sz w:val="20"/>
          <w:szCs w:val="20"/>
        </w:rPr>
        <w:t xml:space="preserve">Brushett, F. R.; Vaughey, J. T.; Jansen, A. N., An All-Organic Non-aqueous Lithium-Ion Redox Flow Battery. </w:t>
      </w:r>
      <w:r w:rsidRPr="00F11868">
        <w:rPr>
          <w:rFonts w:ascii="Times New Roman" w:hAnsi="Times New Roman" w:cs="Times New Roman"/>
          <w:i/>
          <w:sz w:val="20"/>
          <w:szCs w:val="20"/>
        </w:rPr>
        <w:t xml:space="preserve">Advanced Energy Materials </w:t>
      </w:r>
      <w:r w:rsidRPr="00F11868">
        <w:rPr>
          <w:rFonts w:ascii="Times New Roman" w:hAnsi="Times New Roman" w:cs="Times New Roman"/>
          <w:b/>
          <w:sz w:val="20"/>
          <w:szCs w:val="20"/>
        </w:rPr>
        <w:t>2012,</w:t>
      </w:r>
      <w:r w:rsidRPr="00F11868">
        <w:rPr>
          <w:rFonts w:ascii="Times New Roman" w:hAnsi="Times New Roman" w:cs="Times New Roman"/>
          <w:sz w:val="20"/>
          <w:szCs w:val="20"/>
        </w:rPr>
        <w:t xml:space="preserve"> </w:t>
      </w:r>
      <w:r w:rsidRPr="00F11868">
        <w:rPr>
          <w:rFonts w:ascii="Times New Roman" w:hAnsi="Times New Roman" w:cs="Times New Roman"/>
          <w:i/>
          <w:sz w:val="20"/>
          <w:szCs w:val="20"/>
        </w:rPr>
        <w:t>2</w:t>
      </w:r>
      <w:r w:rsidRPr="00F11868">
        <w:rPr>
          <w:rFonts w:ascii="Times New Roman" w:hAnsi="Times New Roman" w:cs="Times New Roman"/>
          <w:sz w:val="20"/>
          <w:szCs w:val="20"/>
        </w:rPr>
        <w:t xml:space="preserve"> (11), 1390-1396.</w:t>
      </w:r>
    </w:p>
    <w:p w:rsidR="00AE5803" w:rsidRPr="00F11868" w:rsidRDefault="00AE5803" w:rsidP="00AE5803">
      <w:pPr>
        <w:pStyle w:val="EndNoteBibliography"/>
        <w:spacing w:after="0" w:line="360" w:lineRule="auto"/>
        <w:jc w:val="both"/>
        <w:rPr>
          <w:rFonts w:ascii="Times New Roman" w:hAnsi="Times New Roman" w:cs="Times New Roman"/>
          <w:sz w:val="20"/>
          <w:szCs w:val="20"/>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zh-TW"/>
        </w:rPr>
        <mc:AlternateContent>
          <mc:Choice Requires="wpg">
            <w:drawing>
              <wp:inline distT="0" distB="0" distL="0" distR="0">
                <wp:extent cx="3975735" cy="25400"/>
                <wp:effectExtent l="0" t="0" r="5715"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ln>
                            <a:headEnd/>
                            <a:tailEnd/>
                          </a:ln>
                          <a:extLst/>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24A7586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Bzo/NrQAIAAEcFAAAOAAAA&#10;AAAAAAAAAAAAAC4CAABkcnMvZTJvRG9jLnhtbFBLAQItABQABgAIAAAAIQDSSW852wAAAAMBAAAP&#10;AAAAAAAAAAAAAAAAAJoEAABkcnMvZG93bnJldi54bWxQSwUGAAAAAAQABADzAAAAog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" strokecolor="#4579b8 [3044]"/>
                <w10:anchorlock/>
              </v:group>
            </w:pict>
          </mc:Fallback>
        </mc:AlternateContent>
      </w:r>
    </w:p>
    <w:p w:rsidR="008D64AF" w:rsidRDefault="008756E6" w:rsidP="00404E5B">
      <w:pPr>
        <w:spacing w:before="92"/>
        <w:ind w:right="4234"/>
        <w:rPr>
          <w:noProof/>
        </w:rPr>
      </w:pPr>
      <w:r>
        <w:rPr>
          <w:noProof/>
        </w:rPr>
        <w:lastRenderedPageBreak/>
        <w:t xml:space="preserve">              </w:t>
      </w:r>
      <w:r w:rsidR="008D64AF" w:rsidRPr="008D64AF">
        <w:rPr>
          <w:noProof/>
          <w:lang w:eastAsia="zh-TW"/>
        </w:rPr>
        <w:drawing>
          <wp:inline distT="0" distB="0" distL="0" distR="0">
            <wp:extent cx="1395663" cy="1515382"/>
            <wp:effectExtent l="0" t="0" r="0" b="8890"/>
            <wp:docPr id="2" name="Picture 2" descr="C:\Users\User\AppData\Local\Temp\28547946_1820066281357396_1574308067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28547946_1820066281357396_1574308067_o.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0636" t="13363"/>
                    <a:stretch/>
                  </pic:blipFill>
                  <pic:spPr bwMode="auto">
                    <a:xfrm>
                      <a:off x="0" y="0"/>
                      <a:ext cx="1400678" cy="1520827"/>
                    </a:xfrm>
                    <a:prstGeom prst="rect">
                      <a:avLst/>
                    </a:prstGeom>
                    <a:noFill/>
                    <a:ln>
                      <a:noFill/>
                    </a:ln>
                    <a:extLst>
                      <a:ext uri="{53640926-AAD7-44D8-BBD7-CCE9431645EC}">
                        <a14:shadowObscured xmlns:a14="http://schemas.microsoft.com/office/drawing/2010/main"/>
                      </a:ext>
                    </a:extLst>
                  </pic:spPr>
                </pic:pic>
              </a:graphicData>
            </a:graphic>
          </wp:inline>
        </w:drawing>
      </w:r>
      <w:r w:rsidR="008D64AF">
        <w:rPr>
          <w:noProof/>
        </w:rPr>
        <w:t xml:space="preserve"> </w:t>
      </w:r>
    </w:p>
    <w:p w:rsidR="00AE3E37" w:rsidRDefault="00A9710C" w:rsidP="008D64AF">
      <w:pPr>
        <w:spacing w:before="92" w:line="360" w:lineRule="auto"/>
        <w:ind w:right="4234"/>
        <w:rPr>
          <w:rFonts w:ascii="Arial"/>
        </w:rPr>
      </w:pPr>
      <w:r w:rsidRPr="008D64AF">
        <w:rPr>
          <w:rFonts w:ascii="Times New Roman" w:hAnsi="Times New Roman" w:cs="Times New Roman"/>
          <w:b/>
          <w:sz w:val="20"/>
          <w:szCs w:val="20"/>
        </w:rPr>
        <w:t>Biography</w:t>
      </w:r>
      <w:r w:rsidR="008D64AF" w:rsidRPr="008D64AF">
        <w:rPr>
          <w:rFonts w:ascii="Times New Roman" w:hAnsi="Times New Roman" w:cs="Times New Roman"/>
          <w:b/>
          <w:sz w:val="20"/>
          <w:szCs w:val="20"/>
        </w:rPr>
        <w:t xml:space="preserve"> </w:t>
      </w:r>
    </w:p>
    <w:p w:rsidR="008D64AF" w:rsidRPr="008D64AF" w:rsidRDefault="008D64AF" w:rsidP="008D64AF">
      <w:pPr>
        <w:autoSpaceDE w:val="0"/>
        <w:autoSpaceDN w:val="0"/>
        <w:adjustRightInd w:val="0"/>
        <w:spacing w:line="360" w:lineRule="auto"/>
        <w:rPr>
          <w:rFonts w:ascii="Times New Roman" w:hAnsi="Times New Roman" w:cs="Times New Roman"/>
          <w:color w:val="231F20"/>
          <w:sz w:val="20"/>
          <w:szCs w:val="20"/>
        </w:rPr>
      </w:pPr>
      <w:r w:rsidRPr="008D64AF">
        <w:rPr>
          <w:rFonts w:ascii="Times New Roman" w:hAnsi="Times New Roman" w:cs="Times New Roman"/>
          <w:sz w:val="20"/>
          <w:szCs w:val="20"/>
        </w:rPr>
        <w:t>Anteneh Wodaje is a lecturer in the School of Chemical and Bio Engineering at Addis Ababa Institute of Technology, Ethiopia. He obtained his MSC degree from Addis Ababa University in 2010 for the studies on Photoelectrochemical Solar Energy Conversion based on Conjugated Polymers. He moved to the National Taiwan University of Science and Technology in 2016 till now for PhD study and extended research work on</w:t>
      </w:r>
      <w:r w:rsidR="00771305">
        <w:rPr>
          <w:rFonts w:ascii="Times New Roman" w:hAnsi="Times New Roman" w:cs="Times New Roman"/>
          <w:sz w:val="20"/>
          <w:szCs w:val="20"/>
        </w:rPr>
        <w:t xml:space="preserve"> </w:t>
      </w:r>
      <w:r w:rsidR="00771305">
        <w:rPr>
          <w:rFonts w:ascii="Times New Roman" w:hAnsi="Times New Roman" w:cs="Times New Roman"/>
          <w:color w:val="231F20"/>
          <w:sz w:val="20"/>
          <w:szCs w:val="20"/>
        </w:rPr>
        <w:t>R</w:t>
      </w:r>
      <w:r w:rsidRPr="008D64AF">
        <w:rPr>
          <w:rFonts w:ascii="Times New Roman" w:hAnsi="Times New Roman" w:cs="Times New Roman"/>
          <w:color w:val="231F20"/>
          <w:sz w:val="20"/>
          <w:szCs w:val="20"/>
        </w:rPr>
        <w:t>ed</w:t>
      </w:r>
      <w:r w:rsidR="00771305">
        <w:rPr>
          <w:rFonts w:ascii="Times New Roman" w:hAnsi="Times New Roman" w:cs="Times New Roman"/>
          <w:color w:val="231F20"/>
          <w:sz w:val="20"/>
          <w:szCs w:val="20"/>
        </w:rPr>
        <w:t>ox Flow Battery S</w:t>
      </w:r>
      <w:r w:rsidRPr="008D64AF">
        <w:rPr>
          <w:rFonts w:ascii="Times New Roman" w:hAnsi="Times New Roman" w:cs="Times New Roman"/>
          <w:color w:val="231F20"/>
          <w:sz w:val="20"/>
          <w:szCs w:val="20"/>
        </w:rPr>
        <w:t>ystems</w:t>
      </w:r>
      <w:r w:rsidRPr="008D64AF">
        <w:rPr>
          <w:rFonts w:ascii="Times New Roman" w:hAnsi="Times New Roman" w:cs="Times New Roman"/>
          <w:sz w:val="20"/>
          <w:szCs w:val="20"/>
        </w:rPr>
        <w:t xml:space="preserve">. </w:t>
      </w:r>
      <w:r w:rsidRPr="008D64AF">
        <w:rPr>
          <w:rFonts w:ascii="Times New Roman" w:hAnsi="Times New Roman" w:cs="Times New Roman"/>
          <w:color w:val="231F20"/>
          <w:sz w:val="20"/>
          <w:szCs w:val="20"/>
        </w:rPr>
        <w:t xml:space="preserve">His research interests are in nanostructured electrode materials for energy systems and electrochemical engineering for energy materials. </w:t>
      </w:r>
    </w:p>
    <w:p w:rsidR="00AE3E37" w:rsidRPr="008D64AF" w:rsidRDefault="00A9710C" w:rsidP="008D64AF">
      <w:pPr>
        <w:spacing w:before="62"/>
        <w:ind w:left="4217" w:right="3040"/>
        <w:jc w:val="center"/>
        <w:rPr>
          <w:rFonts w:ascii="Arial"/>
          <w:sz w:val="20"/>
          <w:szCs w:val="20"/>
        </w:rPr>
      </w:pPr>
      <w:r w:rsidRPr="008D64AF">
        <w:rPr>
          <w:rFonts w:ascii="Arial"/>
          <w:sz w:val="20"/>
          <w:szCs w:val="20"/>
        </w:rPr>
        <w:t xml:space="preserve">Email: </w:t>
      </w:r>
      <w:hyperlink r:id="rId11" w:history="1">
        <w:r w:rsidR="008D64AF" w:rsidRPr="008D64AF">
          <w:rPr>
            <w:rStyle w:val="Hyperlink"/>
            <w:rFonts w:ascii="Arial"/>
            <w:sz w:val="20"/>
            <w:szCs w:val="20"/>
          </w:rPr>
          <w:t>antenehwodaje@gmail.com</w:t>
        </w:r>
      </w:hyperlink>
    </w:p>
    <w:p w:rsidR="00AE3E37" w:rsidRDefault="00292ED9">
      <w:pPr>
        <w:pStyle w:val="BodyText"/>
        <w:spacing w:before="2"/>
        <w:rPr>
          <w:rFonts w:ascii="Arial"/>
          <w:sz w:val="19"/>
        </w:rPr>
      </w:pPr>
      <w:r>
        <w:rPr>
          <w:noProof/>
          <w:lang w:eastAsia="zh-TW"/>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A16DC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4E79" w:rsidRDefault="00944E79">
      <w:r>
        <w:separator/>
      </w:r>
    </w:p>
  </w:endnote>
  <w:endnote w:type="continuationSeparator" w:id="0">
    <w:p w:rsidR="00944E79" w:rsidRDefault="00944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0385822"/>
      <w:docPartObj>
        <w:docPartGallery w:val="Page Numbers (Bottom of Page)"/>
        <w:docPartUnique/>
      </w:docPartObj>
    </w:sdtPr>
    <w:sdtEndPr>
      <w:rPr>
        <w:noProof/>
      </w:rPr>
    </w:sdtEndPr>
    <w:sdtContent>
      <w:p w:rsidR="00771305" w:rsidRDefault="00771305">
        <w:pPr>
          <w:pStyle w:val="Footer"/>
          <w:jc w:val="center"/>
        </w:pPr>
        <w:r>
          <w:fldChar w:fldCharType="begin"/>
        </w:r>
        <w:r>
          <w:instrText xml:space="preserve"> PAGE   \* MERGEFORMAT </w:instrText>
        </w:r>
        <w:r>
          <w:fldChar w:fldCharType="separate"/>
        </w:r>
        <w:r w:rsidR="00C25AC7">
          <w:rPr>
            <w:noProof/>
          </w:rPr>
          <w:t>2</w:t>
        </w:r>
        <w:r>
          <w:rPr>
            <w:noProof/>
          </w:rPr>
          <w:fldChar w:fldCharType="end"/>
        </w:r>
      </w:p>
    </w:sdtContent>
  </w:sdt>
  <w:p w:rsidR="00AE3E37" w:rsidRDefault="00AE3E3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4E79" w:rsidRDefault="00944E79">
      <w:r>
        <w:separator/>
      </w:r>
    </w:p>
  </w:footnote>
  <w:footnote w:type="continuationSeparator" w:id="0">
    <w:p w:rsidR="00944E79" w:rsidRDefault="00944E7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A43342C"/>
    <w:multiLevelType w:val="hybridMultilevel"/>
    <w:tmpl w:val="9530F6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3B494B"/>
    <w:rsid w:val="00404E5B"/>
    <w:rsid w:val="00414F7B"/>
    <w:rsid w:val="004355DC"/>
    <w:rsid w:val="004749B4"/>
    <w:rsid w:val="00494130"/>
    <w:rsid w:val="004973D3"/>
    <w:rsid w:val="004F3523"/>
    <w:rsid w:val="005973B9"/>
    <w:rsid w:val="005B3A56"/>
    <w:rsid w:val="006060CE"/>
    <w:rsid w:val="00611283"/>
    <w:rsid w:val="0063497F"/>
    <w:rsid w:val="00746D5A"/>
    <w:rsid w:val="00771305"/>
    <w:rsid w:val="00873DF0"/>
    <w:rsid w:val="008756E6"/>
    <w:rsid w:val="008A08B6"/>
    <w:rsid w:val="008D64AF"/>
    <w:rsid w:val="00944E79"/>
    <w:rsid w:val="009B2D44"/>
    <w:rsid w:val="009C2E39"/>
    <w:rsid w:val="00A07E82"/>
    <w:rsid w:val="00A9710C"/>
    <w:rsid w:val="00AB5692"/>
    <w:rsid w:val="00AE3E37"/>
    <w:rsid w:val="00AE5803"/>
    <w:rsid w:val="00B21A57"/>
    <w:rsid w:val="00C032CB"/>
    <w:rsid w:val="00C25AC7"/>
    <w:rsid w:val="00C33602"/>
    <w:rsid w:val="00CD6F55"/>
    <w:rsid w:val="00DB3F05"/>
    <w:rsid w:val="00DD15A9"/>
    <w:rsid w:val="00DE3104"/>
    <w:rsid w:val="00E2267C"/>
    <w:rsid w:val="00E26B10"/>
    <w:rsid w:val="00F11868"/>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EE8F2A"/>
  <w15:docId w15:val="{6CD51716-0C25-43B3-83C9-65BB87C66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link w:val="EndNoteBibliographyChar"/>
    <w:rsid w:val="00F11868"/>
    <w:pPr>
      <w:widowControl/>
      <w:spacing w:after="160"/>
    </w:pPr>
    <w:rPr>
      <w:rFonts w:ascii="Calibri" w:eastAsia="PMingLiU" w:hAnsi="Calibri" w:cs="Calibri"/>
      <w:noProof/>
    </w:rPr>
  </w:style>
  <w:style w:type="character" w:customStyle="1" w:styleId="EndNoteBibliographyChar">
    <w:name w:val="EndNote Bibliography Char"/>
    <w:basedOn w:val="DefaultParagraphFont"/>
    <w:link w:val="EndNoteBibliography"/>
    <w:rsid w:val="00F11868"/>
    <w:rPr>
      <w:rFonts w:ascii="Calibri" w:eastAsia="PMingLiU"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ntenehwodaje@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2</Pages>
  <Words>508</Words>
  <Characters>2897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14</cp:revision>
  <dcterms:created xsi:type="dcterms:W3CDTF">2018-02-27T08:18:00Z</dcterms:created>
  <dcterms:modified xsi:type="dcterms:W3CDTF">2018-02-27T11:44:00Z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