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16E8" w:rsidRPr="00855ED6" w:rsidRDefault="00E716E8" w:rsidP="00E716E8">
      <w:pPr>
        <w:spacing w:line="360" w:lineRule="auto"/>
        <w:jc w:val="both"/>
        <w:rPr>
          <w:rFonts w:ascii="Tw Cen MT" w:hAnsi="Tw Cen MT" w:cs="Times New Roman"/>
          <w:b/>
          <w:sz w:val="18"/>
          <w:szCs w:val="18"/>
        </w:rPr>
      </w:pPr>
      <w:r w:rsidRPr="00855ED6">
        <w:rPr>
          <w:rFonts w:ascii="Tw Cen MT" w:hAnsi="Tw Cen MT" w:cs="Times New Roman"/>
          <w:b/>
          <w:sz w:val="18"/>
          <w:szCs w:val="18"/>
        </w:rPr>
        <w:t xml:space="preserve">Anatomy and distribution of extrabranchial putative chemosensory NE cells in air-breathing catfish </w:t>
      </w:r>
      <w:r w:rsidRPr="00855ED6">
        <w:rPr>
          <w:rFonts w:ascii="Tw Cen MT" w:hAnsi="Tw Cen MT" w:cs="Times New Roman"/>
          <w:b/>
          <w:i/>
          <w:sz w:val="18"/>
          <w:szCs w:val="18"/>
        </w:rPr>
        <w:t>Clarias batrachus</w:t>
      </w:r>
      <w:r w:rsidRPr="00855ED6">
        <w:rPr>
          <w:rFonts w:ascii="Tw Cen MT" w:hAnsi="Tw Cen MT" w:cs="Times New Roman"/>
          <w:b/>
          <w:sz w:val="18"/>
          <w:szCs w:val="18"/>
        </w:rPr>
        <w:t xml:space="preserve"> </w:t>
      </w:r>
    </w:p>
    <w:p w:rsidR="00855ED6" w:rsidRPr="00855ED6" w:rsidRDefault="00E716E8" w:rsidP="00855ED6">
      <w:pPr>
        <w:spacing w:line="240" w:lineRule="auto"/>
        <w:jc w:val="both"/>
        <w:rPr>
          <w:rFonts w:ascii="Tw Cen MT" w:hAnsi="Tw Cen MT" w:cs="Times New Roman"/>
          <w:sz w:val="18"/>
          <w:szCs w:val="18"/>
        </w:rPr>
      </w:pPr>
      <w:r w:rsidRPr="00855ED6">
        <w:rPr>
          <w:rFonts w:ascii="Tw Cen MT" w:hAnsi="Tw Cen MT" w:cs="Times New Roman"/>
          <w:sz w:val="18"/>
          <w:szCs w:val="18"/>
        </w:rPr>
        <w:t>Dr Manvendra Sengar</w:t>
      </w:r>
      <w:r w:rsidR="00855ED6">
        <w:rPr>
          <w:rFonts w:ascii="Tw Cen MT" w:hAnsi="Tw Cen MT" w:cs="Times New Roman"/>
          <w:sz w:val="18"/>
          <w:szCs w:val="18"/>
        </w:rPr>
        <w:t xml:space="preserve"> D.Phil. </w:t>
      </w:r>
      <w:r w:rsidR="00855ED6" w:rsidRPr="00855ED6">
        <w:rPr>
          <w:rFonts w:ascii="Tw Cen MT" w:hAnsi="Tw Cen MT" w:cs="Times New Roman"/>
          <w:sz w:val="18"/>
          <w:szCs w:val="18"/>
        </w:rPr>
        <w:t>Bunde</w:t>
      </w:r>
      <w:r w:rsidR="00855ED6">
        <w:rPr>
          <w:rFonts w:ascii="Tw Cen MT" w:hAnsi="Tw Cen MT" w:cs="Times New Roman"/>
          <w:sz w:val="18"/>
          <w:szCs w:val="18"/>
        </w:rPr>
        <w:t xml:space="preserve">lkhand University, </w:t>
      </w:r>
      <w:r w:rsidR="00855ED6" w:rsidRPr="00855ED6">
        <w:rPr>
          <w:rFonts w:ascii="Tw Cen MT" w:hAnsi="Tw Cen MT" w:cs="Times New Roman"/>
          <w:sz w:val="18"/>
          <w:szCs w:val="18"/>
        </w:rPr>
        <w:t>India</w:t>
      </w:r>
    </w:p>
    <w:p w:rsidR="00E716E8" w:rsidRPr="00855ED6" w:rsidRDefault="00E716E8" w:rsidP="00E716E8">
      <w:pPr>
        <w:spacing w:line="240" w:lineRule="auto"/>
        <w:jc w:val="both"/>
        <w:rPr>
          <w:rFonts w:ascii="Tw Cen MT" w:hAnsi="Tw Cen MT" w:cs="Times New Roman"/>
          <w:sz w:val="18"/>
          <w:szCs w:val="18"/>
        </w:rPr>
      </w:pPr>
      <w:r w:rsidRPr="00855ED6">
        <w:rPr>
          <w:rFonts w:ascii="Tw Cen MT" w:hAnsi="Tw Cen MT" w:cs="Times New Roman"/>
          <w:b/>
          <w:sz w:val="18"/>
          <w:szCs w:val="18"/>
        </w:rPr>
        <w:t>Abstract</w:t>
      </w:r>
    </w:p>
    <w:p w:rsidR="00E716E8" w:rsidRPr="00855ED6" w:rsidRDefault="00E716E8" w:rsidP="00E716E8">
      <w:pPr>
        <w:spacing w:line="360" w:lineRule="auto"/>
        <w:jc w:val="both"/>
        <w:rPr>
          <w:rFonts w:ascii="Tw Cen MT" w:hAnsi="Tw Cen MT" w:cs="Times New Roman"/>
          <w:sz w:val="18"/>
          <w:szCs w:val="18"/>
        </w:rPr>
      </w:pPr>
      <w:r w:rsidRPr="00855ED6">
        <w:rPr>
          <w:rFonts w:ascii="Tw Cen MT" w:hAnsi="Tw Cen MT" w:cs="Times New Roman"/>
          <w:sz w:val="18"/>
          <w:szCs w:val="18"/>
        </w:rPr>
        <w:t xml:space="preserve">Since the introduction of the concept of diffused neuroendocrine system (DNES), the amine precursor uptake and decarboxylation (APUD), the paraneuronal system or Triune information Network (TIN), particular attention has been devoted to the study of the anatomical characteristics and functional properties of such a regulatory system within the respiratory organs of mammals and, to some degree other tetrapods. Except the branchial NE cells, almost no interest has been paid to the similar NE cells present  on the other sites, away from the gills in air-breathing fishes, in spite of their presumable importance of being intermediate link for the understanding of evolution of terrestrial breathers from their aquatic precursors. Pseudobranchial NE cells associated with carotid labyrinth (CL), which is known chemosensory organ in amphibians, is recent addition to such extrabranchial sites. To elucidate the ultrastucture of CL and the pseudobranchial NE cells, environmental electron microscope (ESEM) and transmission electron microscope (TEM) were undertaken in air-breathing catfish </w:t>
      </w:r>
      <w:r w:rsidRPr="00855ED6">
        <w:rPr>
          <w:rFonts w:ascii="Tw Cen MT" w:hAnsi="Tw Cen MT" w:cs="Times New Roman"/>
          <w:i/>
          <w:sz w:val="18"/>
          <w:szCs w:val="18"/>
        </w:rPr>
        <w:t>Clarias batrachus</w:t>
      </w:r>
      <w:r w:rsidRPr="00855ED6">
        <w:rPr>
          <w:rFonts w:ascii="Tw Cen MT" w:hAnsi="Tw Cen MT" w:cs="Times New Roman"/>
          <w:sz w:val="18"/>
          <w:szCs w:val="18"/>
        </w:rPr>
        <w:t>. Under ESEM pseudobranchial NE cells observed as cell mass with nerve innervations and supplied with blood capillaries. The CL appeared as conglomeration of blood vessels. The TEM analysis revealed  pear shaped NE cells with discrete sizes of dense cored vesicles (DCVs) in their cytoplasm, numerous mitochondria and axon processes approaching to the neurohemaemal contact site. CL displayed association with pseudobranchial NE cells with vascular channels and smooth muscles.</w:t>
      </w:r>
    </w:p>
    <w:p w:rsidR="00E716E8" w:rsidRDefault="00E716E8" w:rsidP="00E716E8">
      <w:pPr>
        <w:spacing w:line="360" w:lineRule="auto"/>
        <w:jc w:val="both"/>
        <w:rPr>
          <w:rFonts w:ascii="Tw Cen MT" w:hAnsi="Tw Cen MT" w:cs="Times New Roman"/>
          <w:sz w:val="18"/>
          <w:szCs w:val="18"/>
        </w:rPr>
      </w:pPr>
      <w:r w:rsidRPr="00855ED6">
        <w:rPr>
          <w:rFonts w:ascii="Tw Cen MT" w:hAnsi="Tw Cen MT" w:cs="Times New Roman"/>
          <w:sz w:val="18"/>
          <w:szCs w:val="18"/>
        </w:rPr>
        <w:t xml:space="preserve">The peculiar NE cells are described in detail and compared with neuroendocrine cells (NECs) of piscine gill lamellae, </w:t>
      </w:r>
      <w:r w:rsidRPr="00855ED6">
        <w:rPr>
          <w:rFonts w:ascii="Tw Cen MT" w:hAnsi="Tw Cen MT" w:cs="Times New Roman"/>
          <w:sz w:val="18"/>
          <w:szCs w:val="18"/>
        </w:rPr>
        <w:lastRenderedPageBreak/>
        <w:t>glomus cells of amphibians and neuroepithelial bodies (NEBs) of mammals.</w:t>
      </w:r>
    </w:p>
    <w:p w:rsidR="00855ED6" w:rsidRPr="00855ED6" w:rsidRDefault="00A12F14" w:rsidP="0027466C">
      <w:pPr>
        <w:pBdr>
          <w:between w:val="single" w:sz="4" w:space="1" w:color="auto"/>
        </w:pBdr>
        <w:spacing w:line="360" w:lineRule="auto"/>
        <w:jc w:val="both"/>
        <w:rPr>
          <w:rFonts w:ascii="Tw Cen MT" w:hAnsi="Tw Cen MT" w:cs="Times New Roman"/>
          <w:sz w:val="18"/>
          <w:szCs w:val="18"/>
        </w:rPr>
      </w:pPr>
      <w:r>
        <w:rPr>
          <w:rFonts w:ascii="Tw Cen MT" w:hAnsi="Tw Cen MT" w:cs="Times New Roman"/>
          <w:sz w:val="18"/>
          <w:szCs w:val="18"/>
        </w:rPr>
        <w:t xml:space="preserve"> </w:t>
      </w:r>
      <w:r>
        <w:rPr>
          <w:rFonts w:ascii="Calibri"/>
          <w:noProof/>
          <w:sz w:val="4"/>
          <w:lang w:val="en-IN" w:eastAsia="en-IN"/>
        </w:rPr>
        <w:t xml:space="preserve">                                   </w:t>
      </w:r>
      <w:r w:rsidR="00B67597">
        <w:rPr>
          <w:rFonts w:ascii="Calibri"/>
          <w:noProof/>
          <w:sz w:val="4"/>
          <w:lang w:val="en-IN" w:eastAsia="en-IN"/>
        </w:rPr>
        <w:t>b</w:t>
      </w:r>
    </w:p>
    <w:p w:rsidR="00855ED6" w:rsidRDefault="00855ED6" w:rsidP="00855ED6">
      <w:pPr>
        <w:tabs>
          <w:tab w:val="left" w:pos="360"/>
        </w:tabs>
        <w:spacing w:before="200" w:line="240" w:lineRule="auto"/>
        <w:ind w:left="720" w:hanging="720"/>
        <w:jc w:val="both"/>
        <w:rPr>
          <w:b/>
          <w:sz w:val="18"/>
          <w:szCs w:val="18"/>
        </w:rPr>
      </w:pPr>
      <w:r>
        <w:rPr>
          <w:b/>
          <w:sz w:val="18"/>
          <w:szCs w:val="18"/>
        </w:rPr>
        <w:t>R</w:t>
      </w:r>
      <w:r w:rsidR="003C7309">
        <w:rPr>
          <w:b/>
          <w:sz w:val="18"/>
          <w:szCs w:val="18"/>
        </w:rPr>
        <w:t>ecent Publications</w:t>
      </w:r>
    </w:p>
    <w:p w:rsidR="00855ED6" w:rsidRPr="00855ED6" w:rsidRDefault="00855ED6" w:rsidP="00855ED6">
      <w:pPr>
        <w:tabs>
          <w:tab w:val="left" w:pos="360"/>
        </w:tabs>
        <w:spacing w:before="200" w:line="240" w:lineRule="auto"/>
        <w:ind w:left="720" w:hanging="720"/>
        <w:jc w:val="both"/>
        <w:rPr>
          <w:rFonts w:ascii="Calibri" w:eastAsia="Times New Roman" w:hAnsi="Calibri" w:cs="Times New Roman"/>
          <w:sz w:val="18"/>
          <w:szCs w:val="18"/>
        </w:rPr>
      </w:pPr>
      <w:r w:rsidRPr="00855ED6">
        <w:rPr>
          <w:rFonts w:ascii="Calibri" w:eastAsia="Times New Roman" w:hAnsi="Calibri" w:cs="Times New Roman"/>
          <w:b/>
          <w:sz w:val="18"/>
          <w:szCs w:val="18"/>
        </w:rPr>
        <w:t>1-</w:t>
      </w:r>
      <w:r w:rsidRPr="00855ED6">
        <w:rPr>
          <w:rFonts w:ascii="Calibri" w:eastAsia="Times New Roman" w:hAnsi="Calibri" w:cs="Times New Roman"/>
          <w:b/>
          <w:sz w:val="18"/>
          <w:szCs w:val="18"/>
        </w:rPr>
        <w:tab/>
      </w:r>
      <w:r w:rsidRPr="00855ED6">
        <w:rPr>
          <w:rFonts w:ascii="Calibri" w:eastAsia="Times New Roman" w:hAnsi="Calibri" w:cs="Times New Roman"/>
          <w:sz w:val="18"/>
          <w:szCs w:val="18"/>
        </w:rPr>
        <w:t xml:space="preserve">Gopesh. A, </w:t>
      </w:r>
      <w:r w:rsidRPr="00855ED6">
        <w:rPr>
          <w:rFonts w:ascii="Calibri" w:eastAsia="Times New Roman" w:hAnsi="Calibri" w:cs="Times New Roman"/>
          <w:b/>
          <w:sz w:val="18"/>
          <w:szCs w:val="18"/>
        </w:rPr>
        <w:t>Sengar, M.,</w:t>
      </w:r>
      <w:r w:rsidRPr="00855ED6">
        <w:rPr>
          <w:rFonts w:ascii="Calibri" w:eastAsia="Times New Roman" w:hAnsi="Calibri" w:cs="Times New Roman"/>
          <w:sz w:val="18"/>
          <w:szCs w:val="18"/>
        </w:rPr>
        <w:t xml:space="preserve"> Tewari, S. </w:t>
      </w:r>
      <w:r w:rsidRPr="00855ED6">
        <w:rPr>
          <w:rFonts w:ascii="Calibri" w:eastAsia="Times New Roman" w:hAnsi="Calibri" w:cs="Times New Roman"/>
          <w:b/>
          <w:sz w:val="18"/>
          <w:szCs w:val="18"/>
        </w:rPr>
        <w:t>2010</w:t>
      </w:r>
      <w:r w:rsidRPr="00855ED6">
        <w:rPr>
          <w:sz w:val="18"/>
          <w:szCs w:val="18"/>
        </w:rPr>
        <w:t xml:space="preserve">. Presence </w:t>
      </w:r>
      <w:r w:rsidRPr="00855ED6">
        <w:rPr>
          <w:rFonts w:ascii="Calibri" w:eastAsia="Times New Roman" w:hAnsi="Calibri" w:cs="Times New Roman"/>
          <w:sz w:val="18"/>
          <w:szCs w:val="18"/>
        </w:rPr>
        <w:t xml:space="preserve">of paraneuronal pseudobranchial neurosecretory system in the gill region of two air breathing clupeids, </w:t>
      </w:r>
      <w:r w:rsidRPr="00855ED6">
        <w:rPr>
          <w:rFonts w:ascii="Calibri" w:eastAsia="Times New Roman" w:hAnsi="Calibri" w:cs="Times New Roman"/>
          <w:i/>
          <w:iCs/>
          <w:sz w:val="18"/>
          <w:szCs w:val="18"/>
        </w:rPr>
        <w:t>Notopterus chitala</w:t>
      </w:r>
      <w:r w:rsidRPr="00855ED6">
        <w:rPr>
          <w:rFonts w:ascii="Calibri" w:eastAsia="Times New Roman" w:hAnsi="Calibri" w:cs="Times New Roman"/>
          <w:sz w:val="18"/>
          <w:szCs w:val="18"/>
        </w:rPr>
        <w:t xml:space="preserve"> and </w:t>
      </w:r>
      <w:r w:rsidRPr="00855ED6">
        <w:rPr>
          <w:rFonts w:ascii="Calibri" w:eastAsia="Times New Roman" w:hAnsi="Calibri" w:cs="Times New Roman"/>
          <w:i/>
          <w:iCs/>
          <w:sz w:val="18"/>
          <w:szCs w:val="18"/>
        </w:rPr>
        <w:t>Notopterus notopterus</w:t>
      </w:r>
      <w:r w:rsidRPr="00855ED6">
        <w:rPr>
          <w:rFonts w:ascii="Calibri" w:eastAsia="Times New Roman" w:hAnsi="Calibri" w:cs="Times New Roman"/>
          <w:sz w:val="18"/>
          <w:szCs w:val="18"/>
        </w:rPr>
        <w:t xml:space="preserve">. </w:t>
      </w:r>
      <w:r w:rsidRPr="00855ED6">
        <w:rPr>
          <w:rFonts w:ascii="Calibri" w:eastAsia="Times New Roman" w:hAnsi="Calibri" w:cs="Times New Roman"/>
          <w:b/>
          <w:sz w:val="18"/>
          <w:szCs w:val="18"/>
        </w:rPr>
        <w:t>Respiratory Physiology &amp; Neurobiology (Elsevier)</w:t>
      </w:r>
      <w:r w:rsidRPr="00855ED6">
        <w:rPr>
          <w:rFonts w:ascii="Calibri" w:eastAsia="Times New Roman" w:hAnsi="Calibri" w:cs="Times New Roman"/>
          <w:sz w:val="18"/>
          <w:szCs w:val="18"/>
        </w:rPr>
        <w:t xml:space="preserve">. </w:t>
      </w:r>
      <w:r w:rsidRPr="00855ED6">
        <w:rPr>
          <w:rFonts w:ascii="Calibri" w:eastAsia="Times New Roman" w:hAnsi="Calibri" w:cs="Times New Roman"/>
          <w:b/>
          <w:sz w:val="18"/>
          <w:szCs w:val="18"/>
        </w:rPr>
        <w:t>170:135-143</w:t>
      </w:r>
    </w:p>
    <w:p w:rsidR="00855ED6" w:rsidRPr="00855ED6" w:rsidRDefault="00855ED6" w:rsidP="00466BED">
      <w:pPr>
        <w:tabs>
          <w:tab w:val="left" w:pos="360"/>
        </w:tabs>
        <w:autoSpaceDE w:val="0"/>
        <w:autoSpaceDN w:val="0"/>
        <w:adjustRightInd w:val="0"/>
        <w:spacing w:before="200" w:line="240" w:lineRule="auto"/>
        <w:ind w:left="720" w:hanging="720"/>
        <w:jc w:val="both"/>
        <w:rPr>
          <w:rFonts w:ascii="Calibri" w:eastAsia="Times New Roman" w:hAnsi="Calibri" w:cs="Times New Roman"/>
          <w:b/>
          <w:sz w:val="18"/>
          <w:szCs w:val="18"/>
        </w:rPr>
      </w:pPr>
      <w:r w:rsidRPr="00855ED6">
        <w:rPr>
          <w:b/>
          <w:sz w:val="18"/>
          <w:szCs w:val="18"/>
        </w:rPr>
        <w:t>2</w:t>
      </w:r>
      <w:r w:rsidRPr="00855ED6">
        <w:rPr>
          <w:rFonts w:ascii="Calibri" w:eastAsia="Times New Roman" w:hAnsi="Calibri" w:cs="Times New Roman"/>
          <w:b/>
          <w:sz w:val="18"/>
          <w:szCs w:val="18"/>
        </w:rPr>
        <w:t>-</w:t>
      </w:r>
      <w:r w:rsidRPr="00855ED6">
        <w:rPr>
          <w:rFonts w:ascii="Calibri" w:eastAsia="Times New Roman" w:hAnsi="Calibri" w:cs="Times New Roman"/>
          <w:b/>
          <w:sz w:val="18"/>
          <w:szCs w:val="18"/>
        </w:rPr>
        <w:tab/>
      </w:r>
      <w:r w:rsidRPr="00855ED6">
        <w:rPr>
          <w:rFonts w:ascii="Calibri" w:eastAsia="Times New Roman" w:hAnsi="Calibri" w:cs="Times New Roman"/>
          <w:bCs/>
          <w:sz w:val="18"/>
          <w:szCs w:val="18"/>
        </w:rPr>
        <w:t xml:space="preserve">Daniele  Zaccone, </w:t>
      </w:r>
      <w:r w:rsidRPr="00855ED6">
        <w:rPr>
          <w:rFonts w:ascii="Calibri" w:eastAsia="Times New Roman" w:hAnsi="Calibri" w:cs="Times New Roman"/>
          <w:b/>
          <w:bCs/>
          <w:sz w:val="18"/>
          <w:szCs w:val="18"/>
        </w:rPr>
        <w:t>Manvendra  Sengar</w:t>
      </w:r>
      <w:r w:rsidRPr="00855ED6">
        <w:rPr>
          <w:rFonts w:ascii="Calibri" w:eastAsia="Times New Roman" w:hAnsi="Calibri" w:cs="Times New Roman"/>
          <w:bCs/>
          <w:sz w:val="18"/>
          <w:szCs w:val="18"/>
        </w:rPr>
        <w:t xml:space="preserve">, Eugenia R. Lauriano, Simona  Pergolizzi, Francesco Macri’, Lorenza Salpietro, Angelo Favaloro, Leszek Satora, Konrad Dabrowski, Giacomo Zaccone. </w:t>
      </w:r>
      <w:r w:rsidRPr="00855ED6">
        <w:rPr>
          <w:rFonts w:ascii="Calibri" w:eastAsia="Times New Roman" w:hAnsi="Calibri" w:cs="Times New Roman"/>
          <w:b/>
          <w:bCs/>
          <w:sz w:val="18"/>
          <w:szCs w:val="18"/>
        </w:rPr>
        <w:t>2012.</w:t>
      </w:r>
      <w:r w:rsidRPr="00855ED6">
        <w:rPr>
          <w:rFonts w:ascii="Calibri" w:eastAsia="Times New Roman" w:hAnsi="Calibri" w:cs="Times New Roman"/>
          <w:bCs/>
          <w:sz w:val="18"/>
          <w:szCs w:val="18"/>
        </w:rPr>
        <w:t xml:space="preserve"> </w:t>
      </w:r>
      <w:r w:rsidRPr="00855ED6">
        <w:rPr>
          <w:rFonts w:ascii="Calibri" w:eastAsia="Times New Roman" w:hAnsi="Calibri" w:cs="Times New Roman"/>
          <w:sz w:val="18"/>
          <w:szCs w:val="18"/>
          <w:lang w:val="en-GB"/>
        </w:rPr>
        <w:t xml:space="preserve">Morphology and innervation of the teleost physostome swim bladders and their functional evolution in non-teleostean lineages. </w:t>
      </w:r>
      <w:r w:rsidRPr="00855ED6">
        <w:rPr>
          <w:rFonts w:ascii="Calibri" w:eastAsia="Times New Roman" w:hAnsi="Calibri" w:cs="Times New Roman"/>
          <w:b/>
          <w:sz w:val="18"/>
          <w:szCs w:val="18"/>
          <w:lang w:val="en-GB"/>
        </w:rPr>
        <w:t>Acta Histochemica</w:t>
      </w:r>
      <w:r w:rsidRPr="00855ED6">
        <w:rPr>
          <w:rFonts w:ascii="Calibri" w:eastAsia="Times New Roman" w:hAnsi="Calibri" w:cs="Times New Roman"/>
          <w:sz w:val="18"/>
          <w:szCs w:val="18"/>
          <w:lang w:val="en-GB"/>
        </w:rPr>
        <w:t xml:space="preserve"> </w:t>
      </w:r>
      <w:r w:rsidRPr="00855ED6">
        <w:rPr>
          <w:rFonts w:ascii="Calibri" w:eastAsia="Times New Roman" w:hAnsi="Calibri" w:cs="Times New Roman"/>
          <w:b/>
          <w:sz w:val="18"/>
          <w:szCs w:val="18"/>
        </w:rPr>
        <w:t xml:space="preserve">(Elsevier). 114:763-772. </w:t>
      </w:r>
    </w:p>
    <w:p w:rsidR="00855ED6" w:rsidRPr="00855ED6" w:rsidRDefault="00855ED6" w:rsidP="00466BED">
      <w:pPr>
        <w:tabs>
          <w:tab w:val="left" w:pos="360"/>
        </w:tabs>
        <w:spacing w:before="200" w:line="240" w:lineRule="auto"/>
        <w:ind w:left="720" w:hanging="720"/>
        <w:jc w:val="both"/>
        <w:rPr>
          <w:rFonts w:ascii="Calibri" w:eastAsia="Times New Roman" w:hAnsi="Calibri" w:cs="Times New Roman"/>
          <w:sz w:val="18"/>
          <w:szCs w:val="18"/>
        </w:rPr>
      </w:pPr>
      <w:r w:rsidRPr="00855ED6">
        <w:rPr>
          <w:b/>
          <w:sz w:val="18"/>
          <w:szCs w:val="18"/>
        </w:rPr>
        <w:t>3</w:t>
      </w:r>
      <w:r w:rsidRPr="00855ED6">
        <w:rPr>
          <w:rFonts w:ascii="Calibri" w:eastAsia="Times New Roman" w:hAnsi="Calibri" w:cs="Times New Roman"/>
          <w:b/>
          <w:sz w:val="18"/>
          <w:szCs w:val="18"/>
        </w:rPr>
        <w:t xml:space="preserve">- </w:t>
      </w:r>
      <w:r w:rsidRPr="00855ED6">
        <w:rPr>
          <w:rFonts w:ascii="Calibri" w:eastAsia="Times New Roman" w:hAnsi="Calibri" w:cs="Times New Roman"/>
          <w:sz w:val="18"/>
          <w:szCs w:val="18"/>
        </w:rPr>
        <w:t xml:space="preserve">Laxmi Yadav, </w:t>
      </w:r>
      <w:r w:rsidRPr="00855ED6">
        <w:rPr>
          <w:rFonts w:ascii="Calibri" w:eastAsia="Times New Roman" w:hAnsi="Calibri" w:cs="Times New Roman"/>
          <w:b/>
          <w:sz w:val="18"/>
          <w:szCs w:val="18"/>
        </w:rPr>
        <w:t>Manvendra</w:t>
      </w:r>
      <w:r w:rsidRPr="00855ED6">
        <w:rPr>
          <w:rFonts w:ascii="Calibri" w:eastAsia="Times New Roman" w:hAnsi="Calibri" w:cs="Times New Roman"/>
          <w:sz w:val="18"/>
          <w:szCs w:val="18"/>
        </w:rPr>
        <w:t xml:space="preserve"> </w:t>
      </w:r>
      <w:r w:rsidRPr="00855ED6">
        <w:rPr>
          <w:rFonts w:ascii="Calibri" w:eastAsia="Times New Roman" w:hAnsi="Calibri" w:cs="Times New Roman"/>
          <w:b/>
          <w:sz w:val="18"/>
          <w:szCs w:val="18"/>
        </w:rPr>
        <w:t>Sengar,</w:t>
      </w:r>
      <w:r w:rsidRPr="00855ED6">
        <w:rPr>
          <w:rFonts w:ascii="Calibri" w:eastAsia="Times New Roman" w:hAnsi="Calibri" w:cs="Times New Roman"/>
          <w:sz w:val="18"/>
          <w:szCs w:val="18"/>
        </w:rPr>
        <w:t xml:space="preserve"> Daniele Zaccone, Gopesh, A. </w:t>
      </w:r>
      <w:r w:rsidRPr="00855ED6">
        <w:rPr>
          <w:rFonts w:ascii="Calibri" w:eastAsia="Times New Roman" w:hAnsi="Calibri" w:cs="Times New Roman"/>
          <w:b/>
          <w:sz w:val="18"/>
          <w:szCs w:val="18"/>
        </w:rPr>
        <w:t>2013</w:t>
      </w:r>
      <w:r w:rsidRPr="00855ED6">
        <w:rPr>
          <w:rFonts w:ascii="Calibri" w:eastAsia="Times New Roman" w:hAnsi="Calibri" w:cs="Times New Roman"/>
          <w:sz w:val="18"/>
          <w:szCs w:val="18"/>
        </w:rPr>
        <w:t xml:space="preserve">. Paraneuronal pseudobranchial neurosecretory cells in scorpion catfish Heteropneustes fossilis: an environmental scanning electron microscope and transmission electron microscope study. </w:t>
      </w:r>
      <w:r w:rsidRPr="00855ED6">
        <w:rPr>
          <w:rFonts w:ascii="Calibri" w:eastAsia="Times New Roman" w:hAnsi="Calibri" w:cs="Times New Roman"/>
          <w:b/>
          <w:sz w:val="18"/>
          <w:szCs w:val="18"/>
        </w:rPr>
        <w:t>Acta Zoologica (Stockholm)</w:t>
      </w:r>
      <w:r w:rsidRPr="00855ED6">
        <w:rPr>
          <w:rFonts w:ascii="Calibri" w:eastAsia="Times New Roman" w:hAnsi="Calibri" w:cs="Times New Roman"/>
          <w:sz w:val="18"/>
          <w:szCs w:val="18"/>
        </w:rPr>
        <w:t xml:space="preserve">. </w:t>
      </w:r>
      <w:r w:rsidRPr="00855ED6">
        <w:rPr>
          <w:rFonts w:ascii="Calibri" w:eastAsia="Times New Roman" w:hAnsi="Calibri" w:cs="Times New Roman"/>
          <w:b/>
          <w:sz w:val="18"/>
          <w:szCs w:val="18"/>
        </w:rPr>
        <w:t xml:space="preserve">94:58-65. </w:t>
      </w:r>
    </w:p>
    <w:p w:rsidR="00855ED6" w:rsidRPr="00855ED6" w:rsidRDefault="00855ED6" w:rsidP="00855ED6">
      <w:pPr>
        <w:tabs>
          <w:tab w:val="left" w:pos="360"/>
        </w:tabs>
        <w:autoSpaceDE w:val="0"/>
        <w:autoSpaceDN w:val="0"/>
        <w:adjustRightInd w:val="0"/>
        <w:spacing w:before="200" w:line="240" w:lineRule="auto"/>
        <w:ind w:left="720" w:hanging="720"/>
        <w:jc w:val="both"/>
        <w:rPr>
          <w:rFonts w:ascii="Calibri" w:eastAsia="Times New Roman" w:hAnsi="Calibri" w:cs="Times New Roman"/>
          <w:b/>
          <w:sz w:val="18"/>
          <w:szCs w:val="18"/>
        </w:rPr>
      </w:pPr>
      <w:r w:rsidRPr="00855ED6">
        <w:rPr>
          <w:b/>
          <w:sz w:val="18"/>
          <w:szCs w:val="18"/>
          <w:lang w:val="en-GB"/>
        </w:rPr>
        <w:t>4</w:t>
      </w:r>
      <w:r w:rsidRPr="00855ED6">
        <w:rPr>
          <w:rFonts w:ascii="Calibri" w:eastAsia="Times New Roman" w:hAnsi="Calibri" w:cs="Times New Roman"/>
          <w:sz w:val="18"/>
          <w:szCs w:val="18"/>
          <w:lang w:val="en-GB"/>
        </w:rPr>
        <w:t xml:space="preserve">- </w:t>
      </w:r>
      <w:r w:rsidRPr="00855ED6">
        <w:rPr>
          <w:rFonts w:ascii="Calibri" w:eastAsia="Times New Roman" w:hAnsi="Calibri" w:cs="Times New Roman"/>
          <w:sz w:val="18"/>
          <w:szCs w:val="18"/>
        </w:rPr>
        <w:t>Giacomo Zaccone, Eugenia Rita Lauriano, Giuseppa Silve</w:t>
      </w:r>
      <w:r w:rsidRPr="00855ED6">
        <w:rPr>
          <w:sz w:val="18"/>
          <w:szCs w:val="18"/>
        </w:rPr>
        <w:t xml:space="preserve">stri, Christopher Kenaley, JoséM </w:t>
      </w:r>
      <w:r w:rsidRPr="00855ED6">
        <w:rPr>
          <w:rFonts w:ascii="Calibri" w:eastAsia="Times New Roman" w:hAnsi="Calibri" w:cs="Times New Roman"/>
          <w:sz w:val="18"/>
          <w:szCs w:val="18"/>
        </w:rPr>
        <w:t xml:space="preserve">Icardo, Simona Pergolizzi, Alessio Alesci, </w:t>
      </w:r>
      <w:r w:rsidRPr="00855ED6">
        <w:rPr>
          <w:rFonts w:ascii="Calibri" w:eastAsia="Times New Roman" w:hAnsi="Calibri" w:cs="Times New Roman"/>
          <w:b/>
          <w:sz w:val="18"/>
          <w:szCs w:val="18"/>
        </w:rPr>
        <w:t>Manvendra</w:t>
      </w:r>
      <w:r w:rsidRPr="00855ED6">
        <w:rPr>
          <w:rFonts w:ascii="Calibri" w:eastAsia="Times New Roman" w:hAnsi="Calibri" w:cs="Times New Roman"/>
          <w:sz w:val="18"/>
          <w:szCs w:val="18"/>
        </w:rPr>
        <w:t xml:space="preserve"> </w:t>
      </w:r>
      <w:r w:rsidRPr="00855ED6">
        <w:rPr>
          <w:rFonts w:ascii="Calibri" w:eastAsia="Times New Roman" w:hAnsi="Calibri" w:cs="Times New Roman"/>
          <w:b/>
          <w:sz w:val="18"/>
          <w:szCs w:val="18"/>
        </w:rPr>
        <w:t>Sengar</w:t>
      </w:r>
      <w:r w:rsidRPr="00855ED6">
        <w:rPr>
          <w:rFonts w:ascii="Calibri" w:eastAsia="Times New Roman" w:hAnsi="Calibri" w:cs="Times New Roman"/>
          <w:sz w:val="18"/>
          <w:szCs w:val="18"/>
        </w:rPr>
        <w:t xml:space="preserve">, Michal Kuciel and Anita Gopesh. </w:t>
      </w:r>
      <w:r w:rsidRPr="00855ED6">
        <w:rPr>
          <w:rFonts w:ascii="Calibri" w:eastAsia="Times New Roman" w:hAnsi="Calibri" w:cs="Times New Roman"/>
          <w:b/>
          <w:sz w:val="18"/>
          <w:szCs w:val="18"/>
        </w:rPr>
        <w:t>2015.</w:t>
      </w:r>
      <w:r w:rsidRPr="00855ED6">
        <w:rPr>
          <w:rFonts w:ascii="Calibri" w:eastAsia="Times New Roman" w:hAnsi="Calibri" w:cs="Times New Roman"/>
          <w:sz w:val="18"/>
          <w:szCs w:val="18"/>
        </w:rPr>
        <w:t xml:space="preserve"> Comparative neurochemical features of the innervations patterns of the gut of the basal actinopterygian, </w:t>
      </w:r>
      <w:r w:rsidRPr="00855ED6">
        <w:rPr>
          <w:rFonts w:ascii="Calibri" w:eastAsia="Times New Roman" w:hAnsi="Calibri" w:cs="Times New Roman"/>
          <w:i/>
          <w:sz w:val="18"/>
          <w:szCs w:val="18"/>
        </w:rPr>
        <w:t>Lepisosteus oculatus</w:t>
      </w:r>
      <w:r w:rsidRPr="00855ED6">
        <w:rPr>
          <w:rFonts w:ascii="Calibri" w:eastAsia="Times New Roman" w:hAnsi="Calibri" w:cs="Times New Roman"/>
          <w:sz w:val="18"/>
          <w:szCs w:val="18"/>
        </w:rPr>
        <w:t xml:space="preserve">, and the euteleost, </w:t>
      </w:r>
      <w:r w:rsidRPr="00855ED6">
        <w:rPr>
          <w:rFonts w:ascii="Calibri" w:eastAsia="Times New Roman" w:hAnsi="Calibri" w:cs="Times New Roman"/>
          <w:i/>
          <w:sz w:val="18"/>
          <w:szCs w:val="18"/>
        </w:rPr>
        <w:t>Clarias</w:t>
      </w:r>
      <w:r w:rsidRPr="00855ED6">
        <w:rPr>
          <w:rFonts w:ascii="Calibri" w:eastAsia="Times New Roman" w:hAnsi="Calibri" w:cs="Times New Roman"/>
          <w:sz w:val="18"/>
          <w:szCs w:val="18"/>
        </w:rPr>
        <w:t xml:space="preserve"> </w:t>
      </w:r>
      <w:r w:rsidRPr="00855ED6">
        <w:rPr>
          <w:rFonts w:ascii="Calibri" w:eastAsia="Times New Roman" w:hAnsi="Calibri" w:cs="Times New Roman"/>
          <w:i/>
          <w:sz w:val="18"/>
          <w:szCs w:val="18"/>
        </w:rPr>
        <w:t>batrachus</w:t>
      </w:r>
      <w:r w:rsidRPr="00855ED6">
        <w:rPr>
          <w:rFonts w:ascii="Calibri" w:eastAsia="Times New Roman" w:hAnsi="Calibri" w:cs="Times New Roman"/>
          <w:sz w:val="18"/>
          <w:szCs w:val="18"/>
        </w:rPr>
        <w:t xml:space="preserve">   </w:t>
      </w:r>
      <w:r w:rsidRPr="00855ED6">
        <w:rPr>
          <w:rFonts w:ascii="Calibri" w:eastAsia="Times New Roman" w:hAnsi="Calibri" w:cs="Times New Roman"/>
          <w:b/>
          <w:sz w:val="18"/>
          <w:szCs w:val="18"/>
          <w:lang w:val="en-GB"/>
        </w:rPr>
        <w:t>Acta</w:t>
      </w:r>
      <w:r w:rsidRPr="00855ED6">
        <w:rPr>
          <w:rFonts w:ascii="Calibri" w:eastAsia="Times New Roman" w:hAnsi="Calibri" w:cs="Times New Roman"/>
          <w:sz w:val="18"/>
          <w:szCs w:val="18"/>
          <w:lang w:val="en-GB"/>
        </w:rPr>
        <w:t xml:space="preserve"> </w:t>
      </w:r>
      <w:r w:rsidRPr="00855ED6">
        <w:rPr>
          <w:rFonts w:ascii="Calibri" w:eastAsia="Times New Roman" w:hAnsi="Calibri" w:cs="Times New Roman"/>
          <w:b/>
          <w:sz w:val="18"/>
          <w:szCs w:val="18"/>
          <w:lang w:val="en-GB"/>
        </w:rPr>
        <w:t>Zoologica</w:t>
      </w:r>
      <w:r w:rsidRPr="00855ED6">
        <w:rPr>
          <w:rFonts w:ascii="Calibri" w:eastAsia="Times New Roman" w:hAnsi="Calibri" w:cs="Times New Roman"/>
          <w:sz w:val="18"/>
          <w:szCs w:val="18"/>
          <w:lang w:val="en-GB"/>
        </w:rPr>
        <w:t xml:space="preserve"> (</w:t>
      </w:r>
      <w:r w:rsidRPr="00855ED6">
        <w:rPr>
          <w:rFonts w:ascii="Calibri" w:eastAsia="Times New Roman" w:hAnsi="Calibri" w:cs="Times New Roman"/>
          <w:b/>
          <w:sz w:val="18"/>
          <w:szCs w:val="18"/>
          <w:lang w:val="en-GB"/>
        </w:rPr>
        <w:t>Stockholm</w:t>
      </w:r>
      <w:r w:rsidRPr="00855ED6">
        <w:rPr>
          <w:rFonts w:ascii="Calibri" w:eastAsia="Times New Roman" w:hAnsi="Calibri" w:cs="Times New Roman"/>
          <w:sz w:val="18"/>
          <w:szCs w:val="18"/>
          <w:lang w:val="en-GB"/>
        </w:rPr>
        <w:t xml:space="preserve">). </w:t>
      </w:r>
      <w:r w:rsidRPr="00855ED6">
        <w:rPr>
          <w:rFonts w:ascii="Calibri" w:eastAsia="Times New Roman" w:hAnsi="Calibri" w:cs="Times New Roman"/>
          <w:b/>
          <w:sz w:val="18"/>
          <w:szCs w:val="18"/>
          <w:lang w:val="en-GB"/>
        </w:rPr>
        <w:t>96:127-139. Doi: 10.1111/azo 12059.</w:t>
      </w:r>
      <w:r w:rsidRPr="00855ED6">
        <w:rPr>
          <w:rFonts w:ascii="Calibri" w:eastAsia="Times New Roman" w:hAnsi="Calibri" w:cs="Times New Roman"/>
          <w:sz w:val="18"/>
          <w:szCs w:val="18"/>
          <w:lang w:val="en-GB"/>
        </w:rPr>
        <w:t xml:space="preserve"> </w:t>
      </w:r>
    </w:p>
    <w:p w:rsidR="00855ED6" w:rsidRDefault="00855ED6" w:rsidP="00A636C6">
      <w:pPr>
        <w:tabs>
          <w:tab w:val="left" w:pos="360"/>
        </w:tabs>
        <w:autoSpaceDE w:val="0"/>
        <w:autoSpaceDN w:val="0"/>
        <w:adjustRightInd w:val="0"/>
        <w:spacing w:before="200" w:line="240" w:lineRule="auto"/>
        <w:ind w:left="720" w:hanging="720"/>
        <w:jc w:val="both"/>
        <w:rPr>
          <w:sz w:val="18"/>
          <w:szCs w:val="18"/>
        </w:rPr>
      </w:pPr>
      <w:r w:rsidRPr="00855ED6">
        <w:rPr>
          <w:b/>
          <w:sz w:val="18"/>
          <w:szCs w:val="18"/>
          <w:lang w:val="en-GB"/>
        </w:rPr>
        <w:t>5</w:t>
      </w:r>
      <w:r w:rsidRPr="00855ED6">
        <w:rPr>
          <w:rFonts w:ascii="Calibri" w:eastAsia="Times New Roman" w:hAnsi="Calibri" w:cs="Times New Roman"/>
          <w:sz w:val="18"/>
          <w:szCs w:val="18"/>
          <w:lang w:val="en-GB"/>
        </w:rPr>
        <w:t xml:space="preserve">-  </w:t>
      </w:r>
      <w:r w:rsidRPr="00855ED6">
        <w:rPr>
          <w:rFonts w:ascii="Calibri" w:eastAsia="Times New Roman" w:hAnsi="Calibri" w:cs="Times New Roman"/>
          <w:b/>
          <w:sz w:val="18"/>
          <w:szCs w:val="18"/>
        </w:rPr>
        <w:t>Manvendra</w:t>
      </w:r>
      <w:r w:rsidRPr="00855ED6">
        <w:rPr>
          <w:rFonts w:ascii="Calibri" w:eastAsia="Times New Roman" w:hAnsi="Calibri" w:cs="Times New Roman"/>
          <w:sz w:val="18"/>
          <w:szCs w:val="18"/>
        </w:rPr>
        <w:t xml:space="preserve"> </w:t>
      </w:r>
      <w:r w:rsidRPr="00855ED6">
        <w:rPr>
          <w:rFonts w:ascii="Calibri" w:eastAsia="Times New Roman" w:hAnsi="Calibri" w:cs="Times New Roman"/>
          <w:b/>
          <w:sz w:val="18"/>
          <w:szCs w:val="18"/>
        </w:rPr>
        <w:t>Sengar</w:t>
      </w:r>
      <w:r w:rsidRPr="00855ED6">
        <w:rPr>
          <w:rFonts w:ascii="Calibri" w:eastAsia="Times New Roman" w:hAnsi="Calibri" w:cs="Times New Roman"/>
          <w:sz w:val="18"/>
          <w:szCs w:val="18"/>
        </w:rPr>
        <w:t xml:space="preserve">, Laxmi Yadav, Anita Gopesh, Daniele Zaccone, Eugenia Rita Lauriano,Gioiele Capillo. </w:t>
      </w:r>
      <w:r w:rsidRPr="00855ED6">
        <w:rPr>
          <w:rFonts w:ascii="Calibri" w:eastAsia="Times New Roman" w:hAnsi="Calibri" w:cs="Times New Roman"/>
          <w:b/>
          <w:sz w:val="18"/>
          <w:szCs w:val="18"/>
        </w:rPr>
        <w:t>2015</w:t>
      </w:r>
      <w:r w:rsidRPr="00855ED6">
        <w:rPr>
          <w:rFonts w:ascii="Calibri" w:eastAsia="Times New Roman" w:hAnsi="Calibri" w:cs="Times New Roman"/>
          <w:sz w:val="18"/>
          <w:szCs w:val="18"/>
        </w:rPr>
        <w:t xml:space="preserve"> Fine structure of diffused pseudobranchial neurosecretory cells associated with carotid labyrinth in an air-breathing catfish </w:t>
      </w:r>
      <w:r w:rsidRPr="00855ED6">
        <w:rPr>
          <w:rFonts w:ascii="Calibri" w:eastAsia="Times New Roman" w:hAnsi="Calibri" w:cs="Times New Roman"/>
          <w:i/>
          <w:sz w:val="18"/>
          <w:szCs w:val="18"/>
        </w:rPr>
        <w:t>Clarias batrachus</w:t>
      </w:r>
      <w:r w:rsidRPr="00855ED6">
        <w:rPr>
          <w:rFonts w:ascii="Calibri" w:eastAsia="Times New Roman" w:hAnsi="Calibri" w:cs="Times New Roman"/>
          <w:sz w:val="18"/>
          <w:szCs w:val="18"/>
        </w:rPr>
        <w:t xml:space="preserve">. </w:t>
      </w:r>
      <w:r w:rsidRPr="00855ED6">
        <w:rPr>
          <w:rFonts w:ascii="Calibri" w:eastAsia="Times New Roman" w:hAnsi="Calibri" w:cs="Times New Roman"/>
          <w:b/>
          <w:sz w:val="18"/>
          <w:szCs w:val="18"/>
        </w:rPr>
        <w:t>Acta Zoologica (Stockholm)</w:t>
      </w:r>
      <w:r w:rsidRPr="00855ED6">
        <w:rPr>
          <w:rFonts w:ascii="Calibri" w:eastAsia="Times New Roman" w:hAnsi="Calibri" w:cs="Times New Roman"/>
          <w:sz w:val="18"/>
          <w:szCs w:val="18"/>
        </w:rPr>
        <w:t xml:space="preserve"> </w:t>
      </w:r>
      <w:r w:rsidRPr="00855ED6">
        <w:rPr>
          <w:rFonts w:ascii="Calibri" w:eastAsia="Times New Roman" w:hAnsi="Calibri" w:cs="Times New Roman"/>
          <w:b/>
          <w:sz w:val="18"/>
          <w:szCs w:val="18"/>
          <w:lang w:val="en-GB"/>
        </w:rPr>
        <w:t xml:space="preserve">Doi: 10.1111/azo 12100. </w:t>
      </w:r>
      <w:r w:rsidRPr="00855ED6">
        <w:rPr>
          <w:rFonts w:ascii="Calibri" w:eastAsia="Times New Roman" w:hAnsi="Calibri" w:cs="Times New Roman"/>
          <w:b/>
          <w:sz w:val="18"/>
          <w:szCs w:val="18"/>
        </w:rPr>
        <w:t>ISSN</w:t>
      </w:r>
      <w:r w:rsidRPr="00855ED6">
        <w:rPr>
          <w:rFonts w:ascii="Calibri" w:eastAsia="Times New Roman" w:hAnsi="Calibri" w:cs="Times New Roman"/>
          <w:sz w:val="18"/>
          <w:szCs w:val="18"/>
        </w:rPr>
        <w:t xml:space="preserve">: 1463-6395. </w:t>
      </w:r>
      <w:r w:rsidRPr="00855ED6">
        <w:rPr>
          <w:rFonts w:ascii="Calibri" w:eastAsia="Times New Roman" w:hAnsi="Calibri" w:cs="Times New Roman"/>
          <w:i/>
          <w:sz w:val="18"/>
          <w:szCs w:val="18"/>
        </w:rPr>
        <w:t>Impact Factor</w:t>
      </w:r>
      <w:r w:rsidRPr="00855ED6">
        <w:rPr>
          <w:rFonts w:ascii="Calibri" w:eastAsia="Times New Roman" w:hAnsi="Calibri" w:cs="Times New Roman"/>
          <w:sz w:val="18"/>
          <w:szCs w:val="18"/>
        </w:rPr>
        <w:t xml:space="preserve">: </w:t>
      </w:r>
      <w:r w:rsidRPr="00855ED6">
        <w:rPr>
          <w:rFonts w:ascii="Calibri" w:eastAsia="Times New Roman" w:hAnsi="Calibri" w:cs="Times New Roman"/>
          <w:b/>
          <w:sz w:val="18"/>
          <w:szCs w:val="18"/>
        </w:rPr>
        <w:t>1.471</w:t>
      </w:r>
      <w:r w:rsidRPr="00855ED6">
        <w:rPr>
          <w:rFonts w:ascii="Calibri" w:eastAsia="Times New Roman" w:hAnsi="Calibri" w:cs="Times New Roman"/>
          <w:sz w:val="18"/>
          <w:szCs w:val="18"/>
        </w:rPr>
        <w:t xml:space="preserve"> </w:t>
      </w:r>
      <w:r>
        <w:rPr>
          <w:sz w:val="18"/>
          <w:szCs w:val="18"/>
        </w:rPr>
        <w:t xml:space="preserve">                 </w:t>
      </w:r>
    </w:p>
    <w:sectPr w:rsidR="00855ED6" w:rsidSect="00855ED6">
      <w:footerReference w:type="default" r:id="rId7"/>
      <w:pgSz w:w="12240" w:h="15840"/>
      <w:pgMar w:top="1440" w:right="1440" w:bottom="1440" w:left="1440"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5F2F" w:rsidRDefault="00935F2F" w:rsidP="00A636C6">
      <w:pPr>
        <w:spacing w:after="0" w:line="240" w:lineRule="auto"/>
      </w:pPr>
      <w:r>
        <w:separator/>
      </w:r>
    </w:p>
  </w:endnote>
  <w:endnote w:type="continuationSeparator" w:id="1">
    <w:p w:rsidR="00935F2F" w:rsidRDefault="00935F2F" w:rsidP="00A636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C6" w:rsidRPr="00627AF3" w:rsidRDefault="00001444" w:rsidP="00A636C6">
    <w:pPr>
      <w:tabs>
        <w:tab w:val="left" w:pos="360"/>
      </w:tabs>
      <w:spacing w:before="200" w:line="240" w:lineRule="auto"/>
      <w:jc w:val="both"/>
      <w:rPr>
        <w:b/>
        <w:sz w:val="18"/>
        <w:szCs w:val="18"/>
      </w:rPr>
    </w:pPr>
    <w:r w:rsidRPr="00001444">
      <w:rPr>
        <w:noProof/>
      </w:rPr>
      <w:pict>
        <v:shapetype id="_x0000_t32" coordsize="21600,21600" o:spt="32" o:oned="t" path="m,l21600,21600e" filled="f">
          <v:path arrowok="t" fillok="f" o:connecttype="none"/>
          <o:lock v:ext="edit" shapetype="t"/>
        </v:shapetype>
        <v:shape id="_x0000_s5121" type="#_x0000_t32" style="position:absolute;left:0;text-align:left;margin-left:-6.75pt;margin-top:4.6pt;width:481.5pt;height:0;z-index:251658240" o:connectortype="straight" strokeweight="3pt"/>
      </w:pict>
    </w:r>
    <w:r w:rsidR="00A636C6" w:rsidRPr="00A636C6">
      <w:rPr>
        <w:b/>
        <w:noProof/>
        <w:sz w:val="18"/>
        <w:szCs w:val="18"/>
      </w:rPr>
      <w:drawing>
        <wp:inline distT="0" distB="0" distL="0" distR="0">
          <wp:extent cx="456803" cy="577014"/>
          <wp:effectExtent l="19050" t="0" r="397" b="0"/>
          <wp:docPr id="2" name="Picture 4" descr="C:\Documents and Settings\welcome\Desktop\582294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welcome\Desktop\582294photo.jpg"/>
                  <pic:cNvPicPr>
                    <a:picLocks noChangeAspect="1" noChangeArrowheads="1"/>
                  </pic:cNvPicPr>
                </pic:nvPicPr>
                <pic:blipFill>
                  <a:blip r:embed="rId1" cstate="print"/>
                  <a:srcRect/>
                  <a:stretch>
                    <a:fillRect/>
                  </a:stretch>
                </pic:blipFill>
                <pic:spPr bwMode="auto">
                  <a:xfrm>
                    <a:off x="0" y="0"/>
                    <a:ext cx="458999" cy="579788"/>
                  </a:xfrm>
                  <a:prstGeom prst="rect">
                    <a:avLst/>
                  </a:prstGeom>
                  <a:noFill/>
                  <a:ln w="9525">
                    <a:noFill/>
                    <a:miter lim="800000"/>
                    <a:headEnd/>
                    <a:tailEnd/>
                  </a:ln>
                </pic:spPr>
              </pic:pic>
            </a:graphicData>
          </a:graphic>
        </wp:inline>
      </w:drawing>
    </w:r>
    <w:r w:rsidR="00A636C6">
      <w:rPr>
        <w:b/>
      </w:rPr>
      <w:t xml:space="preserve"> Biography</w:t>
    </w:r>
    <w:r w:rsidR="00A636C6">
      <w:rPr>
        <w:b/>
        <w:sz w:val="18"/>
        <w:szCs w:val="18"/>
      </w:rPr>
      <w:t xml:space="preserve">: Dr Manvendra Sengar </w:t>
    </w:r>
    <w:r w:rsidR="00A636C6">
      <w:rPr>
        <w:color w:val="333333"/>
        <w:sz w:val="20"/>
        <w:szCs w:val="20"/>
        <w:shd w:val="clear" w:color="auto" w:fill="FFFFFF"/>
      </w:rPr>
      <w:t>He has 06 years of experience in research and teaching at Bundelkhand University Jhansi, India. He has expertise in Neuroendocrine System and Noval Paraneuronal Cells in accessory respiratory or</w:t>
    </w:r>
    <w:r w:rsidR="009B3BC6">
      <w:rPr>
        <w:color w:val="333333"/>
        <w:sz w:val="20"/>
        <w:szCs w:val="20"/>
        <w:shd w:val="clear" w:color="auto" w:fill="FFFFFF"/>
      </w:rPr>
      <w:t xml:space="preserve">gans of air-breathing fish. He </w:t>
    </w:r>
    <w:r w:rsidR="00A636C6">
      <w:rPr>
        <w:color w:val="333333"/>
        <w:sz w:val="20"/>
        <w:szCs w:val="20"/>
        <w:shd w:val="clear" w:color="auto" w:fill="FFFFFF"/>
      </w:rPr>
      <w:t xml:space="preserve">has the distinction of </w:t>
    </w:r>
    <w:r w:rsidR="009B3BC6">
      <w:rPr>
        <w:color w:val="333333"/>
        <w:sz w:val="20"/>
        <w:szCs w:val="20"/>
        <w:shd w:val="clear" w:color="auto" w:fill="FFFFFF"/>
      </w:rPr>
      <w:t>bringing the various</w:t>
    </w:r>
    <w:r w:rsidR="00557BBF">
      <w:rPr>
        <w:color w:val="333333"/>
        <w:sz w:val="20"/>
        <w:szCs w:val="20"/>
        <w:shd w:val="clear" w:color="auto" w:fill="FFFFFF"/>
      </w:rPr>
      <w:t xml:space="preserve"> piscine NE under common umbrella “Gill Neuroendocrine System”. </w:t>
    </w:r>
    <w:r w:rsidR="003C7309">
      <w:rPr>
        <w:color w:val="333333"/>
        <w:sz w:val="20"/>
        <w:szCs w:val="20"/>
        <w:shd w:val="clear" w:color="auto" w:fill="FFFFFF"/>
      </w:rPr>
      <w:t xml:space="preserve">These NE Cells work in orchestrate manner as the </w:t>
    </w:r>
    <w:r w:rsidR="00A636C6">
      <w:rPr>
        <w:color w:val="333333"/>
        <w:sz w:val="20"/>
        <w:szCs w:val="20"/>
        <w:shd w:val="clear" w:color="auto" w:fill="FFFFFF"/>
      </w:rPr>
      <w:t>glomus cells and caroti</w:t>
    </w:r>
    <w:r w:rsidR="003C7309">
      <w:rPr>
        <w:color w:val="333333"/>
        <w:sz w:val="20"/>
        <w:szCs w:val="20"/>
        <w:shd w:val="clear" w:color="auto" w:fill="FFFFFF"/>
      </w:rPr>
      <w:t>d body of mammals, do</w:t>
    </w:r>
    <w:r w:rsidR="00A636C6">
      <w:rPr>
        <w:color w:val="333333"/>
        <w:sz w:val="20"/>
        <w:szCs w:val="20"/>
        <w:shd w:val="clear" w:color="auto" w:fill="FFFFFF"/>
      </w:rPr>
      <w:t>.</w:t>
    </w:r>
  </w:p>
  <w:p w:rsidR="00A636C6" w:rsidRDefault="00A636C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5F2F" w:rsidRDefault="00935F2F" w:rsidP="00A636C6">
      <w:pPr>
        <w:spacing w:after="0" w:line="240" w:lineRule="auto"/>
      </w:pPr>
      <w:r>
        <w:separator/>
      </w:r>
    </w:p>
  </w:footnote>
  <w:footnote w:type="continuationSeparator" w:id="1">
    <w:p w:rsidR="00935F2F" w:rsidRDefault="00935F2F" w:rsidP="00A636C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o:shapelayout v:ext="edit">
      <o:idmap v:ext="edit" data="5"/>
      <o:rules v:ext="edit">
        <o:r id="V:Rule2" type="connector" idref="#_x0000_s5121"/>
      </o:rules>
    </o:shapelayout>
  </w:hdrShapeDefaults>
  <w:footnotePr>
    <w:footnote w:id="0"/>
    <w:footnote w:id="1"/>
  </w:footnotePr>
  <w:endnotePr>
    <w:endnote w:id="0"/>
    <w:endnote w:id="1"/>
  </w:endnotePr>
  <w:compat>
    <w:useFELayout/>
  </w:compat>
  <w:rsids>
    <w:rsidRoot w:val="00E716E8"/>
    <w:rsid w:val="00001444"/>
    <w:rsid w:val="0027466C"/>
    <w:rsid w:val="003C7309"/>
    <w:rsid w:val="00466BED"/>
    <w:rsid w:val="004A0035"/>
    <w:rsid w:val="00557BBF"/>
    <w:rsid w:val="005A7243"/>
    <w:rsid w:val="005C1548"/>
    <w:rsid w:val="005D3A7C"/>
    <w:rsid w:val="00627AF3"/>
    <w:rsid w:val="00855ED6"/>
    <w:rsid w:val="00935F2F"/>
    <w:rsid w:val="009B3BC6"/>
    <w:rsid w:val="00A12F14"/>
    <w:rsid w:val="00A479D9"/>
    <w:rsid w:val="00A636C6"/>
    <w:rsid w:val="00B67597"/>
    <w:rsid w:val="00E716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0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855ED6"/>
    <w:pPr>
      <w:tabs>
        <w:tab w:val="left" w:pos="2880"/>
      </w:tabs>
      <w:spacing w:before="100" w:after="0" w:line="500" w:lineRule="exact"/>
      <w:ind w:left="3600" w:hanging="3600"/>
    </w:pPr>
    <w:rPr>
      <w:rFonts w:ascii="Arial" w:eastAsia="Times New Roman" w:hAnsi="Arial" w:cs="Arial"/>
      <w:sz w:val="24"/>
      <w:szCs w:val="24"/>
    </w:rPr>
  </w:style>
  <w:style w:type="character" w:customStyle="1" w:styleId="BodyTextIndentChar">
    <w:name w:val="Body Text Indent Char"/>
    <w:basedOn w:val="DefaultParagraphFont"/>
    <w:link w:val="BodyTextIndent"/>
    <w:rsid w:val="00855ED6"/>
    <w:rPr>
      <w:rFonts w:ascii="Arial" w:eastAsia="Times New Roman" w:hAnsi="Arial" w:cs="Arial"/>
      <w:sz w:val="24"/>
      <w:szCs w:val="24"/>
    </w:rPr>
  </w:style>
  <w:style w:type="character" w:customStyle="1" w:styleId="st">
    <w:name w:val="st"/>
    <w:basedOn w:val="DefaultParagraphFont"/>
    <w:rsid w:val="00855ED6"/>
  </w:style>
  <w:style w:type="character" w:styleId="Emphasis">
    <w:name w:val="Emphasis"/>
    <w:basedOn w:val="DefaultParagraphFont"/>
    <w:uiPriority w:val="20"/>
    <w:qFormat/>
    <w:rsid w:val="00855ED6"/>
    <w:rPr>
      <w:i/>
      <w:iCs/>
    </w:rPr>
  </w:style>
  <w:style w:type="paragraph" w:styleId="BalloonText">
    <w:name w:val="Balloon Text"/>
    <w:basedOn w:val="Normal"/>
    <w:link w:val="BalloonTextChar"/>
    <w:uiPriority w:val="99"/>
    <w:semiHidden/>
    <w:unhideWhenUsed/>
    <w:rsid w:val="00B67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7597"/>
    <w:rPr>
      <w:rFonts w:ascii="Tahoma" w:hAnsi="Tahoma" w:cs="Tahoma"/>
      <w:sz w:val="16"/>
      <w:szCs w:val="16"/>
    </w:rPr>
  </w:style>
  <w:style w:type="paragraph" w:styleId="Header">
    <w:name w:val="header"/>
    <w:basedOn w:val="Normal"/>
    <w:link w:val="HeaderChar"/>
    <w:uiPriority w:val="99"/>
    <w:semiHidden/>
    <w:unhideWhenUsed/>
    <w:rsid w:val="00A636C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636C6"/>
  </w:style>
  <w:style w:type="paragraph" w:styleId="Footer">
    <w:name w:val="footer"/>
    <w:basedOn w:val="Normal"/>
    <w:link w:val="FooterChar"/>
    <w:uiPriority w:val="99"/>
    <w:semiHidden/>
    <w:unhideWhenUsed/>
    <w:rsid w:val="00A636C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636C6"/>
  </w:style>
</w:styles>
</file>

<file path=word/webSettings.xml><?xml version="1.0" encoding="utf-8"?>
<w:webSettings xmlns:r="http://schemas.openxmlformats.org/officeDocument/2006/relationships" xmlns:w="http://schemas.openxmlformats.org/wordprocessingml/2006/main">
  <w:divs>
    <w:div w:id="169608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495D1C-1CDB-44E8-B94C-7592F8944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20558816</TotalTime>
  <Pages>1</Pages>
  <Words>555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welcome</dc:creator>
  <cp:keywords/>
  <dc:description/>
  <cp:lastModifiedBy>welcome</cp:lastModifiedBy>
  <cp:revision>9</cp:revision>
  <dcterms:created xsi:type="dcterms:W3CDTF">2019-02-04T03:04:00Z</dcterms:created>
  <dcterms:modified xsi:type="dcterms:W3CDTF">2019-02-05T19:22:00Z</dcterms:modified>
</cp:coreProperties>
</file>