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170F" w:rsidRPr="00362E5D" w:rsidRDefault="0084170F" w:rsidP="0084170F">
      <w:pPr>
        <w:rPr>
          <w:rFonts w:ascii="Minion Pro" w:hAnsi="Minion Pro" w:cs="Times New Roman"/>
          <w:b/>
          <w:bCs/>
          <w:sz w:val="28"/>
          <w:szCs w:val="28"/>
        </w:rPr>
      </w:pPr>
      <w:r w:rsidRPr="00362E5D">
        <w:rPr>
          <w:rFonts w:ascii="Minion Pro" w:hAnsi="Minion Pro" w:cs="Times New Roman"/>
          <w:b/>
          <w:bCs/>
          <w:sz w:val="28"/>
          <w:szCs w:val="28"/>
        </w:rPr>
        <w:t>HOXB4 gene expression is upregulated by ghrelin through PI3-kinase signaling pathway in rat’s bone marrow stromal cells</w:t>
      </w:r>
    </w:p>
    <w:p w:rsidR="00100F97" w:rsidRDefault="00100F97" w:rsidP="0084170F">
      <w:pPr>
        <w:rPr>
          <w:rFonts w:ascii="Times New Roman" w:hAnsi="Times New Roman" w:cs="Times New Roman"/>
          <w:b/>
          <w:bCs/>
          <w:sz w:val="28"/>
          <w:szCs w:val="28"/>
        </w:rPr>
      </w:pPr>
    </w:p>
    <w:p w:rsidR="0084170F" w:rsidRPr="00DF1638" w:rsidRDefault="0084170F" w:rsidP="0084170F">
      <w:pPr>
        <w:pStyle w:val="BodyText"/>
        <w:rPr>
          <w:rFonts w:ascii="Arial"/>
        </w:rPr>
      </w:pPr>
      <w:r w:rsidRPr="00DF1638">
        <w:rPr>
          <w:rFonts w:ascii="Arial"/>
        </w:rPr>
        <w:t>Hadi Feizi, PhD, Zanjan University of Medical Sciences, Zanjan, Iran</w:t>
      </w:r>
    </w:p>
    <w:p w:rsidR="0084170F" w:rsidRPr="00DF1638" w:rsidRDefault="0084170F" w:rsidP="0084170F">
      <w:pPr>
        <w:pStyle w:val="BodyText"/>
        <w:rPr>
          <w:rFonts w:ascii="Arial"/>
        </w:rPr>
      </w:pPr>
      <w:r w:rsidRPr="00DF1638">
        <w:rPr>
          <w:rFonts w:ascii="Arial"/>
        </w:rPr>
        <w:t>Fatemeh Moradi, PhD, Zanjan University of Medical Sciences, Zanjan, Iran</w:t>
      </w:r>
    </w:p>
    <w:p w:rsidR="0084170F" w:rsidRPr="00DF1638" w:rsidRDefault="0084170F" w:rsidP="0084170F">
      <w:pPr>
        <w:pStyle w:val="BodyText"/>
        <w:rPr>
          <w:rFonts w:ascii="Arial"/>
        </w:rPr>
      </w:pPr>
      <w:r w:rsidRPr="00DF1638">
        <w:rPr>
          <w:rFonts w:ascii="Arial"/>
        </w:rPr>
        <w:t>Mohsen Alipour, PhD, Zanjan University of Medical Sciences, Zanjan, Iran</w:t>
      </w:r>
    </w:p>
    <w:p w:rsidR="00AE3E37" w:rsidRDefault="00AE3E37">
      <w:pPr>
        <w:rPr>
          <w:rFonts w:ascii="Arial"/>
          <w:sz w:val="21"/>
        </w:rPr>
        <w:sectPr w:rsidR="00AE3E37" w:rsidSect="00B60201">
          <w:headerReference w:type="default" r:id="rId7"/>
          <w:footerReference w:type="default" r:id="rId8"/>
          <w:type w:val="continuous"/>
          <w:pgSz w:w="11910" w:h="16840"/>
          <w:pgMar w:top="720" w:right="720" w:bottom="720" w:left="720" w:header="541" w:footer="642" w:gutter="0"/>
          <w:cols w:space="720"/>
          <w:docGrid w:linePitch="299"/>
        </w:sectPr>
      </w:pPr>
    </w:p>
    <w:p w:rsidR="00AE3E37" w:rsidRDefault="00A9710C" w:rsidP="00100F97">
      <w:pPr>
        <w:pStyle w:val="Heading3"/>
        <w:spacing w:before="147"/>
        <w:jc w:val="both"/>
      </w:pPr>
      <w:r>
        <w:rPr>
          <w:color w:val="BF5A14"/>
        </w:rPr>
        <w:lastRenderedPageBreak/>
        <w:t>Abstract</w:t>
      </w:r>
      <w:r w:rsidR="00404E5B">
        <w:rPr>
          <w:color w:val="BF5A14"/>
        </w:rPr>
        <w:t xml:space="preserve"> </w:t>
      </w:r>
    </w:p>
    <w:p w:rsidR="0032412B" w:rsidRPr="0032412B" w:rsidRDefault="0032412B" w:rsidP="00763D57">
      <w:pPr>
        <w:pStyle w:val="Heading3"/>
        <w:spacing w:before="74"/>
        <w:jc w:val="both"/>
        <w:rPr>
          <w:rFonts w:ascii="Tw Cen MT" w:eastAsia="Tw Cen MT" w:hAnsi="Tw Cen MT" w:cs="Tw Cen MT"/>
          <w:b w:val="0"/>
          <w:bCs w:val="0"/>
          <w:sz w:val="18"/>
          <w:szCs w:val="18"/>
        </w:rPr>
      </w:pPr>
      <w:r w:rsidRPr="0032412B">
        <w:rPr>
          <w:rFonts w:ascii="Tw Cen MT" w:eastAsia="Tw Cen MT" w:hAnsi="Tw Cen MT" w:cs="Tw Cen MT"/>
          <w:b w:val="0"/>
          <w:bCs w:val="0"/>
          <w:sz w:val="18"/>
          <w:szCs w:val="18"/>
        </w:rPr>
        <w:t xml:space="preserve">Introduction: Ghrelin, a 28 amino acid peptide, has diverse physiological roles. Phosphatidylinositol-bisphosphate 3-kinase, PI3K and mitogen-activated protein kinase, MAPK are intracellular signal transducers involved in cellular functions such as cell growth and differentiation. Some of the recognized actions of ghrelin are mediated by these enzymes. </w:t>
      </w:r>
      <w:r w:rsidR="00675BCD">
        <w:rPr>
          <w:rFonts w:ascii="Tw Cen MT" w:eastAsia="Tw Cen MT" w:hAnsi="Tw Cen MT" w:cs="Tw Cen MT"/>
          <w:b w:val="0"/>
          <w:bCs w:val="0"/>
          <w:sz w:val="18"/>
          <w:szCs w:val="18"/>
        </w:rPr>
        <w:t>HOXb4 is a</w:t>
      </w:r>
      <w:r w:rsidR="00675BCD" w:rsidRPr="00675BCD">
        <w:rPr>
          <w:rFonts w:ascii="Tw Cen MT" w:eastAsia="Tw Cen MT" w:hAnsi="Tw Cen MT" w:cs="Tw Cen MT"/>
          <w:b w:val="0"/>
          <w:bCs w:val="0"/>
          <w:sz w:val="18"/>
          <w:szCs w:val="18"/>
        </w:rPr>
        <w:t xml:space="preserve"> transcription factors </w:t>
      </w:r>
      <w:r w:rsidR="00675BCD">
        <w:rPr>
          <w:rFonts w:ascii="Tw Cen MT" w:eastAsia="Tw Cen MT" w:hAnsi="Tw Cen MT" w:cs="Tw Cen MT"/>
          <w:b w:val="0"/>
          <w:bCs w:val="0"/>
          <w:sz w:val="18"/>
          <w:szCs w:val="18"/>
        </w:rPr>
        <w:t xml:space="preserve">and </w:t>
      </w:r>
      <w:r w:rsidR="00675BCD" w:rsidRPr="00675BCD">
        <w:rPr>
          <w:rFonts w:ascii="Tw Cen MT" w:eastAsia="Tw Cen MT" w:hAnsi="Tw Cen MT" w:cs="Tw Cen MT"/>
          <w:b w:val="0"/>
          <w:bCs w:val="0"/>
          <w:sz w:val="18"/>
          <w:szCs w:val="18"/>
        </w:rPr>
        <w:t>mostly is expressed in hematopoietic stem cells</w:t>
      </w:r>
      <w:r w:rsidR="00675BCD">
        <w:rPr>
          <w:rFonts w:ascii="Tw Cen MT" w:eastAsia="Tw Cen MT" w:hAnsi="Tw Cen MT" w:cs="Tw Cen MT"/>
          <w:b w:val="0"/>
          <w:bCs w:val="0"/>
          <w:sz w:val="18"/>
          <w:szCs w:val="18"/>
        </w:rPr>
        <w:t>.</w:t>
      </w:r>
      <w:r w:rsidR="00675BCD" w:rsidRPr="00675BCD">
        <w:rPr>
          <w:rFonts w:ascii="Tw Cen MT" w:eastAsia="Tw Cen MT" w:hAnsi="Tw Cen MT" w:cs="Tw Cen MT"/>
          <w:b w:val="0"/>
          <w:bCs w:val="0"/>
          <w:sz w:val="18"/>
          <w:szCs w:val="18"/>
        </w:rPr>
        <w:t xml:space="preserve"> </w:t>
      </w:r>
      <w:r w:rsidRPr="0032412B">
        <w:rPr>
          <w:rFonts w:ascii="Tw Cen MT" w:eastAsia="Tw Cen MT" w:hAnsi="Tw Cen MT" w:cs="Tw Cen MT"/>
          <w:b w:val="0"/>
          <w:bCs w:val="0"/>
          <w:sz w:val="18"/>
          <w:szCs w:val="18"/>
        </w:rPr>
        <w:t xml:space="preserve">It has been shown that ghrelin upregulates HOXB4 gene expression </w:t>
      </w:r>
      <w:r w:rsidR="00763D57" w:rsidRPr="00763D57">
        <w:rPr>
          <w:rFonts w:ascii="Tw Cen MT" w:eastAsia="Tw Cen MT" w:hAnsi="Tw Cen MT" w:cs="Tw Cen MT"/>
          <w:b w:val="0"/>
          <w:bCs w:val="0"/>
          <w:sz w:val="18"/>
          <w:szCs w:val="18"/>
        </w:rPr>
        <w:t>in rat’s bone marrow stromal cells (BMSCs)</w:t>
      </w:r>
      <w:r w:rsidR="00763D57">
        <w:rPr>
          <w:rFonts w:ascii="Tw Cen MT" w:eastAsia="Tw Cen MT" w:hAnsi="Tw Cen MT" w:cs="Tw Cen MT"/>
          <w:b w:val="0"/>
          <w:bCs w:val="0"/>
          <w:sz w:val="18"/>
          <w:szCs w:val="18"/>
        </w:rPr>
        <w:t xml:space="preserve"> </w:t>
      </w:r>
      <w:r w:rsidRPr="0032412B">
        <w:rPr>
          <w:rFonts w:ascii="Tw Cen MT" w:eastAsia="Tw Cen MT" w:hAnsi="Tw Cen MT" w:cs="Tw Cen MT"/>
          <w:b w:val="0"/>
          <w:bCs w:val="0"/>
          <w:sz w:val="18"/>
          <w:szCs w:val="18"/>
        </w:rPr>
        <w:t>but the real mechanism of this effect is not clear.</w:t>
      </w:r>
    </w:p>
    <w:p w:rsidR="0032412B" w:rsidRPr="0032412B" w:rsidRDefault="0032412B" w:rsidP="001A0151">
      <w:pPr>
        <w:pStyle w:val="Heading3"/>
        <w:spacing w:before="74"/>
        <w:jc w:val="both"/>
        <w:rPr>
          <w:rFonts w:ascii="Tw Cen MT" w:eastAsia="Tw Cen MT" w:hAnsi="Tw Cen MT" w:cs="Tw Cen MT"/>
          <w:b w:val="0"/>
          <w:bCs w:val="0"/>
          <w:sz w:val="18"/>
          <w:szCs w:val="18"/>
        </w:rPr>
      </w:pPr>
      <w:r w:rsidRPr="0032412B">
        <w:rPr>
          <w:rFonts w:ascii="Tw Cen MT" w:eastAsia="Tw Cen MT" w:hAnsi="Tw Cen MT" w:cs="Tw Cen MT"/>
          <w:b w:val="0"/>
          <w:bCs w:val="0"/>
          <w:sz w:val="18"/>
          <w:szCs w:val="18"/>
        </w:rPr>
        <w:t xml:space="preserve">Materials and Methods: Rat BMSCs were cultured in DMEM. Passage 3 BMSCs were treated with ghrelin 100 </w:t>
      </w:r>
      <w:r w:rsidRPr="0032412B">
        <w:rPr>
          <w:rFonts w:eastAsia="Tw Cen MT"/>
          <w:b w:val="0"/>
          <w:bCs w:val="0"/>
          <w:sz w:val="18"/>
          <w:szCs w:val="18"/>
        </w:rPr>
        <w:t>μ</w:t>
      </w:r>
      <w:r w:rsidRPr="0032412B">
        <w:rPr>
          <w:rFonts w:ascii="Tw Cen MT" w:eastAsia="Tw Cen MT" w:hAnsi="Tw Cen MT" w:cs="Tw Cen MT"/>
          <w:b w:val="0"/>
          <w:bCs w:val="0"/>
          <w:sz w:val="18"/>
          <w:szCs w:val="18"/>
        </w:rPr>
        <w:t>M for 48 h. Real-time PCR for HOXB4 was performed from Control (untreated BMSCs), BG (BMSCs treated with 100 µM ghrelin), PD (BMSCs treated with 10 µM PD98059 and 100 µM ghrelin) and LY (BMSCs treated with 10 µM LY294002 and 100 µM ghrelin) groups. Relative gene expression changes were determined using Relative expression software tool 9 (REST 9). Values of P&lt;0.05 were considered statistically significant.</w:t>
      </w:r>
      <w:r w:rsidR="00E74AF0" w:rsidRPr="00E74AF0">
        <w:rPr>
          <w:rFonts w:asciiTheme="majorBidi" w:eastAsiaTheme="minorHAnsi" w:hAnsiTheme="majorBidi" w:cstheme="majorBidi"/>
          <w:b w:val="0"/>
          <w:bCs w:val="0"/>
          <w:sz w:val="22"/>
          <w:szCs w:val="22"/>
        </w:rPr>
        <w:t xml:space="preserve"> </w:t>
      </w:r>
      <w:r w:rsidR="00E74AF0" w:rsidRPr="00E74AF0">
        <w:rPr>
          <w:rFonts w:ascii="Tw Cen MT" w:eastAsia="Tw Cen MT" w:hAnsi="Tw Cen MT" w:cs="Tw Cen MT"/>
          <w:b w:val="0"/>
          <w:bCs w:val="0"/>
          <w:sz w:val="18"/>
          <w:szCs w:val="18"/>
        </w:rPr>
        <w:t>For immunofluorescence, cells were incubated Anti-Hoxb4 monoclonal antibodies. Primary antibodies were visualized using the FITC method.All data are presented as means ± SEM. Values of P&lt;0.05 were considered statistically significant.</w:t>
      </w:r>
    </w:p>
    <w:p w:rsidR="007B0A27" w:rsidRPr="007A2E2E" w:rsidRDefault="0032412B" w:rsidP="001A0151">
      <w:pPr>
        <w:pStyle w:val="Heading3"/>
        <w:spacing w:before="74"/>
        <w:jc w:val="both"/>
        <w:rPr>
          <w:rFonts w:ascii="Tw Cen MT" w:hAnsi="Tw Cen MT"/>
          <w:b w:val="0"/>
          <w:bCs w:val="0"/>
          <w:sz w:val="18"/>
          <w:szCs w:val="18"/>
        </w:rPr>
      </w:pPr>
      <w:r w:rsidRPr="0032412B">
        <w:rPr>
          <w:rFonts w:ascii="Tw Cen MT" w:eastAsia="Tw Cen MT" w:hAnsi="Tw Cen MT" w:cs="Tw Cen MT"/>
          <w:b w:val="0"/>
          <w:bCs w:val="0"/>
          <w:sz w:val="18"/>
          <w:szCs w:val="18"/>
        </w:rPr>
        <w:t>Results: Hoxb4 gene has been overexpressed in ghrelin treated BMSCs (</w:t>
      </w:r>
      <w:r w:rsidRPr="007A2E2E">
        <w:rPr>
          <w:rFonts w:ascii="Tw Cen MT" w:eastAsia="Tw Cen MT" w:hAnsi="Tw Cen MT" w:cs="Tw Cen MT"/>
          <w:b w:val="0"/>
          <w:bCs w:val="0"/>
          <w:sz w:val="18"/>
          <w:szCs w:val="18"/>
        </w:rPr>
        <w:t>P &lt; 0.05). PI3K inhibition by LY294002 significantly downregulated the ghrelin induced overexpression of Hoxb4 (P &lt; 0.05).</w:t>
      </w:r>
      <w:r w:rsidR="007B0A27" w:rsidRPr="007A2E2E">
        <w:rPr>
          <w:rFonts w:ascii="Tw Cen MT" w:eastAsia="Tw Cen MT" w:hAnsi="Tw Cen MT" w:cs="Tw Cen MT"/>
          <w:b w:val="0"/>
          <w:bCs w:val="0"/>
          <w:sz w:val="18"/>
          <w:szCs w:val="18"/>
        </w:rPr>
        <w:t xml:space="preserve"> </w:t>
      </w:r>
      <w:r w:rsidR="007B0A27" w:rsidRPr="007A2E2E">
        <w:rPr>
          <w:rFonts w:ascii="Tw Cen MT" w:hAnsi="Tw Cen MT"/>
          <w:b w:val="0"/>
          <w:bCs w:val="0"/>
          <w:sz w:val="18"/>
          <w:szCs w:val="18"/>
        </w:rPr>
        <w:t>The mean of ghrelin treated positive immunoreactive</w:t>
      </w:r>
      <w:r w:rsidR="000E27DD" w:rsidRPr="007A2E2E">
        <w:rPr>
          <w:rFonts w:ascii="Tw Cen MT" w:hAnsi="Tw Cen MT"/>
          <w:b w:val="0"/>
          <w:bCs w:val="0"/>
          <w:sz w:val="18"/>
          <w:szCs w:val="18"/>
        </w:rPr>
        <w:t xml:space="preserve"> </w:t>
      </w:r>
      <w:r w:rsidR="007B0A27" w:rsidRPr="007A2E2E">
        <w:rPr>
          <w:rFonts w:ascii="Tw Cen MT" w:hAnsi="Tw Cen MT"/>
          <w:b w:val="0"/>
          <w:bCs w:val="0"/>
          <w:sz w:val="18"/>
          <w:szCs w:val="18"/>
        </w:rPr>
        <w:t>BMSCs were 2.08±0.54, 26.22±1.16, 10.06±2.42 and 18.99±1.08 for B, BG, BH and BGH groups respectively.</w:t>
      </w:r>
    </w:p>
    <w:p w:rsidR="00AE3E37" w:rsidRDefault="0032412B" w:rsidP="001A0151">
      <w:pPr>
        <w:pStyle w:val="Heading3"/>
        <w:spacing w:before="74"/>
        <w:jc w:val="both"/>
      </w:pPr>
      <w:r w:rsidRPr="007A2E2E">
        <w:rPr>
          <w:rFonts w:ascii="Tw Cen MT" w:eastAsia="Tw Cen MT" w:hAnsi="Tw Cen MT" w:cs="Tw Cen MT"/>
          <w:b w:val="0"/>
          <w:bCs w:val="0"/>
          <w:sz w:val="18"/>
          <w:szCs w:val="18"/>
        </w:rPr>
        <w:t xml:space="preserve"> Conclusion: Ghrelin upregulates HOXB4 gene expression in rat’s BMSCs through PI3-kinase signaling pathway.</w:t>
      </w:r>
      <w:r w:rsidRPr="0032412B">
        <w:rPr>
          <w:rFonts w:ascii="Tw Cen MT" w:eastAsia="Tw Cen MT" w:hAnsi="Tw Cen MT" w:cs="Tw Cen MT"/>
          <w:b w:val="0"/>
          <w:bCs w:val="0"/>
          <w:sz w:val="18"/>
          <w:szCs w:val="18"/>
        </w:rPr>
        <w:t xml:space="preserve"> </w:t>
      </w:r>
      <w:r w:rsidR="00A9710C">
        <w:rPr>
          <w:b w:val="0"/>
        </w:rPr>
        <w:br w:type="column"/>
      </w:r>
      <w:r w:rsidR="00AA51D4">
        <w:rPr>
          <w:b w:val="0"/>
          <w:noProof/>
        </w:rPr>
        <w:lastRenderedPageBreak/>
        <w:drawing>
          <wp:inline distT="0" distB="0" distL="0" distR="0">
            <wp:extent cx="3198574" cy="2844000"/>
            <wp:effectExtent l="19050" t="0" r="1826" b="0"/>
            <wp:docPr id="7" name="Picture 4" descr="C:\Users\feyziidr\Desktop\Presentatio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eyziidr\Desktop\Presentation2.jpg"/>
                    <pic:cNvPicPr>
                      <a:picLocks noChangeAspect="1" noChangeArrowheads="1"/>
                    </pic:cNvPicPr>
                  </pic:nvPicPr>
                  <pic:blipFill>
                    <a:blip r:embed="rId9"/>
                    <a:srcRect l="16540" t="7692" r="12082" b="7077"/>
                    <a:stretch>
                      <a:fillRect/>
                    </a:stretch>
                  </pic:blipFill>
                  <pic:spPr bwMode="auto">
                    <a:xfrm>
                      <a:off x="0" y="0"/>
                      <a:ext cx="3198574" cy="2844000"/>
                    </a:xfrm>
                    <a:prstGeom prst="rect">
                      <a:avLst/>
                    </a:prstGeom>
                    <a:noFill/>
                    <a:ln w="9525">
                      <a:noFill/>
                      <a:miter lim="800000"/>
                      <a:headEnd/>
                      <a:tailEnd/>
                    </a:ln>
                  </pic:spPr>
                </pic:pic>
              </a:graphicData>
            </a:graphic>
          </wp:inline>
        </w:drawing>
      </w:r>
    </w:p>
    <w:p w:rsidR="00AE3E37" w:rsidRDefault="00AA51D4">
      <w:pPr>
        <w:pStyle w:val="BodyText"/>
        <w:spacing w:before="2"/>
        <w:rPr>
          <w:rFonts w:ascii="Arial"/>
          <w:b/>
          <w:sz w:val="16"/>
        </w:rPr>
      </w:pPr>
      <w:r>
        <w:rPr>
          <w:b/>
          <w:noProof/>
        </w:rPr>
        <w:drawing>
          <wp:inline distT="0" distB="0" distL="0" distR="0">
            <wp:extent cx="3035882" cy="2232000"/>
            <wp:effectExtent l="19050" t="0" r="0" b="0"/>
            <wp:docPr id="3" name="Picture 2" descr="C:\Users\feyziidr\Desktop\Presentat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eyziidr\Desktop\Presentation1.jpg"/>
                    <pic:cNvPicPr>
                      <a:picLocks noChangeAspect="1" noChangeArrowheads="1"/>
                    </pic:cNvPicPr>
                  </pic:nvPicPr>
                  <pic:blipFill>
                    <a:blip r:embed="rId10"/>
                    <a:srcRect l="13043" t="8923" r="9381" b="15385"/>
                    <a:stretch>
                      <a:fillRect/>
                    </a:stretch>
                  </pic:blipFill>
                  <pic:spPr bwMode="auto">
                    <a:xfrm>
                      <a:off x="0" y="0"/>
                      <a:ext cx="3035882" cy="2232000"/>
                    </a:xfrm>
                    <a:prstGeom prst="rect">
                      <a:avLst/>
                    </a:prstGeom>
                    <a:noFill/>
                    <a:ln w="9525">
                      <a:noFill/>
                      <a:miter lim="800000"/>
                      <a:headEnd/>
                      <a:tailEnd/>
                    </a:ln>
                  </pic:spPr>
                </pic:pic>
              </a:graphicData>
            </a:graphic>
          </wp:inline>
        </w:drawing>
      </w:r>
    </w:p>
    <w:p w:rsidR="005973B9" w:rsidRDefault="005973B9" w:rsidP="00B60201">
      <w:pPr>
        <w:spacing w:line="204" w:lineRule="exact"/>
        <w:rPr>
          <w:rFonts w:ascii="Arial"/>
          <w:b/>
          <w:sz w:val="20"/>
        </w:rPr>
      </w:pPr>
      <w:r>
        <w:rPr>
          <w:rFonts w:ascii="Arial"/>
          <w:b/>
          <w:color w:val="BF5A14"/>
          <w:sz w:val="20"/>
        </w:rPr>
        <w:t xml:space="preserve">Recent Publications </w:t>
      </w:r>
    </w:p>
    <w:p w:rsidR="00F706B6" w:rsidRPr="00F706B6" w:rsidRDefault="00342597" w:rsidP="00342597">
      <w:pPr>
        <w:pStyle w:val="ListParagraph"/>
        <w:numPr>
          <w:ilvl w:val="0"/>
          <w:numId w:val="3"/>
        </w:numPr>
        <w:tabs>
          <w:tab w:val="left" w:pos="384"/>
        </w:tabs>
        <w:spacing w:line="216" w:lineRule="exact"/>
        <w:ind w:right="137" w:hanging="283"/>
        <w:rPr>
          <w:sz w:val="18"/>
        </w:rPr>
      </w:pPr>
      <w:r>
        <w:rPr>
          <w:sz w:val="18"/>
        </w:rPr>
        <w:t xml:space="preserve">Alipour MR, Aliparasti MR, </w:t>
      </w:r>
      <w:r w:rsidR="00F706B6" w:rsidRPr="00F706B6">
        <w:rPr>
          <w:sz w:val="18"/>
        </w:rPr>
        <w:t xml:space="preserve"> Key</w:t>
      </w:r>
      <w:r>
        <w:rPr>
          <w:sz w:val="18"/>
        </w:rPr>
        <w:t>hanmanesh R et al.</w:t>
      </w:r>
      <w:r w:rsidR="00F706B6" w:rsidRPr="00F706B6">
        <w:rPr>
          <w:sz w:val="18"/>
        </w:rPr>
        <w:t xml:space="preserve"> </w:t>
      </w:r>
      <w:r>
        <w:rPr>
          <w:sz w:val="18"/>
        </w:rPr>
        <w:t>(</w:t>
      </w:r>
      <w:r w:rsidRPr="00F706B6">
        <w:rPr>
          <w:i/>
          <w:iCs/>
          <w:sz w:val="18"/>
        </w:rPr>
        <w:t>2011</w:t>
      </w:r>
      <w:r>
        <w:rPr>
          <w:i/>
          <w:iCs/>
          <w:sz w:val="18"/>
        </w:rPr>
        <w:t>)</w:t>
      </w:r>
      <w:r w:rsidR="00F706B6" w:rsidRPr="00F706B6">
        <w:rPr>
          <w:sz w:val="18"/>
        </w:rPr>
        <w:t xml:space="preserve"> Effect of Ghrelin on PKC-</w:t>
      </w:r>
      <w:r w:rsidR="00F706B6" w:rsidRPr="00F706B6">
        <w:rPr>
          <w:rFonts w:ascii="Arial" w:hAnsi="Arial" w:cs="Arial"/>
          <w:sz w:val="18"/>
        </w:rPr>
        <w:t>ε</w:t>
      </w:r>
      <w:r w:rsidR="00F706B6" w:rsidRPr="00F706B6">
        <w:rPr>
          <w:rFonts w:ascii="Tw Cen MT" w:hAnsi="Tw Cen MT" w:cs="Tw Cen MT"/>
          <w:sz w:val="18"/>
        </w:rPr>
        <w:t xml:space="preserve"> and PKC-</w:t>
      </w:r>
      <w:r w:rsidR="00F706B6" w:rsidRPr="00F706B6">
        <w:rPr>
          <w:rFonts w:ascii="Arial" w:hAnsi="Arial" w:cs="Arial"/>
          <w:sz w:val="18"/>
        </w:rPr>
        <w:t>δ</w:t>
      </w:r>
      <w:r w:rsidR="00F706B6" w:rsidRPr="00F706B6">
        <w:rPr>
          <w:rFonts w:ascii="Tw Cen MT" w:hAnsi="Tw Cen MT" w:cs="Tw Cen MT"/>
          <w:sz w:val="18"/>
        </w:rPr>
        <w:t xml:space="preserve"> gene expression in the pulmonary</w:t>
      </w:r>
      <w:r w:rsidR="00F706B6">
        <w:rPr>
          <w:rFonts w:ascii="Tw Cen MT" w:hAnsi="Tw Cen MT" w:cs="Tw Cen MT"/>
          <w:sz w:val="18"/>
        </w:rPr>
        <w:t xml:space="preserve"> </w:t>
      </w:r>
      <w:r w:rsidR="00F706B6" w:rsidRPr="00F706B6">
        <w:rPr>
          <w:sz w:val="18"/>
        </w:rPr>
        <w:t xml:space="preserve">arterial smooth muscles of chronic hypoxic rats. </w:t>
      </w:r>
      <w:r>
        <w:rPr>
          <w:i/>
          <w:iCs/>
          <w:sz w:val="18"/>
        </w:rPr>
        <w:t>J Endocrinol Invest</w:t>
      </w:r>
      <w:r w:rsidR="00F706B6" w:rsidRPr="00F706B6">
        <w:rPr>
          <w:i/>
          <w:iCs/>
          <w:sz w:val="18"/>
        </w:rPr>
        <w:t xml:space="preserve"> 34(10):e369-73.</w:t>
      </w:r>
    </w:p>
    <w:p w:rsidR="00685376" w:rsidRPr="00685376" w:rsidRDefault="00F706B6" w:rsidP="00AF5D15">
      <w:pPr>
        <w:pStyle w:val="ListParagraph"/>
        <w:numPr>
          <w:ilvl w:val="0"/>
          <w:numId w:val="3"/>
        </w:numPr>
        <w:tabs>
          <w:tab w:val="left" w:pos="384"/>
        </w:tabs>
        <w:spacing w:line="216" w:lineRule="exact"/>
        <w:ind w:right="138" w:hanging="283"/>
        <w:rPr>
          <w:sz w:val="18"/>
        </w:rPr>
      </w:pPr>
      <w:r w:rsidRPr="00685376">
        <w:rPr>
          <w:i/>
          <w:iCs/>
          <w:sz w:val="18"/>
        </w:rPr>
        <w:t xml:space="preserve"> </w:t>
      </w:r>
      <w:r w:rsidR="00685376" w:rsidRPr="00685376">
        <w:rPr>
          <w:i/>
          <w:iCs/>
          <w:sz w:val="18"/>
        </w:rPr>
        <w:t>Feizi</w:t>
      </w:r>
      <w:r w:rsidR="00342597">
        <w:rPr>
          <w:i/>
          <w:iCs/>
          <w:sz w:val="18"/>
        </w:rPr>
        <w:t xml:space="preserve"> H</w:t>
      </w:r>
      <w:r w:rsidR="00685376" w:rsidRPr="00685376">
        <w:rPr>
          <w:i/>
          <w:iCs/>
          <w:sz w:val="18"/>
        </w:rPr>
        <w:t>, Rajaee</w:t>
      </w:r>
      <w:r w:rsidR="00342597">
        <w:rPr>
          <w:i/>
          <w:iCs/>
          <w:sz w:val="18"/>
        </w:rPr>
        <w:t xml:space="preserve"> K</w:t>
      </w:r>
      <w:r w:rsidR="00685376" w:rsidRPr="00685376">
        <w:rPr>
          <w:i/>
          <w:iCs/>
          <w:sz w:val="18"/>
        </w:rPr>
        <w:t>, Rana Keyhanmanesh</w:t>
      </w:r>
      <w:r w:rsidR="00342597">
        <w:rPr>
          <w:i/>
          <w:iCs/>
          <w:sz w:val="18"/>
        </w:rPr>
        <w:t xml:space="preserve"> R et al. (2014)</w:t>
      </w:r>
      <w:r w:rsidR="00685376" w:rsidRPr="00685376">
        <w:rPr>
          <w:i/>
          <w:iCs/>
          <w:sz w:val="18"/>
        </w:rPr>
        <w:t xml:space="preserve"> Effect of Ghrelin on Renal Erythropoietin Production in chronic Hypoxic Rats. Endocr Regul 48(1): 3–8</w:t>
      </w:r>
      <w:r w:rsidR="00AF5D15">
        <w:rPr>
          <w:i/>
          <w:iCs/>
          <w:sz w:val="18"/>
        </w:rPr>
        <w:t>.</w:t>
      </w:r>
    </w:p>
    <w:p w:rsidR="002432A5" w:rsidRPr="002432A5" w:rsidRDefault="00A04C9D" w:rsidP="002432A5">
      <w:pPr>
        <w:pStyle w:val="ListParagraph"/>
        <w:numPr>
          <w:ilvl w:val="0"/>
          <w:numId w:val="3"/>
        </w:numPr>
        <w:tabs>
          <w:tab w:val="left" w:pos="384"/>
        </w:tabs>
        <w:spacing w:before="92" w:line="218" w:lineRule="exact"/>
        <w:ind w:hanging="283"/>
      </w:pPr>
      <w:r w:rsidRPr="00A04C9D">
        <w:rPr>
          <w:sz w:val="18"/>
        </w:rPr>
        <w:t>Varedi M, Moatari A, Amirghofran Z, Karamizadeh Z, Feizi H</w:t>
      </w:r>
      <w:r w:rsidR="00AF5D15">
        <w:rPr>
          <w:sz w:val="18"/>
        </w:rPr>
        <w:t xml:space="preserve"> (2014)</w:t>
      </w:r>
      <w:r w:rsidRPr="00A04C9D">
        <w:rPr>
          <w:sz w:val="18"/>
        </w:rPr>
        <w:t xml:space="preserve"> Effects of Hypo- and Hyper-thyroid States on Herpes Simplex Virus (HSV) Inf</w:t>
      </w:r>
      <w:r w:rsidR="00AF5D15">
        <w:rPr>
          <w:sz w:val="18"/>
        </w:rPr>
        <w:t>ectivity in The Rat. Endocr Res</w:t>
      </w:r>
      <w:r w:rsidRPr="00A04C9D">
        <w:rPr>
          <w:sz w:val="18"/>
        </w:rPr>
        <w:t xml:space="preserve"> 39(1):50-5. </w:t>
      </w:r>
    </w:p>
    <w:p w:rsidR="00AE3E37" w:rsidRPr="002432A5" w:rsidRDefault="002432A5" w:rsidP="002432A5">
      <w:pPr>
        <w:pStyle w:val="ListParagraph"/>
        <w:numPr>
          <w:ilvl w:val="0"/>
          <w:numId w:val="3"/>
        </w:numPr>
        <w:tabs>
          <w:tab w:val="left" w:pos="384"/>
        </w:tabs>
        <w:spacing w:before="92" w:line="218" w:lineRule="exact"/>
        <w:ind w:hanging="283"/>
        <w:rPr>
          <w:sz w:val="18"/>
          <w:szCs w:val="18"/>
        </w:rPr>
      </w:pPr>
      <w:r w:rsidRPr="002432A5">
        <w:rPr>
          <w:sz w:val="18"/>
          <w:szCs w:val="18"/>
        </w:rPr>
        <w:t>Abdanipour A, Shahsavandi B, Alipour M, Feizi H</w:t>
      </w:r>
      <w:r>
        <w:rPr>
          <w:sz w:val="18"/>
          <w:szCs w:val="18"/>
        </w:rPr>
        <w:t xml:space="preserve"> (2018)</w:t>
      </w:r>
      <w:r w:rsidRPr="002432A5">
        <w:rPr>
          <w:sz w:val="18"/>
          <w:szCs w:val="18"/>
        </w:rPr>
        <w:t xml:space="preserve"> Ghrelin upregulates Hoxb4 gene expression in rat bone marrow stromal cells. Cell J</w:t>
      </w:r>
      <w:r>
        <w:rPr>
          <w:sz w:val="18"/>
          <w:szCs w:val="18"/>
        </w:rPr>
        <w:t xml:space="preserve"> </w:t>
      </w:r>
      <w:r w:rsidRPr="002432A5">
        <w:rPr>
          <w:sz w:val="18"/>
          <w:szCs w:val="18"/>
        </w:rPr>
        <w:t>20(2): 183-187.</w:t>
      </w:r>
    </w:p>
    <w:p w:rsidR="004A5B7C" w:rsidRDefault="004A5B7C">
      <w:pPr>
        <w:spacing w:line="200" w:lineRule="exact"/>
        <w:jc w:val="both"/>
        <w:rPr>
          <w:rFonts w:ascii="Calibri" w:hAnsi="Calibri"/>
        </w:rPr>
        <w:sectPr w:rsidR="004A5B7C" w:rsidSect="001E0AD8">
          <w:type w:val="continuous"/>
          <w:pgSz w:w="11910" w:h="16840"/>
          <w:pgMar w:top="794" w:right="601" w:bottom="839" w:left="618" w:header="720" w:footer="720" w:gutter="0"/>
          <w:cols w:num="2" w:space="720" w:equalWidth="0">
            <w:col w:w="5216" w:space="138"/>
            <w:col w:w="5337"/>
          </w:cols>
        </w:sectPr>
      </w:pPr>
    </w:p>
    <w:p w:rsidR="00AE3E37" w:rsidRDefault="00AE3E37">
      <w:pPr>
        <w:pStyle w:val="BodyText"/>
        <w:rPr>
          <w:rFonts w:ascii="Calibri"/>
          <w:sz w:val="20"/>
        </w:rPr>
      </w:pPr>
    </w:p>
    <w:p w:rsidR="00AE3E37" w:rsidRDefault="007047C4">
      <w:pPr>
        <w:pStyle w:val="BodyText"/>
        <w:spacing w:line="40" w:lineRule="exact"/>
        <w:ind w:left="2202"/>
        <w:rPr>
          <w:rFonts w:ascii="Calibri"/>
          <w:sz w:val="4"/>
        </w:rPr>
      </w:pPr>
      <w:r w:rsidRPr="007047C4">
        <w:rPr>
          <w:rFonts w:ascii="Calibri"/>
          <w:noProof/>
          <w:sz w:val="4"/>
          <w:lang w:val="en-IN" w:eastAsia="en-IN"/>
        </w:rPr>
      </w:r>
      <w:r w:rsidRPr="007047C4">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B112DF" w:rsidRDefault="00B60201" w:rsidP="00111185">
      <w:pPr>
        <w:spacing w:before="92"/>
        <w:ind w:right="4234"/>
        <w:rPr>
          <w:noProof/>
        </w:rPr>
      </w:pPr>
      <w:r>
        <w:rPr>
          <w:noProof/>
        </w:rPr>
        <w:drawing>
          <wp:inline distT="0" distB="0" distL="0" distR="0">
            <wp:extent cx="412547" cy="585718"/>
            <wp:effectExtent l="19050" t="0" r="6553" b="0"/>
            <wp:docPr id="9" name="Picture 6" descr="F:\dr_feiz2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dr_feiz2i.jpg"/>
                    <pic:cNvPicPr>
                      <a:picLocks noChangeAspect="1" noChangeArrowheads="1"/>
                    </pic:cNvPicPr>
                  </pic:nvPicPr>
                  <pic:blipFill>
                    <a:blip r:embed="rId11"/>
                    <a:srcRect/>
                    <a:stretch>
                      <a:fillRect/>
                    </a:stretch>
                  </pic:blipFill>
                  <pic:spPr bwMode="auto">
                    <a:xfrm>
                      <a:off x="0" y="0"/>
                      <a:ext cx="439937" cy="624605"/>
                    </a:xfrm>
                    <a:prstGeom prst="rect">
                      <a:avLst/>
                    </a:prstGeom>
                    <a:noFill/>
                    <a:ln w="9525">
                      <a:noFill/>
                      <a:miter lim="800000"/>
                      <a:headEnd/>
                      <a:tailEnd/>
                    </a:ln>
                  </pic:spPr>
                </pic:pic>
              </a:graphicData>
            </a:graphic>
          </wp:inline>
        </w:drawing>
      </w:r>
      <w:r w:rsidR="004A5B7C">
        <w:rPr>
          <w:rFonts w:ascii="Arial"/>
          <w:color w:val="BF5A14"/>
        </w:rPr>
        <w:t xml:space="preserve">  </w:t>
      </w:r>
      <w:r w:rsidR="00A9710C">
        <w:rPr>
          <w:rFonts w:ascii="Arial"/>
          <w:color w:val="BF5A14"/>
        </w:rPr>
        <w:t>Biography</w:t>
      </w:r>
      <w:r w:rsidR="00404E5B">
        <w:rPr>
          <w:rFonts w:ascii="Arial"/>
          <w:color w:val="BF5A14"/>
        </w:rPr>
        <w:t xml:space="preserve"> </w:t>
      </w:r>
    </w:p>
    <w:p w:rsidR="00BF0A6E" w:rsidRDefault="0014539F" w:rsidP="0014539F">
      <w:pPr>
        <w:spacing w:before="41" w:line="154" w:lineRule="exact"/>
        <w:ind w:left="213" w:right="231"/>
        <w:jc w:val="both"/>
        <w:rPr>
          <w:rFonts w:ascii="Arial"/>
          <w:sz w:val="14"/>
        </w:rPr>
      </w:pPr>
      <w:r>
        <w:rPr>
          <w:rFonts w:ascii="Arial"/>
          <w:sz w:val="14"/>
        </w:rPr>
        <w:t xml:space="preserve">I am </w:t>
      </w:r>
      <w:r w:rsidR="003740F9">
        <w:rPr>
          <w:rFonts w:ascii="Arial"/>
          <w:sz w:val="14"/>
        </w:rPr>
        <w:t>Hadi Feizi</w:t>
      </w:r>
      <w:r w:rsidR="00A9710C">
        <w:rPr>
          <w:rFonts w:ascii="Arial"/>
          <w:sz w:val="14"/>
        </w:rPr>
        <w:t xml:space="preserve"> </w:t>
      </w:r>
      <w:r w:rsidR="00D41D9D">
        <w:rPr>
          <w:rFonts w:ascii="Arial"/>
          <w:sz w:val="14"/>
        </w:rPr>
        <w:t>who his</w:t>
      </w:r>
      <w:r w:rsidR="00A9710C">
        <w:rPr>
          <w:rFonts w:ascii="Arial"/>
          <w:sz w:val="14"/>
        </w:rPr>
        <w:t xml:space="preserve"> expertise</w:t>
      </w:r>
      <w:r>
        <w:rPr>
          <w:rFonts w:ascii="Arial"/>
          <w:sz w:val="14"/>
        </w:rPr>
        <w:t xml:space="preserve"> is</w:t>
      </w:r>
      <w:r w:rsidR="00A9710C">
        <w:rPr>
          <w:rFonts w:ascii="Arial"/>
          <w:sz w:val="14"/>
        </w:rPr>
        <w:t xml:space="preserve"> in </w:t>
      </w:r>
      <w:r w:rsidR="003740F9">
        <w:rPr>
          <w:rFonts w:ascii="Arial"/>
          <w:sz w:val="14"/>
        </w:rPr>
        <w:t>Medical physiology</w:t>
      </w:r>
      <w:r w:rsidR="00A9710C">
        <w:rPr>
          <w:rFonts w:ascii="Arial"/>
          <w:sz w:val="14"/>
        </w:rPr>
        <w:t xml:space="preserve">. </w:t>
      </w:r>
      <w:r w:rsidR="002F7E6C" w:rsidRPr="002F7E6C">
        <w:rPr>
          <w:rFonts w:ascii="Arial"/>
          <w:sz w:val="14"/>
        </w:rPr>
        <w:t>I am very intereste</w:t>
      </w:r>
      <w:r w:rsidR="00D433CD">
        <w:rPr>
          <w:rFonts w:ascii="Arial"/>
          <w:sz w:val="14"/>
        </w:rPr>
        <w:t>d in</w:t>
      </w:r>
      <w:r w:rsidR="004A5B7C">
        <w:rPr>
          <w:rFonts w:ascii="Arial"/>
          <w:sz w:val="14"/>
        </w:rPr>
        <w:t xml:space="preserve"> cellular and </w:t>
      </w:r>
      <w:r w:rsidR="002F7E6C" w:rsidRPr="002F7E6C">
        <w:rPr>
          <w:rFonts w:ascii="Arial"/>
          <w:sz w:val="14"/>
        </w:rPr>
        <w:t>molecular mechanisms of</w:t>
      </w:r>
      <w:r w:rsidR="002F7E6C">
        <w:rPr>
          <w:rFonts w:ascii="Arial"/>
          <w:sz w:val="14"/>
        </w:rPr>
        <w:t xml:space="preserve"> physiological actions of endogenous peptides such as ghrelin.</w:t>
      </w:r>
      <w:r w:rsidR="00BF0A6E" w:rsidRPr="00BF0A6E">
        <w:t xml:space="preserve"> </w:t>
      </w:r>
      <w:r w:rsidR="00BF0A6E" w:rsidRPr="00BF0A6E">
        <w:rPr>
          <w:rFonts w:ascii="Arial"/>
          <w:sz w:val="14"/>
        </w:rPr>
        <w:t>Currently, I am a faculty member in Zanjan University of Medical Sciences, Zanjan, Iran.</w:t>
      </w:r>
    </w:p>
    <w:p w:rsidR="00AE3E37" w:rsidRDefault="00A9710C" w:rsidP="00BF0A6E">
      <w:pPr>
        <w:spacing w:before="41" w:line="154" w:lineRule="exact"/>
        <w:ind w:left="213" w:right="231"/>
        <w:jc w:val="center"/>
        <w:rPr>
          <w:rFonts w:ascii="Minion Pro"/>
          <w:sz w:val="24"/>
        </w:rPr>
        <w:sectPr w:rsidR="00AE3E37">
          <w:type w:val="continuous"/>
          <w:pgSz w:w="11910" w:h="16840"/>
          <w:pgMar w:top="1740" w:right="600" w:bottom="840" w:left="620" w:header="720" w:footer="720" w:gutter="0"/>
          <w:cols w:space="720"/>
        </w:sectPr>
      </w:pPr>
      <w:r>
        <w:rPr>
          <w:rFonts w:ascii="Arial"/>
          <w:sz w:val="14"/>
        </w:rPr>
        <w:t xml:space="preserve">Email: </w:t>
      </w:r>
      <w:hyperlink r:id="rId12" w:history="1">
        <w:r w:rsidR="00111185" w:rsidRPr="00B156CE">
          <w:rPr>
            <w:rStyle w:val="Hyperlink"/>
            <w:rFonts w:ascii="Arial"/>
            <w:sz w:val="14"/>
          </w:rPr>
          <w:t>hfeizik@zums.ac.ir</w:t>
        </w:r>
      </w:hyperlink>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5E35" w:rsidRDefault="00305E35">
      <w:r>
        <w:separator/>
      </w:r>
    </w:p>
  </w:endnote>
  <w:endnote w:type="continuationSeparator" w:id="1">
    <w:p w:rsidR="00305E35" w:rsidRDefault="00305E3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61002A87" w:usb1="80000000" w:usb2="00000008"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047C4">
    <w:pPr>
      <w:pStyle w:val="BodyText"/>
      <w:spacing w:line="14" w:lineRule="auto"/>
      <w:rPr>
        <w:sz w:val="20"/>
      </w:rPr>
    </w:pPr>
    <w:r w:rsidRPr="007047C4">
      <w:rPr>
        <w:noProof/>
        <w:lang w:val="en-IN" w:eastAsia="en-IN"/>
      </w:rPr>
      <w:pict>
        <v:shapetype id="_x0000_t202" coordsize="21600,21600" o:spt="202" path="m,l,21600r21600,l21600,xe">
          <v:stroke joinstyle="miter"/>
          <v:path gradientshapeok="t" o:connecttype="rect"/>
        </v:shapetype>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5E35" w:rsidRDefault="00305E35">
      <w:r>
        <w:separator/>
      </w:r>
    </w:p>
  </w:footnote>
  <w:footnote w:type="continuationSeparator" w:id="1">
    <w:p w:rsidR="00305E35" w:rsidRDefault="00305E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E3E37">
    <w:pPr>
      <w:pStyle w:val="BodyText"/>
      <w:spacing w:line="14"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7DD"/>
    <w:rsid w:val="000E2911"/>
    <w:rsid w:val="00100F97"/>
    <w:rsid w:val="00111185"/>
    <w:rsid w:val="001263DF"/>
    <w:rsid w:val="0014539F"/>
    <w:rsid w:val="001A0151"/>
    <w:rsid w:val="001E0AD8"/>
    <w:rsid w:val="002432A5"/>
    <w:rsid w:val="002455EC"/>
    <w:rsid w:val="00292ED9"/>
    <w:rsid w:val="002F1353"/>
    <w:rsid w:val="002F7E6C"/>
    <w:rsid w:val="00305E35"/>
    <w:rsid w:val="0032412B"/>
    <w:rsid w:val="00342597"/>
    <w:rsid w:val="00362E5D"/>
    <w:rsid w:val="003740F9"/>
    <w:rsid w:val="00404E5B"/>
    <w:rsid w:val="00414F7B"/>
    <w:rsid w:val="004355DC"/>
    <w:rsid w:val="004749B4"/>
    <w:rsid w:val="00494130"/>
    <w:rsid w:val="004A5B7C"/>
    <w:rsid w:val="004F3523"/>
    <w:rsid w:val="005973B9"/>
    <w:rsid w:val="005B3A56"/>
    <w:rsid w:val="006060CE"/>
    <w:rsid w:val="0063497F"/>
    <w:rsid w:val="00675BCD"/>
    <w:rsid w:val="00685376"/>
    <w:rsid w:val="007047C4"/>
    <w:rsid w:val="00763D57"/>
    <w:rsid w:val="00782F11"/>
    <w:rsid w:val="007A2E2E"/>
    <w:rsid w:val="007B0A27"/>
    <w:rsid w:val="0084170F"/>
    <w:rsid w:val="00873DF0"/>
    <w:rsid w:val="008756E6"/>
    <w:rsid w:val="008A08B6"/>
    <w:rsid w:val="009B2D44"/>
    <w:rsid w:val="00A04C9D"/>
    <w:rsid w:val="00A07E82"/>
    <w:rsid w:val="00A9710C"/>
    <w:rsid w:val="00AA51D4"/>
    <w:rsid w:val="00AE3E37"/>
    <w:rsid w:val="00AF5D15"/>
    <w:rsid w:val="00B112DF"/>
    <w:rsid w:val="00B21A57"/>
    <w:rsid w:val="00B60201"/>
    <w:rsid w:val="00BF0A6E"/>
    <w:rsid w:val="00C33602"/>
    <w:rsid w:val="00CD6F55"/>
    <w:rsid w:val="00D41D9D"/>
    <w:rsid w:val="00D433CD"/>
    <w:rsid w:val="00D965E5"/>
    <w:rsid w:val="00DE3104"/>
    <w:rsid w:val="00DF1638"/>
    <w:rsid w:val="00E20E47"/>
    <w:rsid w:val="00E26B10"/>
    <w:rsid w:val="00E74AF0"/>
    <w:rsid w:val="00F0528C"/>
    <w:rsid w:val="00F706B6"/>
    <w:rsid w:val="00F72EEA"/>
    <w:rsid w:val="00F84CAE"/>
    <w:rsid w:val="00FC55FC"/>
    <w:rsid w:val="00FD66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hfeizik@zums.ac.i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488</Words>
  <Characters>2784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feyziidr</cp:lastModifiedBy>
  <cp:revision>37</cp:revision>
  <dcterms:created xsi:type="dcterms:W3CDTF">2018-12-18T09:14:00Z</dcterms:created>
  <dcterms:modified xsi:type="dcterms:W3CDTF">2018-12-18T10:25:00Z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