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document.xml" ContentType="application/vnd.openxmlformats-officedocument.wordprocessingml.document.main+xml"/>
  <Override PartName="/word/numbering.xml" ContentType="application/vnd.openxmlformats-officedocument.wordprocessingml.numbering+xml"/>
  <Override PartName="/word/_rels/document.xml.rels" ContentType="application/vnd.openxmlformats-package.relationships+xml"/>
  <Override PartName="/word/settings.xml" ContentType="application/vnd.openxmlformats-officedocument.wordprocessingml.settings+xml"/>
  <Override PartName="/word/media/image2.jpeg" ContentType="image/jpeg"/>
  <Override PartName="/word/media/image3.png" ContentType="image/png"/>
  <Override PartName="/word/media/image1.jpeg" ContentType="image/jpeg"/>
  <Override PartName="/word/theme/theme1.xml" ContentType="application/vnd.openxmlformats-officedocument.theme+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rPr>
          <w:sz w:val="18"/>
          <w:szCs w:val="18"/>
        </w:rPr>
      </w:pPr>
      <w:r>
        <w:rPr>
          <w:sz w:val="18"/>
          <w:szCs w:val="18"/>
        </w:rPr>
        <w:t xml:space="preserve">            </w:t>
      </w:r>
      <w:r>
        <w:rPr>
          <w:sz w:val="18"/>
          <w:szCs w:val="18"/>
        </w:rPr>
        <w:drawing>
          <wp:inline distT="0" distB="0" distL="0" distR="0">
            <wp:extent cx="7359650" cy="953770"/>
            <wp:effectExtent l="0" t="0" r="0" b="0"/>
            <wp:docPr id="1" name="Picture 1" descr="C:\Users\primaryhealth-minl\Desktop\Education Research 2019\Education Congress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rimaryhealth-minl\Desktop\Education Research 2019\Education Congress 2019.jpg"/>
                    <pic:cNvPicPr>
                      <a:picLocks noChangeAspect="1" noChangeArrowheads="1"/>
                    </pic:cNvPicPr>
                  </pic:nvPicPr>
                  <pic:blipFill>
                    <a:blip r:embed="rId2"/>
                    <a:stretch>
                      <a:fillRect/>
                    </a:stretch>
                  </pic:blipFill>
                  <pic:spPr bwMode="auto">
                    <a:xfrm>
                      <a:off x="0" y="0"/>
                      <a:ext cx="7359650" cy="953770"/>
                    </a:xfrm>
                    <a:prstGeom prst="rect">
                      <a:avLst/>
                    </a:prstGeom>
                  </pic:spPr>
                </pic:pic>
              </a:graphicData>
            </a:graphic>
          </wp:inline>
        </w:drawing>
      </w:r>
      <w:r>
        <w:rPr>
          <w:sz w:val="18"/>
          <w:szCs w:val="18"/>
        </w:rPr>
        <w:t xml:space="preserve">        </w:t>
      </w:r>
    </w:p>
    <w:p>
      <w:pPr>
        <w:pStyle w:val="TextBody"/>
        <w:spacing w:before="5" w:after="0"/>
        <w:rPr>
          <w:sz w:val="18"/>
          <w:szCs w:val="18"/>
        </w:rPr>
      </w:pPr>
      <w:r>
        <w:rPr>
          <w:sz w:val="18"/>
          <w:szCs w:val="18"/>
        </w:rPr>
        <mc:AlternateContent>
          <mc:Choice Requires="wps">
            <w:drawing>
              <wp:anchor behindDoc="1" distT="0" distB="0" distL="0" distR="0" simplePos="0" locked="0" layoutInCell="1" allowOverlap="1" relativeHeight="3">
                <wp:simplePos x="0" y="0"/>
                <wp:positionH relativeFrom="page">
                  <wp:posOffset>169545</wp:posOffset>
                </wp:positionH>
                <wp:positionV relativeFrom="paragraph">
                  <wp:posOffset>122555</wp:posOffset>
                </wp:positionV>
                <wp:extent cx="5054600" cy="13970"/>
                <wp:effectExtent l="0" t="0" r="0" b="0"/>
                <wp:wrapTopAndBottom/>
                <wp:docPr id="2" name="Image1"/>
                <a:graphic xmlns:a="http://schemas.openxmlformats.org/drawingml/2006/main">
                  <a:graphicData uri="http://schemas.microsoft.com/office/word/2010/wordprocessingShape">
                    <wps:wsp>
                      <wps:cNvSpPr/>
                      <wps:spPr>
                        <a:xfrm flipV="1">
                          <a:off x="0" y="0"/>
                          <a:ext cx="5054040" cy="6840"/>
                        </a:xfrm>
                        <a:prstGeom prst="line">
                          <a:avLst/>
                        </a:prstGeom>
                        <a:ln w="25560">
                          <a:solidFill>
                            <a:srgbClr val="5a5a5a"/>
                          </a:solidFill>
                          <a:round/>
                        </a:ln>
                      </wps:spPr>
                      <wps:style>
                        <a:lnRef idx="0"/>
                        <a:fillRef idx="0"/>
                        <a:effectRef idx="0"/>
                        <a:fontRef idx="minor"/>
                      </wps:style>
                      <wps:bodyPr/>
                    </wps:wsp>
                  </a:graphicData>
                </a:graphic>
              </wp:anchor>
            </w:drawing>
          </mc:Choice>
          <mc:Fallback>
            <w:pict>
              <v:line id="shape_0" from="13.35pt,9.45pt" to="411.25pt,9.95pt" ID="Image1" stroked="t" style="position:absolute;flip:y;mso-position-horizontal-relative:page">
                <v:stroke color="#5a5a5a" weight="25560" joinstyle="round" endcap="flat"/>
                <v:fill o:detectmouseclick="t" on="false"/>
              </v:line>
            </w:pict>
          </mc:Fallback>
        </mc:AlternateContent>
      </w:r>
    </w:p>
    <w:p>
      <w:pPr>
        <w:pStyle w:val="Heading1"/>
        <w:ind w:left="1105" w:right="1062" w:hanging="0"/>
        <w:jc w:val="center"/>
        <w:rPr/>
      </w:pPr>
      <w:r>
        <w:rPr>
          <w:color w:val="585858"/>
          <w:sz w:val="18"/>
          <w:szCs w:val="18"/>
          <w:u w:val="thick" w:color="585858"/>
        </w:rPr>
        <w:t xml:space="preserve">Abstract </w:t>
      </w:r>
    </w:p>
    <w:p>
      <w:pPr>
        <w:pStyle w:val="TextBody"/>
        <w:rPr>
          <w:b/>
          <w:b/>
          <w:sz w:val="18"/>
          <w:szCs w:val="18"/>
        </w:rPr>
      </w:pPr>
      <w:r>
        <w:rPr>
          <w:b/>
          <w:sz w:val="18"/>
          <w:szCs w:val="18"/>
        </w:rPr>
      </w:r>
    </w:p>
    <w:p>
      <w:pPr>
        <w:pStyle w:val="Normal"/>
        <w:spacing w:before="92" w:after="0"/>
        <w:ind w:left="594" w:right="151" w:hanging="0"/>
        <w:rPr/>
      </w:pPr>
      <w:r>
        <w:rPr>
          <w:b/>
          <w:color w:val="585858"/>
          <w:sz w:val="18"/>
          <w:szCs w:val="18"/>
        </w:rPr>
        <w:t>Title: Development of the national curriculum for metallurgical engineering using Posner’s Model of Curriculum Analysis</w:t>
      </w:r>
    </w:p>
    <w:p>
      <w:pPr>
        <w:pStyle w:val="Heading3"/>
        <w:spacing w:lineRule="exact" w:line="214"/>
        <w:ind w:left="594" w:hanging="0"/>
        <w:rPr/>
      </w:pPr>
      <w:r>
        <w:rPr>
          <w:color w:val="585858"/>
          <w:sz w:val="18"/>
          <w:szCs w:val="18"/>
        </w:rPr>
        <w:t>EIGEN JOHN T. IGNACIO</w:t>
      </w:r>
      <w:r>
        <w:rPr>
          <w:color w:val="585858"/>
          <w:position w:val="9"/>
          <w:sz w:val="18"/>
          <w:szCs w:val="18"/>
        </w:rPr>
        <w:t>1</w:t>
      </w:r>
    </w:p>
    <w:p>
      <w:pPr>
        <w:pStyle w:val="TextBody"/>
        <w:spacing w:lineRule="exact" w:line="231" w:before="126" w:after="0"/>
        <w:ind w:left="594" w:hanging="0"/>
        <w:rPr/>
      </w:pPr>
      <w:r>
        <w:rPr>
          <w:color w:val="585858"/>
          <w:position w:val="9"/>
          <w:sz w:val="18"/>
          <w:szCs w:val="18"/>
        </w:rPr>
        <w:t>1</w:t>
      </w:r>
      <w:r>
        <w:rPr>
          <w:color w:val="585858"/>
          <w:sz w:val="18"/>
          <w:szCs w:val="18"/>
        </w:rPr>
        <w:t>College of Education, Mindanao State University – Iligan Institute of Technology, Iligan, Philippines</w:t>
      </w:r>
    </w:p>
    <w:p>
      <w:pPr>
        <w:pStyle w:val="TextBody"/>
        <w:spacing w:before="9" w:after="0"/>
        <w:rPr>
          <w:sz w:val="18"/>
          <w:szCs w:val="18"/>
        </w:rPr>
      </w:pPr>
      <w:r>
        <w:rPr>
          <w:sz w:val="18"/>
          <w:szCs w:val="18"/>
        </w:rPr>
      </w:r>
    </w:p>
    <w:p>
      <w:pPr>
        <w:sectPr>
          <w:type w:val="nextPage"/>
          <w:pgSz w:w="11906" w:h="16838"/>
          <w:pgMar w:left="140" w:right="180" w:header="0" w:top="600" w:footer="0" w:bottom="280" w:gutter="0"/>
          <w:pgNumType w:fmt="decimal"/>
          <w:formProt w:val="false"/>
          <w:textDirection w:val="lrTb"/>
          <w:docGrid w:type="default" w:linePitch="600" w:charSpace="36864"/>
        </w:sectPr>
      </w:pPr>
    </w:p>
    <w:p>
      <w:pPr>
        <w:pStyle w:val="Heading3"/>
        <w:spacing w:before="114" w:after="0"/>
        <w:ind w:left="426" w:right="9" w:hanging="0"/>
        <w:jc w:val="both"/>
        <w:rPr/>
      </w:pPr>
      <w:r>
        <w:rPr>
          <w:color w:val="585858"/>
          <w:sz w:val="18"/>
          <w:szCs w:val="18"/>
        </w:rPr>
        <w:t>Keywords: Curriculum development, Philippines, Metallurgical engineering</w:t>
      </w:r>
    </w:p>
    <w:p>
      <w:pPr>
        <w:pStyle w:val="TextBody"/>
        <w:rPr>
          <w:b/>
          <w:b/>
          <w:sz w:val="18"/>
          <w:szCs w:val="18"/>
        </w:rPr>
      </w:pPr>
      <w:r>
        <w:rPr>
          <w:b/>
          <w:sz w:val="18"/>
          <w:szCs w:val="18"/>
        </w:rPr>
      </w:r>
    </w:p>
    <w:p>
      <w:pPr>
        <w:pStyle w:val="TextBody"/>
        <w:spacing w:before="10" w:after="0"/>
        <w:rPr>
          <w:b/>
          <w:b/>
          <w:sz w:val="18"/>
          <w:szCs w:val="18"/>
        </w:rPr>
      </w:pPr>
      <w:r>
        <w:rPr>
          <w:b/>
          <w:sz w:val="18"/>
          <w:szCs w:val="18"/>
        </w:rPr>
      </w:r>
    </w:p>
    <w:p>
      <w:pPr>
        <w:pStyle w:val="ListParagraph"/>
        <w:numPr>
          <w:ilvl w:val="0"/>
          <w:numId w:val="1"/>
        </w:numPr>
        <w:tabs>
          <w:tab w:val="left" w:pos="1866" w:leader="none"/>
          <w:tab w:val="left" w:pos="1867" w:leader="none"/>
        </w:tabs>
        <w:ind w:left="1866" w:hanging="446"/>
        <w:jc w:val="left"/>
        <w:rPr/>
      </w:pPr>
      <w:r>
        <w:rPr>
          <w:b/>
          <w:color w:val="585858"/>
          <w:sz w:val="18"/>
          <w:szCs w:val="18"/>
        </w:rPr>
        <w:t>Abstract Body</w:t>
      </w:r>
    </w:p>
    <w:p>
      <w:pPr>
        <w:pStyle w:val="TextBody"/>
        <w:spacing w:before="117" w:after="0"/>
        <w:ind w:left="426" w:hanging="0"/>
        <w:jc w:val="both"/>
        <w:rPr/>
      </w:pPr>
      <w:r>
        <w:rPr>
          <w:color w:val="585858"/>
          <w:sz w:val="18"/>
          <w:szCs w:val="18"/>
        </w:rPr>
        <w:t xml:space="preserve">This study traces the developmental history of the national curriculum for Metallurgical Engineering in the Philippines, represented by CHED Memorandum Order No. 11 series of 2008, in an attempt to uncover how it was developed. This study employed Posner’s model of curriculum analysis (2004), looking into the laws and government policies that form the backbone of the development process, the backgrounds and qualifications of the people involved in making curriculum decisions, the internal and external factors that influence their decisions, and the nature of the curriculum decisions themselves. Gathered curriculum documents were analyzed for changes and interviews used to understand the reasons for the changes identified. It was found that the development process revolved around Content and Sequencing, dictated by benchmarking with curricula from abroad as well as the demands of the metallurgy industry. The developers based their decisions primarily upon their experience as practitioners and instructors, intuition, and personal preference. </w:t>
      </w:r>
    </w:p>
    <w:p>
      <w:pPr>
        <w:pStyle w:val="TextBody"/>
        <w:numPr>
          <w:ilvl w:val="0"/>
          <w:numId w:val="3"/>
        </w:numPr>
        <w:spacing w:before="117" w:after="0"/>
        <w:ind w:left="426" w:hanging="0"/>
        <w:jc w:val="both"/>
        <w:rPr/>
      </w:pPr>
      <w:r>
        <w:rPr>
          <w:b/>
          <w:color w:val="585858"/>
          <w:sz w:val="18"/>
          <w:szCs w:val="18"/>
        </w:rPr>
        <w:t>Reference:</w:t>
      </w:r>
    </w:p>
    <w:p>
      <w:pPr>
        <w:pStyle w:val="TextBody"/>
        <w:spacing w:before="9" w:after="0"/>
        <w:rPr>
          <w:b/>
          <w:b/>
          <w:sz w:val="18"/>
          <w:szCs w:val="18"/>
        </w:rPr>
      </w:pPr>
      <w:r>
        <w:rPr>
          <w:b/>
          <w:sz w:val="18"/>
          <w:szCs w:val="18"/>
        </w:rPr>
      </w:r>
    </w:p>
    <w:p>
      <w:pPr>
        <w:pStyle w:val="TextBody"/>
        <w:tabs>
          <w:tab w:val="left" w:pos="1037" w:leader="none"/>
        </w:tabs>
        <w:ind w:left="1037" w:right="696" w:hanging="360"/>
        <w:rPr/>
      </w:pPr>
      <w:r>
        <w:rPr>
          <w:color w:val="585858"/>
          <w:sz w:val="18"/>
          <w:szCs w:val="18"/>
        </w:rPr>
        <w:t>1</w:t>
        <w:tab/>
        <w:t>Carlgren, I., 1995. National curriculum as social compromise or discursive politics? some reflections on a curriculum-making process. Journal of Curriculum Studies, 27; 411, 430.</w:t>
      </w:r>
    </w:p>
    <w:p>
      <w:pPr>
        <w:pStyle w:val="TextBody"/>
        <w:tabs>
          <w:tab w:val="left" w:pos="1037" w:leader="none"/>
        </w:tabs>
        <w:ind w:left="1037" w:right="696" w:hanging="36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Commission on Higher Education, 1996. New general education curriculum (gec). (CMO No. 59)</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Commission on Higher Education, 1997. Curricular guidelines for engineering education. (CMO No. 49)</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Commission on Higher Education, 2008. Policies and standards for the degree of bachelor of science in metallurgical engineering program. (CMO No. 11)</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Commission on Higher Education, 2012. Policies, standards and guidelines in the establishment of an outcomes-based education (obe) system in higher education institutions offering engineering programs. (CMO No. 37)</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Doll, R. C., 1996. Curriculum improvement: Decision making and process (9th ed.). Needham Heights, MA: Allyn &amp; Bacon.</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 xml:space="preserve">Engineers’ Council for Professional Development, 1947. Canons of ethics for engineers. New York: Engineers’ Council for Professional Development. </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Latucca, L. R., and J. S. Stark, 2009. Shaping the college curriculum: Academic plans in context (2nd ed.). San Francisco, CA: Jossey-Bass.</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Levin, B., 2008. Curriculum policy and the politics of what should be learned in schools. In F. M. Connelly (Ed.), The sage handbook of curriculum and instruction (pp. 7 – 24). Thousand Oaks, CA: Sage Publications.</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Marshall, C., Mitchell, D., and F. Wirt, 1997. Culture and education policy in american states. Lewes, UK: Falmer.</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Professional Regulation Commission, 1980, June. Board of metallurgical engineering rules and regulations.</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Posner, G. J., 2004. Analyzing the curriculum (3rd ed.). New York: McGraw-Hill.</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Print, M., 1993. Curriculum development and design (2nd ed.). Sydney: Allen &amp; Unwin.</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Saylor, J. G., and W. M. Alexander, 1954. Curriculum planning for better teaching and learning. New York: Rinehart &amp; Company.</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Schubert, W. H. (1986). Curriculum: Perspective, paradigm, and possibility. New York: Macmillan Publishing Company.</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Schwab, J. J., 1971. The practical: Arts of eclectic. School Review, 79 (4), 493 – 542. Retrieved from http://www.jstor.org/stable/1084342</w:t>
      </w:r>
    </w:p>
    <w:p>
      <w:pPr>
        <w:pStyle w:val="ListParagraph"/>
        <w:numPr>
          <w:ilvl w:val="0"/>
          <w:numId w:val="0"/>
        </w:numPr>
        <w:tabs>
          <w:tab w:val="left" w:pos="1037" w:leader="none"/>
          <w:tab w:val="left" w:pos="1038" w:leader="none"/>
        </w:tabs>
        <w:ind w:left="2347" w:hanging="0"/>
        <w:rPr>
          <w:color w:val="585858"/>
          <w:sz w:val="18"/>
          <w:szCs w:val="18"/>
        </w:rPr>
      </w:pPr>
      <w:r>
        <w:rPr>
          <w:color w:val="585858"/>
          <w:sz w:val="18"/>
          <w:szCs w:val="18"/>
        </w:rPr>
      </w:r>
    </w:p>
    <w:p>
      <w:pPr>
        <w:pStyle w:val="ListParagraph"/>
        <w:numPr>
          <w:ilvl w:val="0"/>
          <w:numId w:val="2"/>
        </w:numPr>
        <w:tabs>
          <w:tab w:val="left" w:pos="1037" w:leader="none"/>
          <w:tab w:val="left" w:pos="1038" w:leader="none"/>
        </w:tabs>
        <w:rPr>
          <w:color w:val="585858"/>
          <w:sz w:val="18"/>
          <w:szCs w:val="18"/>
        </w:rPr>
      </w:pPr>
      <w:r>
        <w:rPr>
          <w:color w:val="585858"/>
          <w:sz w:val="18"/>
          <w:szCs w:val="18"/>
        </w:rPr>
        <w:t>Walker, D., 1971. A naturalistic model for curriculum development. School Review, 80 (1); 51 – 65.</w:t>
      </w:r>
    </w:p>
    <w:p>
      <w:pPr>
        <w:pStyle w:val="TextBody"/>
        <w:spacing w:before="2" w:after="0"/>
        <w:rPr>
          <w:color w:val="585858"/>
          <w:sz w:val="18"/>
          <w:szCs w:val="18"/>
        </w:rPr>
      </w:pPr>
      <w:r>
        <w:rPr>
          <w:color w:val="585858"/>
          <w:sz w:val="18"/>
          <w:szCs w:val="18"/>
        </w:rPr>
      </w:r>
    </w:p>
    <w:p>
      <w:pPr>
        <w:pStyle w:val="Heading3"/>
        <w:numPr>
          <w:ilvl w:val="0"/>
          <w:numId w:val="1"/>
        </w:numPr>
        <w:tabs>
          <w:tab w:val="left" w:pos="1758" w:leader="none"/>
        </w:tabs>
        <w:ind w:left="1757" w:hanging="447"/>
        <w:jc w:val="left"/>
        <w:rPr>
          <w:sz w:val="18"/>
          <w:szCs w:val="18"/>
        </w:rPr>
      </w:pPr>
      <w:r>
        <w:rPr>
          <w:color w:val="585858"/>
          <w:sz w:val="18"/>
          <w:szCs w:val="18"/>
        </w:rPr>
        <w:t>Biography:</w:t>
      </w:r>
    </w:p>
    <w:p>
      <w:pPr>
        <w:pStyle w:val="TextBody"/>
        <w:spacing w:before="119" w:after="0"/>
        <w:ind w:left="316" w:right="381" w:hanging="0"/>
        <w:jc w:val="both"/>
        <w:rPr/>
      </w:pPr>
      <w:r>
        <w:rPr>
          <w:color w:val="585858"/>
          <w:sz w:val="18"/>
          <w:szCs w:val="18"/>
        </w:rPr>
        <w:t>Eigen John T. Ignacio completed his Master of Education in Curriculum Studies at the age of 30 from the University of the Philippines Diliman and is currently a PhD candidate at the College of Graduate Studies and Teacher Education Research, Philippine Normal University, Philippines. He is an Assistant Professor at Mindanao State University – Iligan Institute of Technology.</w:t>
      </w:r>
    </w:p>
    <w:p>
      <w:pPr>
        <w:pStyle w:val="TextBody"/>
        <w:spacing w:before="1" w:after="0"/>
        <w:rPr>
          <w:sz w:val="18"/>
          <w:szCs w:val="18"/>
        </w:rPr>
      </w:pPr>
      <w:r>
        <w:rPr>
          <w:sz w:val="18"/>
          <w:szCs w:val="18"/>
        </w:rPr>
      </w:r>
    </w:p>
    <w:p>
      <w:pPr>
        <w:pStyle w:val="Heading3"/>
        <w:numPr>
          <w:ilvl w:val="0"/>
          <w:numId w:val="1"/>
        </w:numPr>
        <w:tabs>
          <w:tab w:val="left" w:pos="1757" w:leader="none"/>
          <w:tab w:val="left" w:pos="1758" w:leader="none"/>
        </w:tabs>
        <w:spacing w:before="1" w:after="0"/>
        <w:ind w:left="1757" w:hanging="447"/>
        <w:jc w:val="left"/>
        <w:rPr>
          <w:sz w:val="18"/>
          <w:szCs w:val="18"/>
        </w:rPr>
      </w:pPr>
      <w:r>
        <w:rPr>
          <w:color w:val="585858"/>
          <w:sz w:val="18"/>
          <w:szCs w:val="18"/>
        </w:rPr>
        <w:t>Presenting author</w:t>
      </w:r>
      <w:r>
        <w:rPr>
          <w:color w:val="585858"/>
          <w:spacing w:val="-7"/>
          <w:sz w:val="18"/>
          <w:szCs w:val="18"/>
        </w:rPr>
        <w:t xml:space="preserve"> </w:t>
      </w:r>
      <w:r>
        <w:rPr>
          <w:color w:val="585858"/>
          <w:sz w:val="18"/>
          <w:szCs w:val="18"/>
        </w:rPr>
        <w:t>details</w:t>
      </w:r>
    </w:p>
    <w:p>
      <w:pPr>
        <w:pStyle w:val="TextBody"/>
        <w:spacing w:before="7" w:after="0"/>
        <w:rPr>
          <w:b/>
          <w:b/>
          <w:sz w:val="18"/>
          <w:szCs w:val="18"/>
        </w:rPr>
      </w:pPr>
      <w:r>
        <w:rPr>
          <w:b/>
          <w:sz w:val="18"/>
          <w:szCs w:val="18"/>
        </w:rPr>
        <w:drawing>
          <wp:anchor behindDoc="0" distT="0" distB="0" distL="0" distR="0" simplePos="0" locked="0" layoutInCell="1" allowOverlap="1" relativeHeight="2">
            <wp:simplePos x="0" y="0"/>
            <wp:positionH relativeFrom="page">
              <wp:posOffset>3895090</wp:posOffset>
            </wp:positionH>
            <wp:positionV relativeFrom="paragraph">
              <wp:posOffset>140335</wp:posOffset>
            </wp:positionV>
            <wp:extent cx="1250315" cy="1028700"/>
            <wp:effectExtent l="0" t="0" r="0" b="0"/>
            <wp:wrapTopAndBottom/>
            <wp:docPr id="3" name="image3.jpe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jpeg" descr=""/>
                    <pic:cNvPicPr>
                      <a:picLocks noChangeAspect="1" noChangeArrowheads="1"/>
                    </pic:cNvPicPr>
                  </pic:nvPicPr>
                  <pic:blipFill>
                    <a:blip r:embed="rId3"/>
                    <a:stretch>
                      <a:fillRect/>
                    </a:stretch>
                  </pic:blipFill>
                  <pic:spPr bwMode="auto">
                    <a:xfrm>
                      <a:off x="0" y="0"/>
                      <a:ext cx="1250315" cy="1028700"/>
                    </a:xfrm>
                    <a:prstGeom prst="rect">
                      <a:avLst/>
                    </a:prstGeom>
                  </pic:spPr>
                </pic:pic>
              </a:graphicData>
            </a:graphic>
          </wp:anchor>
        </w:drawing>
      </w:r>
    </w:p>
    <w:p>
      <w:pPr>
        <w:pStyle w:val="TextBody"/>
        <w:spacing w:before="172" w:after="0"/>
        <w:ind w:left="316" w:right="4143" w:hanging="0"/>
        <w:rPr/>
      </w:pPr>
      <w:r>
        <w:rPr>
          <w:color w:val="585858"/>
          <w:sz w:val="18"/>
          <w:szCs w:val="18"/>
        </w:rPr>
        <w:t>Full Name: Eigen John T. Ignacio Contact number: (02)8094656, (</w:t>
      </w:r>
      <w:r>
        <w:rPr>
          <w:color w:val="585858"/>
          <w:sz w:val="18"/>
          <w:szCs w:val="18"/>
        </w:rPr>
        <w:t>63</w:t>
      </w:r>
      <w:r>
        <w:rPr>
          <w:color w:val="585858"/>
          <w:sz w:val="18"/>
          <w:szCs w:val="18"/>
        </w:rPr>
        <w:t>927)5646944 Session name/ number: 3, Educational Systems and Policies</w:t>
      </w:r>
    </w:p>
    <w:p>
      <w:pPr>
        <w:pStyle w:val="TextBody"/>
        <w:ind w:left="316" w:right="1786" w:hanging="0"/>
        <w:rPr/>
      </w:pPr>
      <w:r>
        <w:rPr>
          <w:color w:val="585858"/>
          <w:sz w:val="18"/>
          <w:szCs w:val="18"/>
        </w:rPr>
        <w:t xml:space="preserve">Category: Oral presentation </w:t>
      </w:r>
    </w:p>
    <w:p>
      <w:pPr>
        <w:pStyle w:val="TextBody"/>
        <w:ind w:left="316" w:right="1786" w:hanging="0"/>
        <w:rPr/>
      </w:pPr>
      <w:r>
        <w:rPr>
          <w:color w:val="585858"/>
          <w:sz w:val="18"/>
          <w:szCs w:val="18"/>
        </w:rPr>
        <w:t xml:space="preserve">Passport Number: </w:t>
      </w:r>
      <w:r>
        <w:rPr>
          <w:color w:val="585858"/>
          <w:sz w:val="18"/>
          <w:szCs w:val="18"/>
        </w:rPr>
        <w:t>P1040656B</w:t>
      </w:r>
    </w:p>
    <w:p>
      <w:pPr>
        <w:sectPr>
          <w:type w:val="continuous"/>
          <w:pgSz w:w="11906" w:h="16838"/>
          <w:pgMar w:left="140" w:right="180" w:header="0" w:top="600" w:footer="0" w:bottom="280" w:gutter="0"/>
          <w:cols w:num="2" w:equalWidth="false" w:sep="false">
            <w:col w:w="5637" w:space="40"/>
            <w:col w:w="5908"/>
          </w:cols>
          <w:formProt w:val="false"/>
          <w:textDirection w:val="lrTb"/>
          <w:docGrid w:type="default" w:linePitch="600" w:charSpace="36864"/>
        </w:sectPr>
      </w:pPr>
    </w:p>
    <w:p>
      <w:pPr>
        <w:pStyle w:val="TextBody"/>
        <w:rPr>
          <w:sz w:val="18"/>
          <w:szCs w:val="18"/>
        </w:rPr>
      </w:pPr>
      <w:r>
        <w:rPr>
          <w:sz w:val="18"/>
          <w:szCs w:val="18"/>
        </w:rPr>
      </w:r>
    </w:p>
    <w:p>
      <w:pPr>
        <w:pStyle w:val="TextBody"/>
        <w:rPr>
          <w:sz w:val="18"/>
          <w:szCs w:val="18"/>
        </w:rPr>
      </w:pPr>
      <w:r>
        <w:rPr>
          <w:sz w:val="18"/>
          <w:szCs w:val="18"/>
        </w:rPr>
      </w:r>
    </w:p>
    <w:p>
      <w:pPr>
        <w:pStyle w:val="TextBody"/>
        <w:spacing w:before="1" w:after="0"/>
        <w:rPr>
          <w:sz w:val="18"/>
          <w:szCs w:val="18"/>
        </w:rPr>
      </w:pPr>
      <w:r>
        <w:rPr>
          <w:sz w:val="18"/>
          <w:szCs w:val="18"/>
        </w:rPr>
      </w:r>
    </w:p>
    <w:p>
      <w:pPr>
        <w:pStyle w:val="TextBody"/>
        <w:spacing w:lineRule="exact" w:line="55"/>
        <w:ind w:left="107" w:hanging="0"/>
        <w:rPr>
          <w:sz w:val="18"/>
          <w:szCs w:val="18"/>
        </w:rPr>
      </w:pPr>
      <w:r>
        <w:rPr/>
        <mc:AlternateContent>
          <mc:Choice Requires="wpg">
            <w:drawing>
              <wp:inline distT="0" distB="0" distL="0" distR="0">
                <wp:extent cx="7202170" cy="8255"/>
                <wp:effectExtent l="0" t="0" r="0" b="0"/>
                <wp:docPr id="4" name=""/>
                <a:graphic xmlns:a="http://schemas.openxmlformats.org/drawingml/2006/main">
                  <a:graphicData uri="http://schemas.microsoft.com/office/word/2010/wordprocessingGroup">
                    <wpg:wgp>
                      <wpg:cNvGrpSpPr/>
                      <wpg:grpSpPr>
                        <a:xfrm rot="21595800">
                          <a:off x="0" y="0"/>
                          <a:ext cx="7201440" cy="7560"/>
                        </a:xfrm>
                      </wpg:grpSpPr>
                      <wps:wsp>
                        <wps:cNvSpPr/>
                        <wps:spPr>
                          <a:xfrm flipV="1">
                            <a:off x="0" y="0"/>
                            <a:ext cx="7201440" cy="7560"/>
                          </a:xfrm>
                          <a:prstGeom prst="line">
                            <a:avLst/>
                          </a:prstGeom>
                          <a:ln w="25560">
                            <a:solidFill>
                              <a:srgbClr val="5a5a5a"/>
                            </a:solidFill>
                            <a:round/>
                          </a:ln>
                        </wps:spPr>
                        <wps:style>
                          <a:lnRef idx="0"/>
                          <a:fillRef idx="0"/>
                          <a:effectRef idx="0"/>
                          <a:fontRef idx="minor"/>
                        </wps:style>
                        <wps:bodyPr/>
                      </wps:wsp>
                    </wpg:wgp>
                  </a:graphicData>
                </a:graphic>
              </wp:inline>
            </w:drawing>
          </mc:Choice>
          <mc:Fallback>
            <w:pict>
              <v:group id="shape_0" style="position:absolute;margin-left:0pt;margin-top:0pt;width:567pt;height:0.55pt" coordorigin="0,0" coordsize="11340,11">
                <v:line id="shape_0" from="0,0" to="11340,11" stroked="t" style="position:absolute;flip:y">
                  <v:stroke color="#5a5a5a" weight="25560" joinstyle="round" endcap="flat"/>
                  <v:fill o:detectmouseclick="t" on="false"/>
                </v:line>
              </v:group>
            </w:pict>
          </mc:Fallback>
        </mc:AlternateContent>
      </w:r>
    </w:p>
    <w:p>
      <w:pPr>
        <w:pStyle w:val="Normal"/>
        <w:rPr>
          <w:rFonts w:eastAsia="Calibri"/>
          <w:color w:val="0000FF"/>
          <w:sz w:val="18"/>
          <w:szCs w:val="18"/>
          <w:u w:val="single"/>
        </w:rPr>
      </w:pPr>
      <w:r>
        <w:rPr>
          <w:rFonts w:eastAsia="Calibri"/>
          <w:color w:val="0000FF"/>
          <w:sz w:val="18"/>
          <w:szCs w:val="18"/>
          <w:u w:val="single"/>
        </w:rPr>
      </w:r>
    </w:p>
    <w:p>
      <w:pPr>
        <w:pStyle w:val="Normal"/>
        <w:rPr/>
      </w:pPr>
      <w:r>
        <w:rPr/>
        <w:drawing>
          <wp:inline distT="0" distB="0" distL="0" distR="0">
            <wp:extent cx="7359650" cy="956310"/>
            <wp:effectExtent l="0" t="0" r="0" b="0"/>
            <wp:docPr id="5" name="Picture 2" descr="C:\Users\primaryhealth-minl\Desktop\World Summit on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Users\primaryhealth-minl\Desktop\World Summit on (10).png"/>
                    <pic:cNvPicPr>
                      <a:picLocks noChangeAspect="1" noChangeArrowheads="1"/>
                    </pic:cNvPicPr>
                  </pic:nvPicPr>
                  <pic:blipFill>
                    <a:blip r:embed="rId4"/>
                    <a:stretch>
                      <a:fillRect/>
                    </a:stretch>
                  </pic:blipFill>
                  <pic:spPr bwMode="auto">
                    <a:xfrm>
                      <a:off x="0" y="0"/>
                      <a:ext cx="7359650" cy="956310"/>
                    </a:xfrm>
                    <a:prstGeom prst="rect">
                      <a:avLst/>
                    </a:prstGeom>
                  </pic:spPr>
                </pic:pic>
              </a:graphicData>
            </a:graphic>
          </wp:inline>
        </w:drawing>
      </w:r>
    </w:p>
    <w:sectPr>
      <w:type w:val="continuous"/>
      <w:pgSz w:w="11906" w:h="16838"/>
      <w:pgMar w:left="140" w:right="180" w:header="0" w:top="600" w:footer="0" w:bottom="280" w:gutter="0"/>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Symbol">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upperRoman"/>
      <w:lvlText w:val="%1."/>
      <w:lvlJc w:val="left"/>
      <w:pPr>
        <w:ind w:left="1866" w:hanging="447"/>
      </w:pPr>
      <w:rPr>
        <w:sz w:val="18"/>
        <w:b/>
        <w:szCs w:val="19"/>
        <w:bCs/>
        <w:w w:val="99"/>
        <w:rFonts w:eastAsia="Times New Roman" w:cs="Times New Roman"/>
        <w:color w:val="585858"/>
      </w:rPr>
    </w:lvl>
    <w:lvl w:ilvl="1">
      <w:start w:val="1"/>
      <w:numFmt w:val="bullet"/>
      <w:lvlText w:val=""/>
      <w:lvlJc w:val="left"/>
      <w:pPr>
        <w:ind w:left="2237" w:hanging="447"/>
      </w:pPr>
      <w:rPr>
        <w:rFonts w:ascii="Symbol" w:hAnsi="Symbol" w:cs="Symbol" w:hint="default"/>
        <w:rFonts w:cs="Symbol"/>
      </w:rPr>
    </w:lvl>
    <w:lvl w:ilvl="2">
      <w:start w:val="1"/>
      <w:numFmt w:val="bullet"/>
      <w:lvlText w:val=""/>
      <w:lvlJc w:val="left"/>
      <w:pPr>
        <w:ind w:left="2615" w:hanging="447"/>
      </w:pPr>
      <w:rPr>
        <w:rFonts w:ascii="Symbol" w:hAnsi="Symbol" w:cs="Symbol" w:hint="default"/>
        <w:rFonts w:cs="Symbol"/>
      </w:rPr>
    </w:lvl>
    <w:lvl w:ilvl="3">
      <w:start w:val="1"/>
      <w:numFmt w:val="bullet"/>
      <w:lvlText w:val=""/>
      <w:lvlJc w:val="left"/>
      <w:pPr>
        <w:ind w:left="2993" w:hanging="447"/>
      </w:pPr>
      <w:rPr>
        <w:rFonts w:ascii="Symbol" w:hAnsi="Symbol" w:cs="Symbol" w:hint="default"/>
        <w:rFonts w:cs="Symbol"/>
      </w:rPr>
    </w:lvl>
    <w:lvl w:ilvl="4">
      <w:start w:val="1"/>
      <w:numFmt w:val="bullet"/>
      <w:lvlText w:val=""/>
      <w:lvlJc w:val="left"/>
      <w:pPr>
        <w:ind w:left="3371" w:hanging="447"/>
      </w:pPr>
      <w:rPr>
        <w:rFonts w:ascii="Symbol" w:hAnsi="Symbol" w:cs="Symbol" w:hint="default"/>
        <w:rFonts w:cs="Symbol"/>
      </w:rPr>
    </w:lvl>
    <w:lvl w:ilvl="5">
      <w:start w:val="1"/>
      <w:numFmt w:val="bullet"/>
      <w:lvlText w:val=""/>
      <w:lvlJc w:val="left"/>
      <w:pPr>
        <w:ind w:left="3749" w:hanging="447"/>
      </w:pPr>
      <w:rPr>
        <w:rFonts w:ascii="Symbol" w:hAnsi="Symbol" w:cs="Symbol" w:hint="default"/>
        <w:rFonts w:cs="Symbol"/>
      </w:rPr>
    </w:lvl>
    <w:lvl w:ilvl="6">
      <w:start w:val="1"/>
      <w:numFmt w:val="bullet"/>
      <w:lvlText w:val=""/>
      <w:lvlJc w:val="left"/>
      <w:pPr>
        <w:ind w:left="4127" w:hanging="447"/>
      </w:pPr>
      <w:rPr>
        <w:rFonts w:ascii="Symbol" w:hAnsi="Symbol" w:cs="Symbol" w:hint="default"/>
        <w:rFonts w:cs="Symbol"/>
      </w:rPr>
    </w:lvl>
    <w:lvl w:ilvl="7">
      <w:start w:val="1"/>
      <w:numFmt w:val="bullet"/>
      <w:lvlText w:val=""/>
      <w:lvlJc w:val="left"/>
      <w:pPr>
        <w:ind w:left="4504" w:hanging="447"/>
      </w:pPr>
      <w:rPr>
        <w:rFonts w:ascii="Symbol" w:hAnsi="Symbol" w:cs="Symbol" w:hint="default"/>
        <w:rFonts w:cs="Symbol"/>
      </w:rPr>
    </w:lvl>
    <w:lvl w:ilvl="8">
      <w:start w:val="1"/>
      <w:numFmt w:val="bullet"/>
      <w:lvlText w:val=""/>
      <w:lvlJc w:val="left"/>
      <w:pPr>
        <w:ind w:left="4882" w:hanging="447"/>
      </w:pPr>
      <w:rPr>
        <w:rFonts w:ascii="Symbol" w:hAnsi="Symbol" w:cs="Symbol" w:hint="default"/>
        <w:rFonts w:cs="Symbol"/>
      </w:rPr>
    </w:lvl>
  </w:abstractNum>
  <w:abstractNum w:abstractNumId="2">
    <w:lvl w:ilvl="0">
      <w:start w:val="2"/>
      <w:numFmt w:val="decimal"/>
      <w:lvlText w:val="%1."/>
      <w:lvlJc w:val="left"/>
      <w:pPr>
        <w:ind w:left="1037" w:hanging="360"/>
      </w:pPr>
      <w:rPr>
        <w:sz w:val="18"/>
        <w:spacing w:val="0"/>
        <w:szCs w:val="19"/>
        <w:w w:val="99"/>
        <w:rFonts w:eastAsia="Times New Roman" w:cs="Times New Roman"/>
        <w:color w:val="585858"/>
      </w:rPr>
    </w:lvl>
    <w:lvl w:ilvl="1">
      <w:start w:val="1"/>
      <w:numFmt w:val="bullet"/>
      <w:lvlText w:val=""/>
      <w:lvlJc w:val="left"/>
      <w:pPr>
        <w:ind w:left="1527" w:hanging="360"/>
      </w:pPr>
      <w:rPr>
        <w:rFonts w:ascii="Symbol" w:hAnsi="Symbol" w:cs="Symbol" w:hint="default"/>
        <w:rFonts w:cs="Symbol"/>
      </w:rPr>
    </w:lvl>
    <w:lvl w:ilvl="2">
      <w:start w:val="1"/>
      <w:numFmt w:val="bullet"/>
      <w:lvlText w:val=""/>
      <w:lvlJc w:val="left"/>
      <w:pPr>
        <w:ind w:left="2014" w:hanging="360"/>
      </w:pPr>
      <w:rPr>
        <w:rFonts w:ascii="Symbol" w:hAnsi="Symbol" w:cs="Symbol" w:hint="default"/>
        <w:rFonts w:cs="Symbol"/>
      </w:rPr>
    </w:lvl>
    <w:lvl w:ilvl="3">
      <w:start w:val="1"/>
      <w:numFmt w:val="bullet"/>
      <w:lvlText w:val=""/>
      <w:lvlJc w:val="left"/>
      <w:pPr>
        <w:ind w:left="2501" w:hanging="360"/>
      </w:pPr>
      <w:rPr>
        <w:rFonts w:ascii="Symbol" w:hAnsi="Symbol" w:cs="Symbol" w:hint="default"/>
        <w:rFonts w:cs="Symbol"/>
      </w:rPr>
    </w:lvl>
    <w:lvl w:ilvl="4">
      <w:start w:val="1"/>
      <w:numFmt w:val="bullet"/>
      <w:lvlText w:val=""/>
      <w:lvlJc w:val="left"/>
      <w:pPr>
        <w:ind w:left="2988" w:hanging="360"/>
      </w:pPr>
      <w:rPr>
        <w:rFonts w:ascii="Symbol" w:hAnsi="Symbol" w:cs="Symbol" w:hint="default"/>
        <w:rFonts w:cs="Symbol"/>
      </w:rPr>
    </w:lvl>
    <w:lvl w:ilvl="5">
      <w:start w:val="1"/>
      <w:numFmt w:val="bullet"/>
      <w:lvlText w:val=""/>
      <w:lvlJc w:val="left"/>
      <w:pPr>
        <w:ind w:left="3475" w:hanging="360"/>
      </w:pPr>
      <w:rPr>
        <w:rFonts w:ascii="Symbol" w:hAnsi="Symbol" w:cs="Symbol" w:hint="default"/>
        <w:rFonts w:cs="Symbol"/>
      </w:rPr>
    </w:lvl>
    <w:lvl w:ilvl="6">
      <w:start w:val="1"/>
      <w:numFmt w:val="bullet"/>
      <w:lvlText w:val=""/>
      <w:lvlJc w:val="left"/>
      <w:pPr>
        <w:ind w:left="3962" w:hanging="360"/>
      </w:pPr>
      <w:rPr>
        <w:rFonts w:ascii="Symbol" w:hAnsi="Symbol" w:cs="Symbol" w:hint="default"/>
        <w:rFonts w:cs="Symbol"/>
      </w:rPr>
    </w:lvl>
    <w:lvl w:ilvl="7">
      <w:start w:val="1"/>
      <w:numFmt w:val="bullet"/>
      <w:lvlText w:val=""/>
      <w:lvlJc w:val="left"/>
      <w:pPr>
        <w:ind w:left="4449" w:hanging="360"/>
      </w:pPr>
      <w:rPr>
        <w:rFonts w:ascii="Symbol" w:hAnsi="Symbol" w:cs="Symbol" w:hint="default"/>
        <w:rFonts w:cs="Symbol"/>
      </w:rPr>
    </w:lvl>
    <w:lvl w:ilvl="8">
      <w:start w:val="1"/>
      <w:numFmt w:val="bullet"/>
      <w:lvlText w:val=""/>
      <w:lvlJc w:val="left"/>
      <w:pPr>
        <w:ind w:left="4936" w:hanging="360"/>
      </w:pPr>
      <w:rPr>
        <w:rFonts w:ascii="Symbol" w:hAnsi="Symbol" w:cs="Symbol" w:hint="default"/>
        <w:rFonts w:cs="Symbol"/>
      </w:rPr>
    </w:lvl>
  </w:abstractNum>
  <w:abstractNum w:abstractNumId="3">
    <w:lvl w:ilvl="0">
      <w:start w:val="2"/>
      <w:numFmt w:val="upperRoman"/>
      <w:lvlText w:val="%1."/>
      <w:lvlJc w:val="left"/>
      <w:pPr>
        <w:tabs>
          <w:tab w:val="num" w:pos="720"/>
        </w:tabs>
        <w:ind w:left="720" w:hanging="360"/>
      </w:pPr>
      <w:rPr>
        <w:sz w:val="18"/>
        <w:b/>
        <w:szCs w:val="19"/>
        <w:bCs/>
        <w:w w:val="99"/>
        <w:rFonts w:eastAsia="Times New Roman" w:cs="Times New Roman"/>
        <w:color w:val="585858"/>
      </w:rPr>
    </w:lvl>
    <w:lvl w:ilvl="1">
      <w:start w:val="1"/>
      <w:numFmt w:val="upperRoman"/>
      <w:lvlText w:val="%2."/>
      <w:lvlJc w:val="left"/>
      <w:pPr>
        <w:tabs>
          <w:tab w:val="num" w:pos="1080"/>
        </w:tabs>
        <w:ind w:left="1080" w:hanging="360"/>
      </w:pPr>
    </w:lvl>
    <w:lvl w:ilvl="2">
      <w:start w:val="1"/>
      <w:numFmt w:val="upperRoman"/>
      <w:lvlText w:val="%3."/>
      <w:lvlJc w:val="left"/>
      <w:pPr>
        <w:tabs>
          <w:tab w:val="num" w:pos="1440"/>
        </w:tabs>
        <w:ind w:left="1440" w:hanging="360"/>
      </w:pPr>
    </w:lvl>
    <w:lvl w:ilvl="3">
      <w:start w:val="1"/>
      <w:numFmt w:val="upperRoman"/>
      <w:lvlText w:val="%4."/>
      <w:lvlJc w:val="left"/>
      <w:pPr>
        <w:tabs>
          <w:tab w:val="num" w:pos="1800"/>
        </w:tabs>
        <w:ind w:left="1800" w:hanging="360"/>
      </w:pPr>
    </w:lvl>
    <w:lvl w:ilvl="4">
      <w:start w:val="1"/>
      <w:numFmt w:val="upperRoman"/>
      <w:lvlText w:val="%5."/>
      <w:lvlJc w:val="left"/>
      <w:pPr>
        <w:tabs>
          <w:tab w:val="num" w:pos="2160"/>
        </w:tabs>
        <w:ind w:left="2160" w:hanging="360"/>
      </w:pPr>
    </w:lvl>
    <w:lvl w:ilvl="5">
      <w:start w:val="1"/>
      <w:numFmt w:val="upperRoman"/>
      <w:lvlText w:val="%6."/>
      <w:lvlJc w:val="left"/>
      <w:pPr>
        <w:tabs>
          <w:tab w:val="num" w:pos="2520"/>
        </w:tabs>
        <w:ind w:left="2520" w:hanging="360"/>
      </w:pPr>
    </w:lvl>
    <w:lvl w:ilvl="6">
      <w:start w:val="1"/>
      <w:numFmt w:val="upperRoman"/>
      <w:lvlText w:val="%7."/>
      <w:lvlJc w:val="left"/>
      <w:pPr>
        <w:tabs>
          <w:tab w:val="num" w:pos="2880"/>
        </w:tabs>
        <w:ind w:left="2880" w:hanging="360"/>
      </w:pPr>
    </w:lvl>
    <w:lvl w:ilvl="7">
      <w:start w:val="1"/>
      <w:numFmt w:val="upperRoman"/>
      <w:lvlText w:val="%8."/>
      <w:lvlJc w:val="left"/>
      <w:pPr>
        <w:tabs>
          <w:tab w:val="num" w:pos="3240"/>
        </w:tabs>
        <w:ind w:left="3240" w:hanging="360"/>
      </w:pPr>
    </w:lvl>
    <w:lvl w:ilvl="8">
      <w:start w:val="1"/>
      <w:numFmt w:val="upperRoman"/>
      <w:lvlText w:val="%9."/>
      <w:lvlJc w:val="left"/>
      <w:pPr>
        <w:tabs>
          <w:tab w:val="num" w:pos="3600"/>
        </w:tabs>
        <w:ind w:left="3600" w:hanging="360"/>
      </w:p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2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pPr>
      <w:widowControl/>
      <w:bidi w:val="0"/>
      <w:jc w:val="left"/>
    </w:pPr>
    <w:rPr>
      <w:rFonts w:ascii="Times New Roman" w:hAnsi="Times New Roman" w:eastAsia="Times New Roman" w:cs="Times New Roman"/>
      <w:color w:val="00000A"/>
      <w:kern w:val="0"/>
      <w:sz w:val="22"/>
      <w:szCs w:val="22"/>
      <w:lang w:val="en-US" w:eastAsia="en-US" w:bidi="ar-SA"/>
    </w:rPr>
  </w:style>
  <w:style w:type="paragraph" w:styleId="Heading1">
    <w:name w:val="Heading 1"/>
    <w:basedOn w:val="Normal"/>
    <w:uiPriority w:val="1"/>
    <w:qFormat/>
    <w:pPr>
      <w:spacing w:before="74" w:after="0"/>
      <w:ind w:left="594" w:right="151" w:hanging="0"/>
      <w:outlineLvl w:val="0"/>
    </w:pPr>
    <w:rPr>
      <w:b/>
      <w:bCs/>
    </w:rPr>
  </w:style>
  <w:style w:type="paragraph" w:styleId="Heading2">
    <w:name w:val="Heading 2"/>
    <w:basedOn w:val="Normal"/>
    <w:uiPriority w:val="1"/>
    <w:qFormat/>
    <w:pPr>
      <w:ind w:left="1105" w:right="1370" w:hanging="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ad4b28"/>
    <w:rPr>
      <w:rFonts w:ascii="Tahoma" w:hAnsi="Tahoma" w:eastAsia="Times New Roman" w:cs="Tahoma"/>
      <w:sz w:val="16"/>
      <w:szCs w:val="16"/>
    </w:rPr>
  </w:style>
  <w:style w:type="character" w:styleId="InternetLink">
    <w:name w:val="Internet Link"/>
    <w:basedOn w:val="DefaultParagraphFont"/>
    <w:uiPriority w:val="99"/>
    <w:unhideWhenUsed/>
    <w:rsid w:val="009345c6"/>
    <w:rPr>
      <w:color w:val="0000FF" w:themeColor="hyperlink"/>
      <w:u w:val="single"/>
    </w:rPr>
  </w:style>
  <w:style w:type="character" w:styleId="ListLabel1">
    <w:name w:val="ListLabel 1"/>
    <w:qFormat/>
    <w:rPr>
      <w:rFonts w:eastAsia="Times New Roman" w:cs="Times New Roman"/>
      <w:b/>
      <w:bCs/>
      <w:color w:val="585858"/>
      <w:w w:val="99"/>
      <w:sz w:val="18"/>
      <w:szCs w:val="19"/>
    </w:rPr>
  </w:style>
  <w:style w:type="character" w:styleId="ListLabel2">
    <w:name w:val="ListLabel 2"/>
    <w:qFormat/>
    <w:rPr>
      <w:rFonts w:eastAsia="Times New Roman" w:cs="Times New Roman"/>
      <w:color w:val="585858"/>
      <w:spacing w:val="0"/>
      <w:w w:val="99"/>
      <w:sz w:val="18"/>
      <w:szCs w:val="19"/>
    </w:rPr>
  </w:style>
  <w:style w:type="character" w:styleId="NumberingSymbols">
    <w:name w:val="Numbering Symbols"/>
    <w:qFormat/>
    <w:rPr/>
  </w:style>
  <w:style w:type="character" w:styleId="ListLabel3">
    <w:name w:val="ListLabel 3"/>
    <w:qFormat/>
    <w:rPr>
      <w:rFonts w:eastAsia="Times New Roman" w:cs="Times New Roman"/>
      <w:b/>
      <w:bCs/>
      <w:color w:val="585858"/>
      <w:w w:val="99"/>
      <w:sz w:val="18"/>
      <w:szCs w:val="19"/>
    </w:rPr>
  </w:style>
  <w:style w:type="character" w:styleId="ListLabel4">
    <w:name w:val="ListLabel 4"/>
    <w:qFormat/>
    <w:rPr>
      <w:rFonts w:cs="Symbol"/>
    </w:rPr>
  </w:style>
  <w:style w:type="character" w:styleId="ListLabel5">
    <w:name w:val="ListLabel 5"/>
    <w:qFormat/>
    <w:rPr>
      <w:rFonts w:cs="Symbol"/>
    </w:rPr>
  </w:style>
  <w:style w:type="character" w:styleId="ListLabel6">
    <w:name w:val="ListLabel 6"/>
    <w:qFormat/>
    <w:rPr>
      <w:rFonts w:cs="Symbol"/>
    </w:rPr>
  </w:style>
  <w:style w:type="character" w:styleId="ListLabel7">
    <w:name w:val="ListLabel 7"/>
    <w:qFormat/>
    <w:rPr>
      <w:rFonts w:cs="Symbol"/>
    </w:rPr>
  </w:style>
  <w:style w:type="character" w:styleId="ListLabel8">
    <w:name w:val="ListLabel 8"/>
    <w:qFormat/>
    <w:rPr>
      <w:rFonts w:cs="Symbol"/>
    </w:rPr>
  </w:style>
  <w:style w:type="character" w:styleId="ListLabel9">
    <w:name w:val="ListLabel 9"/>
    <w:qFormat/>
    <w:rPr>
      <w:rFonts w:cs="Symbol"/>
    </w:rPr>
  </w:style>
  <w:style w:type="character" w:styleId="ListLabel10">
    <w:name w:val="ListLabel 10"/>
    <w:qFormat/>
    <w:rPr>
      <w:rFonts w:cs="Symbol"/>
    </w:rPr>
  </w:style>
  <w:style w:type="character" w:styleId="ListLabel11">
    <w:name w:val="ListLabel 11"/>
    <w:qFormat/>
    <w:rPr>
      <w:rFonts w:cs="Symbol"/>
    </w:rPr>
  </w:style>
  <w:style w:type="character" w:styleId="ListLabel12">
    <w:name w:val="ListLabel 12"/>
    <w:qFormat/>
    <w:rPr>
      <w:rFonts w:eastAsia="Times New Roman" w:cs="Times New Roman"/>
      <w:color w:val="585858"/>
      <w:spacing w:val="0"/>
      <w:w w:val="99"/>
      <w:sz w:val="18"/>
      <w:szCs w:val="19"/>
    </w:rPr>
  </w:style>
  <w:style w:type="character" w:styleId="ListLabel13">
    <w:name w:val="ListLabel 13"/>
    <w:qFormat/>
    <w:rPr>
      <w:rFonts w:cs="Symbol"/>
    </w:rPr>
  </w:style>
  <w:style w:type="character" w:styleId="ListLabel14">
    <w:name w:val="ListLabel 14"/>
    <w:qFormat/>
    <w:rPr>
      <w:rFonts w:cs="Symbol"/>
    </w:rPr>
  </w:style>
  <w:style w:type="character" w:styleId="ListLabel15">
    <w:name w:val="ListLabel 15"/>
    <w:qFormat/>
    <w:rPr>
      <w:rFonts w:cs="Symbol"/>
    </w:rPr>
  </w:style>
  <w:style w:type="character" w:styleId="ListLabel16">
    <w:name w:val="ListLabel 16"/>
    <w:qFormat/>
    <w:rPr>
      <w:rFonts w:cs="Symbol"/>
    </w:rPr>
  </w:style>
  <w:style w:type="character" w:styleId="ListLabel17">
    <w:name w:val="ListLabel 17"/>
    <w:qFormat/>
    <w:rPr>
      <w:rFonts w:cs="Symbol"/>
    </w:rPr>
  </w:style>
  <w:style w:type="character" w:styleId="ListLabel18">
    <w:name w:val="ListLabel 18"/>
    <w:qFormat/>
    <w:rPr>
      <w:rFonts w:cs="Symbol"/>
    </w:rPr>
  </w:style>
  <w:style w:type="character" w:styleId="ListLabel19">
    <w:name w:val="ListLabel 19"/>
    <w:qFormat/>
    <w:rPr>
      <w:rFonts w:cs="Symbol"/>
    </w:rPr>
  </w:style>
  <w:style w:type="character" w:styleId="ListLabel20">
    <w:name w:val="ListLabel 20"/>
    <w:qFormat/>
    <w:rPr>
      <w:rFonts w:cs="Symbol"/>
    </w:rPr>
  </w:style>
  <w:style w:type="character" w:styleId="ListLabel21">
    <w:name w:val="ListLabel 21"/>
    <w:qFormat/>
    <w:rPr>
      <w:rFonts w:eastAsia="Times New Roman" w:cs="Times New Roman"/>
      <w:b/>
      <w:bCs/>
      <w:color w:val="585858"/>
      <w:w w:val="99"/>
      <w:sz w:val="18"/>
      <w:szCs w:val="19"/>
    </w:rPr>
  </w:style>
  <w:style w:type="paragraph" w:styleId="Heading">
    <w:name w:val="Heading"/>
    <w:basedOn w:val="Normal"/>
    <w:next w:val="TextBody"/>
    <w:qFormat/>
    <w:pPr>
      <w:keepNext/>
      <w:spacing w:before="240" w:after="120"/>
    </w:pPr>
    <w:rPr>
      <w:rFonts w:ascii="Liberation Sans" w:hAnsi="Liberation Sans" w:eastAsia="Arial Unicode MS" w:cs="Arial Unicode MS"/>
      <w:sz w:val="28"/>
      <w:szCs w:val="28"/>
    </w:rPr>
  </w:style>
  <w:style w:type="paragraph" w:styleId="TextBody">
    <w:name w:val="Body Text"/>
    <w:basedOn w:val="Normal"/>
    <w:uiPriority w:val="1"/>
    <w:qFormat/>
    <w:pPr/>
    <w:rPr>
      <w:sz w:val="19"/>
      <w:szCs w:val="19"/>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ListParagraph">
    <w:name w:val="List Paragraph"/>
    <w:basedOn w:val="Normal"/>
    <w:uiPriority w:val="1"/>
    <w:qFormat/>
    <w:pPr>
      <w:ind w:left="1757" w:hanging="447"/>
    </w:pPr>
    <w:rPr/>
  </w:style>
  <w:style w:type="paragraph" w:styleId="TableParagraph" w:customStyle="1">
    <w:name w:val="Table Paragraph"/>
    <w:basedOn w:val="Normal"/>
    <w:uiPriority w:val="1"/>
    <w:qFormat/>
    <w:pPr/>
    <w:rPr/>
  </w:style>
  <w:style w:type="paragraph" w:styleId="BalloonText">
    <w:name w:val="Balloon Text"/>
    <w:basedOn w:val="Normal"/>
    <w:link w:val="BalloonTextChar"/>
    <w:uiPriority w:val="99"/>
    <w:semiHidden/>
    <w:unhideWhenUsed/>
    <w:qFormat/>
    <w:rsid w:val="00ad4b28"/>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Application>LibreOffice/5.4.1.2$MacOSX_X86_64 LibreOffice_project/ea7cb86e6eeb2bf3a5af73a8f7777ac570321527</Application>
  <Pages>2</Pages>
  <Words>613</Words>
  <Characters>3689</Characters>
  <CharactersWithSpaces>4280</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2017-12-21T00:50:00Z</dcterms:created>
  <dc:creator>IEEE</dc:creator>
  <dc:description/>
  <dc:language>en-PH</dc:language>
  <cp:lastModifiedBy/>
  <dcterms:modified xsi:type="dcterms:W3CDTF">2019-07-25T19:35:15Z</dcterms:modified>
  <cp:revision>28</cp:revision>
  <dc:subject/>
  <dc:title>Paper Title (use style: paper title)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reated">
    <vt:filetime>2017-12-01T00:00:00Z</vt:filetime>
  </property>
  <property fmtid="{D5CDD505-2E9C-101B-9397-08002B2CF9AE}" pid="4" name="Creator">
    <vt:lpwstr>Microsoft® Word 2010</vt:lpwstr>
  </property>
  <property fmtid="{D5CDD505-2E9C-101B-9397-08002B2CF9AE}" pid="5" name="DocSecurity">
    <vt:i4>0</vt:i4>
  </property>
  <property fmtid="{D5CDD505-2E9C-101B-9397-08002B2CF9AE}" pid="6" name="HyperlinksChanged">
    <vt:bool>0</vt:bool>
  </property>
  <property fmtid="{D5CDD505-2E9C-101B-9397-08002B2CF9AE}" pid="7" name="LastSaved">
    <vt:filetime>2017-12-20T00:00:00Z</vt:filetime>
  </property>
  <property fmtid="{D5CDD505-2E9C-101B-9397-08002B2CF9AE}" pid="8" name="LinksUpToDate">
    <vt:bool>0</vt:bool>
  </property>
  <property fmtid="{D5CDD505-2E9C-101B-9397-08002B2CF9AE}" pid="9" name="ScaleCrop">
    <vt:bool>0</vt:bool>
  </property>
  <property fmtid="{D5CDD505-2E9C-101B-9397-08002B2CF9AE}" pid="10" name="ShareDoc">
    <vt:bool>0</vt:bool>
  </property>
</Properties>
</file>