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6AACD6" w14:textId="77777777" w:rsidR="006F08E2" w:rsidRDefault="006F08E2" w:rsidP="006F08E2">
      <w:pPr>
        <w:pStyle w:val="Heading1"/>
        <w:rPr>
          <w:lang w:val="en-AU"/>
        </w:rPr>
      </w:pPr>
      <w:bookmarkStart w:id="0" w:name="_Toc504053909"/>
      <w:r>
        <w:rPr>
          <w:lang w:val="en-AU"/>
        </w:rPr>
        <w:t xml:space="preserve">Abstract Submission </w:t>
      </w:r>
    </w:p>
    <w:p w14:paraId="2C755DC4" w14:textId="77777777" w:rsidR="006F08E2" w:rsidRDefault="006F08E2" w:rsidP="006F08E2">
      <w:pPr>
        <w:rPr>
          <w:lang w:val="en-AU"/>
        </w:rPr>
      </w:pPr>
      <w:r>
        <w:rPr>
          <w:lang w:val="en-AU"/>
        </w:rPr>
        <w:t xml:space="preserve">Rebecca Riggs </w:t>
      </w:r>
    </w:p>
    <w:p w14:paraId="2D9B01BE" w14:textId="77777777" w:rsidR="006F08E2" w:rsidRDefault="006F08E2" w:rsidP="006F08E2">
      <w:pPr>
        <w:rPr>
          <w:lang w:val="en-AU"/>
        </w:rPr>
      </w:pPr>
      <w:r>
        <w:rPr>
          <w:lang w:val="en-AU"/>
        </w:rPr>
        <w:t xml:space="preserve">University if Hamburg – was the University of Sydney </w:t>
      </w:r>
    </w:p>
    <w:p w14:paraId="2E9EB230" w14:textId="77777777" w:rsidR="006F08E2" w:rsidRDefault="006F08E2" w:rsidP="006F08E2">
      <w:pPr>
        <w:rPr>
          <w:lang w:val="en-AU"/>
        </w:rPr>
      </w:pPr>
      <w:r>
        <w:rPr>
          <w:lang w:val="en-AU"/>
        </w:rPr>
        <w:t xml:space="preserve">Email: </w:t>
      </w:r>
      <w:hyperlink r:id="rId4" w:history="1">
        <w:r w:rsidRPr="00804947">
          <w:rPr>
            <w:rStyle w:val="Hyperlink"/>
            <w:lang w:val="en-AU"/>
          </w:rPr>
          <w:t>rrig4874@uni.sydney.edu.au</w:t>
        </w:r>
      </w:hyperlink>
    </w:p>
    <w:p w14:paraId="19269EF3" w14:textId="77777777" w:rsidR="006F08E2" w:rsidRDefault="006F08E2" w:rsidP="006F08E2">
      <w:pPr>
        <w:rPr>
          <w:lang w:val="en-AU"/>
        </w:rPr>
      </w:pPr>
    </w:p>
    <w:p w14:paraId="79AC9D00" w14:textId="77777777" w:rsidR="006F08E2" w:rsidRDefault="006F08E2" w:rsidP="006F08E2">
      <w:pPr>
        <w:pStyle w:val="Heading1"/>
        <w:spacing w:line="360" w:lineRule="auto"/>
        <w:rPr>
          <w:lang w:val="en-AU"/>
        </w:rPr>
      </w:pPr>
      <w:r w:rsidRPr="006F08E2">
        <w:rPr>
          <w:rFonts w:ascii="Calibri" w:hAnsi="Calibri" w:cs="Calibri"/>
          <w:b/>
          <w:bCs/>
          <w:color w:val="191919"/>
        </w:rPr>
        <w:t>Reconstructing the Cenozoic history of carbonate accumulation in the South Atlantic Ocean</w:t>
      </w:r>
      <w:bookmarkEnd w:id="0"/>
      <w:r w:rsidRPr="00D0160E">
        <w:rPr>
          <w:lang w:val="en-AU"/>
        </w:rPr>
        <w:t xml:space="preserve"> </w:t>
      </w:r>
    </w:p>
    <w:p w14:paraId="6E100933" w14:textId="77777777" w:rsidR="006F08E2" w:rsidRPr="006F08E2" w:rsidRDefault="006F08E2" w:rsidP="006F08E2">
      <w:pPr>
        <w:spacing w:line="360" w:lineRule="auto"/>
        <w:rPr>
          <w:lang w:val="en-AU"/>
        </w:rPr>
      </w:pPr>
    </w:p>
    <w:p w14:paraId="783DE1A2" w14:textId="77777777" w:rsidR="002B4B96" w:rsidRDefault="006F08E2" w:rsidP="006F08E2">
      <w:pPr>
        <w:spacing w:line="360" w:lineRule="auto"/>
        <w:jc w:val="both"/>
      </w:pPr>
      <w:r>
        <w:rPr>
          <w:lang w:val="en-AU"/>
        </w:rPr>
        <w:t xml:space="preserve">The South Atlantic Ocean has long been the subject of deep-sea drilling expeditions that have not only proven the theory of plate tectonics (DSDP Leg 3) but have uncovered a rich and complex history of sedimentation dominated by pelagic carbonates. One of the major controls on carbonate distribution is the location of the Calcite Compensation Depth (CCD), which was last synthesised for the South Atlantic in the 1970s by van </w:t>
      </w:r>
      <w:proofErr w:type="spellStart"/>
      <w:r>
        <w:rPr>
          <w:lang w:val="en-AU"/>
        </w:rPr>
        <w:t>Andel</w:t>
      </w:r>
      <w:proofErr w:type="spellEnd"/>
      <w:r>
        <w:rPr>
          <w:lang w:val="en-AU"/>
        </w:rPr>
        <w:t xml:space="preserve"> and colleagues. Their reconstruction was based on limited drill sites, poorly constrained age-depth relationships and </w:t>
      </w:r>
      <w:proofErr w:type="spellStart"/>
      <w:r>
        <w:rPr>
          <w:lang w:val="en-AU"/>
        </w:rPr>
        <w:t>palaeowater</w:t>
      </w:r>
      <w:proofErr w:type="spellEnd"/>
      <w:r>
        <w:rPr>
          <w:lang w:val="en-AU"/>
        </w:rPr>
        <w:t xml:space="preserve">-depth reconstructions that were unable to </w:t>
      </w:r>
      <w:proofErr w:type="gramStart"/>
      <w:r>
        <w:rPr>
          <w:lang w:val="en-AU"/>
        </w:rPr>
        <w:t>take into account</w:t>
      </w:r>
      <w:proofErr w:type="gramEnd"/>
      <w:r>
        <w:rPr>
          <w:lang w:val="en-AU"/>
        </w:rPr>
        <w:t xml:space="preserve"> sediment compaction, dynamic topography, and tectonic subsidence on continental crust. For this project, we have developed the </w:t>
      </w:r>
      <w:r w:rsidRPr="0073773B">
        <w:rPr>
          <w:i/>
          <w:iCs/>
          <w:lang w:val="en-AU"/>
        </w:rPr>
        <w:t>PyBacktrack</w:t>
      </w:r>
      <w:r>
        <w:rPr>
          <w:lang w:val="en-AU"/>
        </w:rPr>
        <w:t xml:space="preserve"> workflow that allows the spatial reconstruction of the paleo-water depth of drill sites through time. The workflow considers </w:t>
      </w:r>
      <w:proofErr w:type="spellStart"/>
      <w:r>
        <w:rPr>
          <w:lang w:val="en-AU"/>
        </w:rPr>
        <w:t>syn</w:t>
      </w:r>
      <w:proofErr w:type="spellEnd"/>
      <w:r>
        <w:rPr>
          <w:lang w:val="en-AU"/>
        </w:rPr>
        <w:t xml:space="preserve">-rift and post-rift subsidence, using total sediment thickness paired with the timing of the transition from rifting to thermal subsidence, as key constraints for tectonic subsidence of on continental crust. Tectonic subsidence on ocean crust is modelled using a lithospheric age-depth model, combined with basement-depth anomalies.  The analysis is paired with a consideration of mantle-convection driven dynamic topography through time.  Access to revised stratigraphic age-depth models of key sites in South Atlantic via the proprietary database </w:t>
      </w:r>
      <w:proofErr w:type="spellStart"/>
      <w:r>
        <w:rPr>
          <w:i/>
          <w:iCs/>
          <w:lang w:val="en-AU"/>
        </w:rPr>
        <w:t>iCORDS</w:t>
      </w:r>
      <w:proofErr w:type="spellEnd"/>
      <w:r>
        <w:rPr>
          <w:lang w:val="en-AU"/>
        </w:rPr>
        <w:t xml:space="preserve"> (EGI, Univ. Utah) has enabled us to reconstruct </w:t>
      </w:r>
      <w:proofErr w:type="spellStart"/>
      <w:r>
        <w:rPr>
          <w:lang w:val="en-AU"/>
        </w:rPr>
        <w:t>palaeowater</w:t>
      </w:r>
      <w:proofErr w:type="spellEnd"/>
      <w:r>
        <w:rPr>
          <w:lang w:val="en-AU"/>
        </w:rPr>
        <w:t xml:space="preserve"> depths for a total of 59 ODP and DSDP sites (9 on continental crust) and to revise and extend the CCD curve for South Atlantic.  Our analysis provides new insights into CCD depth through time and controls on carbonate deposition. We find that the CCD was at its shallowest, (~ 1700 m and 2800 m) between ~ 65 Ma and 55 Ma gradually deepening in a two-step process to its present-day depth of ~ 4500 m. The first deepening to 3800 m occurred between 55 Ma and 37 Ma, followed by a slight shallowing to ~ 3500 m for most of the Oligocene, followed by a rapid </w:t>
      </w:r>
      <w:r>
        <w:rPr>
          <w:lang w:val="en-AU"/>
        </w:rPr>
        <w:lastRenderedPageBreak/>
        <w:t xml:space="preserve">deepening to 4300 m ~ 18 Ma, and a gentler Late Neogene-Pleistocene deepening to its present-day depth. The effect of dynamic topography results in the CCD being ~ 100 m deeper for most of the Eocene and ~ 200 m shallower during early Oligocene as compared to estimates without considering this effect.  Within the Argentine Basin, some sites above the CCD display </w:t>
      </w:r>
      <w:r w:rsidRPr="00C01EF9">
        <w:rPr>
          <w:lang w:val="en-AU"/>
        </w:rPr>
        <w:t>significant fluctuation</w:t>
      </w:r>
      <w:r>
        <w:rPr>
          <w:lang w:val="en-AU"/>
        </w:rPr>
        <w:t>s</w:t>
      </w:r>
      <w:r w:rsidRPr="00C01EF9">
        <w:rPr>
          <w:lang w:val="en-AU"/>
        </w:rPr>
        <w:t xml:space="preserve"> in </w:t>
      </w:r>
      <w:r>
        <w:rPr>
          <w:lang w:val="en-AU"/>
        </w:rPr>
        <w:t>CaCO</w:t>
      </w:r>
      <w:r w:rsidRPr="001F1D8D">
        <w:rPr>
          <w:vertAlign w:val="subscript"/>
          <w:lang w:val="en-AU"/>
        </w:rPr>
        <w:t>3</w:t>
      </w:r>
      <w:r w:rsidRPr="00C01EF9">
        <w:rPr>
          <w:lang w:val="en-AU"/>
        </w:rPr>
        <w:t xml:space="preserve"> content </w:t>
      </w:r>
      <w:r>
        <w:rPr>
          <w:lang w:val="en-AU"/>
        </w:rPr>
        <w:t>in the Oligocene and Neogene, which cannot be explained by variations in CCD depth.  We suggest that these fluctuations reflect discrete uplift events along the Patagonian Andes, supported by several published tectonic uplift studies.  Rapid denudation following these uplift events resulted in pulses of terrigenous influx onto the Falkland Plateau and the Argentine Basin, which are reflected in an increased sand and silt fraction in sediments, containing quartz, feldspar and amphibole, over 1500 km away from the source.  These high-resolution downhole CaCO</w:t>
      </w:r>
      <w:r w:rsidRPr="001F1D8D">
        <w:rPr>
          <w:vertAlign w:val="subscript"/>
          <w:lang w:val="en-AU"/>
        </w:rPr>
        <w:t>3</w:t>
      </w:r>
      <w:r w:rsidRPr="00C01EF9">
        <w:rPr>
          <w:lang w:val="en-AU"/>
        </w:rPr>
        <w:t xml:space="preserve"> </w:t>
      </w:r>
      <w:r>
        <w:rPr>
          <w:lang w:val="en-AU"/>
        </w:rPr>
        <w:t xml:space="preserve">fluctuations paired with improved, well-constrained age-depth relationships used here, open the opportunity to place independent age limits on Patagonian uplift events, thus tightening constraints on the </w:t>
      </w:r>
      <w:proofErr w:type="spellStart"/>
      <w:r>
        <w:rPr>
          <w:lang w:val="en-AU"/>
        </w:rPr>
        <w:t>cyclicity</w:t>
      </w:r>
      <w:proofErr w:type="spellEnd"/>
      <w:r>
        <w:rPr>
          <w:lang w:val="en-AU"/>
        </w:rPr>
        <w:t xml:space="preserve"> of subduction and uplift cycles along the Andes, which are more difficult to capture using traditional, lower-resolution </w:t>
      </w:r>
      <w:proofErr w:type="spellStart"/>
      <w:r>
        <w:rPr>
          <w:lang w:val="en-AU"/>
        </w:rPr>
        <w:t>thermochronology</w:t>
      </w:r>
      <w:proofErr w:type="spellEnd"/>
      <w:r>
        <w:rPr>
          <w:lang w:val="en-AU"/>
        </w:rPr>
        <w:t xml:space="preserve"> methods. In addition, we see evidence for a rapid decrease in carbonate content between 14 Ma and 9 Ma at sites 522 and 523 on the Walvis Ridge, which appears be linked to the Miocene “carbonate crash” event that for the North Atlantic Oce</w:t>
      </w:r>
      <w:bookmarkStart w:id="1" w:name="_GoBack"/>
      <w:bookmarkEnd w:id="1"/>
      <w:r>
        <w:rPr>
          <w:lang w:val="en-AU"/>
        </w:rPr>
        <w:t>an and the Caribbean Sea has been attributed to increased carbonate dissolution due to changes in deep water circulation. Sites 356 on the São Paulo Plateau and show a dramatic decrease in carbonate content between 57 Ma and 50 Ma, which is likely related to carbonate dissolution linked to ocean acidification during the Paleo-Eocene Thermal Maximum (PETM).</w:t>
      </w:r>
    </w:p>
    <w:sectPr w:rsidR="002B4B96" w:rsidSect="00503FB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8E2"/>
    <w:rsid w:val="000173BA"/>
    <w:rsid w:val="000901B5"/>
    <w:rsid w:val="000B4103"/>
    <w:rsid w:val="000D1808"/>
    <w:rsid w:val="00135368"/>
    <w:rsid w:val="001B028C"/>
    <w:rsid w:val="001C5607"/>
    <w:rsid w:val="001F2A87"/>
    <w:rsid w:val="001F7FCA"/>
    <w:rsid w:val="00213631"/>
    <w:rsid w:val="00254122"/>
    <w:rsid w:val="00292347"/>
    <w:rsid w:val="00323124"/>
    <w:rsid w:val="00332AD3"/>
    <w:rsid w:val="003826B5"/>
    <w:rsid w:val="003E11D7"/>
    <w:rsid w:val="003F7F59"/>
    <w:rsid w:val="004146B8"/>
    <w:rsid w:val="004D734E"/>
    <w:rsid w:val="00503FB5"/>
    <w:rsid w:val="00510A9E"/>
    <w:rsid w:val="00557A99"/>
    <w:rsid w:val="005D33BA"/>
    <w:rsid w:val="00630398"/>
    <w:rsid w:val="006545BB"/>
    <w:rsid w:val="006B7D11"/>
    <w:rsid w:val="006E177E"/>
    <w:rsid w:val="006F08E2"/>
    <w:rsid w:val="0071702A"/>
    <w:rsid w:val="007637DA"/>
    <w:rsid w:val="0079278B"/>
    <w:rsid w:val="0079377A"/>
    <w:rsid w:val="007B767F"/>
    <w:rsid w:val="007E0586"/>
    <w:rsid w:val="007F7CE1"/>
    <w:rsid w:val="00851C61"/>
    <w:rsid w:val="00854EF0"/>
    <w:rsid w:val="00855F3A"/>
    <w:rsid w:val="00866090"/>
    <w:rsid w:val="0089385D"/>
    <w:rsid w:val="008A55AA"/>
    <w:rsid w:val="008B11B5"/>
    <w:rsid w:val="008C7438"/>
    <w:rsid w:val="008D0E04"/>
    <w:rsid w:val="008E59EC"/>
    <w:rsid w:val="008F78BB"/>
    <w:rsid w:val="008F7E9D"/>
    <w:rsid w:val="009160A6"/>
    <w:rsid w:val="00923DBF"/>
    <w:rsid w:val="00980FD8"/>
    <w:rsid w:val="009830B5"/>
    <w:rsid w:val="009B6326"/>
    <w:rsid w:val="00A20A2F"/>
    <w:rsid w:val="00A524D1"/>
    <w:rsid w:val="00AB7E28"/>
    <w:rsid w:val="00AC4030"/>
    <w:rsid w:val="00AD0B77"/>
    <w:rsid w:val="00AE77FB"/>
    <w:rsid w:val="00BA73F8"/>
    <w:rsid w:val="00BC6B54"/>
    <w:rsid w:val="00BE35CE"/>
    <w:rsid w:val="00C470FA"/>
    <w:rsid w:val="00C60B6F"/>
    <w:rsid w:val="00C93B1E"/>
    <w:rsid w:val="00C975FE"/>
    <w:rsid w:val="00CF17CB"/>
    <w:rsid w:val="00D840BE"/>
    <w:rsid w:val="00DA15EA"/>
    <w:rsid w:val="00DC4D75"/>
    <w:rsid w:val="00E3541B"/>
    <w:rsid w:val="00E45097"/>
    <w:rsid w:val="00E976E8"/>
    <w:rsid w:val="00EA48AE"/>
    <w:rsid w:val="00EF6519"/>
    <w:rsid w:val="00F01C20"/>
    <w:rsid w:val="00F366A3"/>
    <w:rsid w:val="00F41DFB"/>
    <w:rsid w:val="00F86FFB"/>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9D81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F08E2"/>
    <w:rPr>
      <w:rFonts w:eastAsiaTheme="minorEastAsia"/>
      <w:lang w:val="en-US"/>
    </w:rPr>
  </w:style>
  <w:style w:type="paragraph" w:styleId="Heading1">
    <w:name w:val="heading 1"/>
    <w:basedOn w:val="Normal"/>
    <w:next w:val="Normal"/>
    <w:link w:val="Heading1Char"/>
    <w:uiPriority w:val="9"/>
    <w:qFormat/>
    <w:rsid w:val="006F08E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8E2"/>
    <w:rPr>
      <w:rFonts w:asciiTheme="majorHAnsi" w:eastAsiaTheme="majorEastAsia" w:hAnsiTheme="majorHAnsi" w:cstheme="majorBidi"/>
      <w:color w:val="2F5496" w:themeColor="accent1" w:themeShade="BF"/>
      <w:sz w:val="32"/>
      <w:szCs w:val="32"/>
      <w:lang w:val="en-US"/>
    </w:rPr>
  </w:style>
  <w:style w:type="character" w:styleId="Hyperlink">
    <w:name w:val="Hyperlink"/>
    <w:basedOn w:val="DefaultParagraphFont"/>
    <w:uiPriority w:val="99"/>
    <w:unhideWhenUsed/>
    <w:rsid w:val="006F08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rrig4874@uni.sydney.edu.au"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634</Words>
  <Characters>3618</Characters>
  <Application>Microsoft Macintosh Word</Application>
  <DocSecurity>0</DocSecurity>
  <Lines>30</Lines>
  <Paragraphs>8</Paragraphs>
  <ScaleCrop>false</ScaleCrop>
  <LinksUpToDate>false</LinksUpToDate>
  <CharactersWithSpaces>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Anne Riggs</dc:creator>
  <cp:keywords/>
  <dc:description/>
  <cp:lastModifiedBy>Rebecca Anne Riggs</cp:lastModifiedBy>
  <cp:revision>1</cp:revision>
  <dcterms:created xsi:type="dcterms:W3CDTF">2019-01-21T09:37:00Z</dcterms:created>
  <dcterms:modified xsi:type="dcterms:W3CDTF">2019-01-21T09:41:00Z</dcterms:modified>
</cp:coreProperties>
</file>