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lastRenderedPageBreak/>
        <w:t xml:space="preserve">Title: </w:t>
      </w:r>
      <w:r w:rsidR="00883A50" w:rsidRPr="009D49B8">
        <w:rPr>
          <w:rFonts w:eastAsia="MS PGothic"/>
          <w:b/>
          <w:color w:val="000000"/>
          <w:sz w:val="22"/>
          <w:szCs w:val="22"/>
        </w:rPr>
        <w:t>Identification of new a</w:t>
      </w:r>
      <w:r w:rsidR="00E918C4" w:rsidRPr="009D49B8">
        <w:rPr>
          <w:rFonts w:eastAsia="MS PGothic"/>
          <w:b/>
          <w:color w:val="000000"/>
          <w:sz w:val="22"/>
          <w:szCs w:val="22"/>
        </w:rPr>
        <w:t xml:space="preserve">lleles in </w:t>
      </w:r>
      <w:r w:rsidR="00351E9B">
        <w:rPr>
          <w:rFonts w:eastAsia="MS PGothic"/>
          <w:b/>
          <w:color w:val="000000"/>
          <w:sz w:val="22"/>
          <w:szCs w:val="22"/>
        </w:rPr>
        <w:t xml:space="preserve">salinity </w:t>
      </w:r>
      <w:r w:rsidR="00883A50" w:rsidRPr="009D49B8">
        <w:rPr>
          <w:rFonts w:eastAsia="MS PGothic"/>
          <w:b/>
          <w:color w:val="000000"/>
          <w:sz w:val="22"/>
          <w:szCs w:val="22"/>
        </w:rPr>
        <w:t xml:space="preserve">tolerant rice </w:t>
      </w:r>
      <w:r w:rsidR="00351E9B">
        <w:rPr>
          <w:rFonts w:eastAsia="MS PGothic"/>
          <w:b/>
          <w:color w:val="000000"/>
          <w:sz w:val="22"/>
          <w:szCs w:val="22"/>
        </w:rPr>
        <w:t xml:space="preserve">local </w:t>
      </w:r>
      <w:r w:rsidR="004227FF">
        <w:rPr>
          <w:rFonts w:eastAsia="MS PGothic"/>
          <w:b/>
          <w:color w:val="000000"/>
          <w:sz w:val="22"/>
          <w:szCs w:val="22"/>
        </w:rPr>
        <w:t>cultivars</w:t>
      </w:r>
      <w:r w:rsidR="00883A50" w:rsidRPr="009D49B8">
        <w:rPr>
          <w:rFonts w:eastAsia="MS PGothic"/>
          <w:b/>
          <w:color w:val="000000"/>
          <w:sz w:val="22"/>
          <w:szCs w:val="22"/>
        </w:rPr>
        <w:t xml:space="preserve"> through phenotypic and genotypic s</w:t>
      </w:r>
      <w:r w:rsidR="00E918C4" w:rsidRPr="009D49B8">
        <w:rPr>
          <w:rFonts w:eastAsia="MS PGothic"/>
          <w:b/>
          <w:color w:val="000000"/>
          <w:sz w:val="22"/>
          <w:szCs w:val="22"/>
        </w:rPr>
        <w:t>creening</w:t>
      </w:r>
    </w:p>
    <w:p w:rsidR="0005164C" w:rsidRPr="009D49B8" w:rsidRDefault="0005164C" w:rsidP="003C0794">
      <w:pPr>
        <w:jc w:val="both"/>
        <w:rPr>
          <w:rFonts w:eastAsia="MS PGothic"/>
          <w:color w:val="000000"/>
          <w:sz w:val="22"/>
          <w:szCs w:val="22"/>
        </w:rPr>
      </w:pPr>
    </w:p>
    <w:p w:rsidR="003C0794" w:rsidRPr="003C0794" w:rsidRDefault="00E918C4" w:rsidP="003C0794">
      <w:pPr>
        <w:shd w:val="clear" w:color="auto" w:fill="FFFFFF"/>
        <w:spacing w:after="150"/>
        <w:jc w:val="both"/>
        <w:rPr>
          <w:sz w:val="19"/>
          <w:szCs w:val="19"/>
          <w:lang w:val="en-IN" w:eastAsia="en-IN"/>
        </w:rPr>
      </w:pPr>
      <w:r>
        <w:rPr>
          <w:b/>
          <w:bCs/>
          <w:sz w:val="19"/>
          <w:szCs w:val="19"/>
          <w:lang w:val="en-IN" w:eastAsia="en-IN"/>
        </w:rPr>
        <w:t>XXXX</w:t>
      </w:r>
      <w:r w:rsidR="003C0794" w:rsidRPr="0005164C">
        <w:rPr>
          <w:b/>
          <w:bCs/>
          <w:sz w:val="19"/>
          <w:szCs w:val="19"/>
          <w:lang w:val="en-IN" w:eastAsia="en-IN"/>
        </w:rPr>
        <w:t xml:space="preserve"> </w:t>
      </w:r>
      <w:r w:rsidR="009D49B8">
        <w:rPr>
          <w:b/>
          <w:bCs/>
          <w:sz w:val="19"/>
          <w:szCs w:val="19"/>
          <w:lang w:val="en-IN" w:eastAsia="en-IN"/>
        </w:rPr>
        <w:t xml:space="preserve"> </w:t>
      </w:r>
      <w:r w:rsidR="003C0794" w:rsidRPr="0005164C">
        <w:rPr>
          <w:b/>
          <w:bCs/>
          <w:sz w:val="19"/>
          <w:szCs w:val="19"/>
          <w:lang w:val="en-IN" w:eastAsia="en-IN"/>
        </w:rPr>
        <w:t>L</w:t>
      </w:r>
      <w:r w:rsidR="003C0794" w:rsidRPr="0005164C">
        <w:rPr>
          <w:b/>
          <w:bCs/>
          <w:sz w:val="19"/>
          <w:szCs w:val="19"/>
          <w:vertAlign w:val="superscript"/>
          <w:lang w:val="en-IN" w:eastAsia="en-IN"/>
        </w:rPr>
        <w:t>1</w:t>
      </w:r>
      <w:r w:rsidR="003C0794" w:rsidRPr="0005164C">
        <w:rPr>
          <w:b/>
          <w:bCs/>
          <w:sz w:val="19"/>
          <w:szCs w:val="19"/>
          <w:lang w:val="en-IN" w:eastAsia="en-IN"/>
        </w:rPr>
        <w:t xml:space="preserve">, </w:t>
      </w:r>
      <w:r>
        <w:rPr>
          <w:b/>
          <w:bCs/>
          <w:sz w:val="19"/>
          <w:szCs w:val="19"/>
          <w:lang w:val="en-IN" w:eastAsia="en-IN"/>
        </w:rPr>
        <w:t xml:space="preserve"> XXXXX</w:t>
      </w:r>
      <w:r w:rsidR="003C0794" w:rsidRPr="0005164C">
        <w:rPr>
          <w:b/>
          <w:bCs/>
          <w:sz w:val="19"/>
          <w:szCs w:val="19"/>
          <w:lang w:val="en-IN" w:eastAsia="en-IN"/>
        </w:rPr>
        <w:t xml:space="preserve"> </w:t>
      </w:r>
      <w:r w:rsidR="009D49B8">
        <w:rPr>
          <w:b/>
          <w:bCs/>
          <w:sz w:val="19"/>
          <w:szCs w:val="19"/>
          <w:lang w:val="en-IN" w:eastAsia="en-IN"/>
        </w:rPr>
        <w:t xml:space="preserve"> </w:t>
      </w:r>
      <w:r w:rsidR="003C0794" w:rsidRPr="0005164C">
        <w:rPr>
          <w:b/>
          <w:bCs/>
          <w:sz w:val="19"/>
          <w:szCs w:val="19"/>
          <w:lang w:val="en-IN" w:eastAsia="en-IN"/>
        </w:rPr>
        <w:t>ES</w:t>
      </w:r>
      <w:hyperlink r:id="rId5" w:anchor="a1" w:history="1">
        <w:r w:rsidR="003C0794" w:rsidRPr="0005164C">
          <w:rPr>
            <w:b/>
            <w:bCs/>
            <w:sz w:val="19"/>
            <w:szCs w:val="19"/>
            <w:vertAlign w:val="superscript"/>
            <w:lang w:val="en-IN" w:eastAsia="en-IN"/>
          </w:rPr>
          <w:t>1</w:t>
        </w:r>
      </w:hyperlink>
      <w:r w:rsidR="003C0794" w:rsidRPr="0005164C">
        <w:rPr>
          <w:b/>
          <w:bCs/>
          <w:sz w:val="19"/>
          <w:szCs w:val="19"/>
          <w:lang w:val="en-IN" w:eastAsia="en-IN"/>
        </w:rPr>
        <w:t xml:space="preserve">, </w:t>
      </w:r>
      <w:r>
        <w:rPr>
          <w:b/>
          <w:bCs/>
          <w:sz w:val="19"/>
          <w:szCs w:val="19"/>
          <w:lang w:val="en-IN" w:eastAsia="en-IN"/>
        </w:rPr>
        <w:t xml:space="preserve"> XXXX</w:t>
      </w:r>
      <w:r w:rsidR="003C0794" w:rsidRPr="0005164C">
        <w:rPr>
          <w:b/>
          <w:bCs/>
          <w:sz w:val="19"/>
          <w:szCs w:val="19"/>
          <w:lang w:val="en-IN" w:eastAsia="en-IN"/>
        </w:rPr>
        <w:t xml:space="preserve"> ALD</w:t>
      </w:r>
      <w:r w:rsidR="003C0794" w:rsidRPr="0005164C">
        <w:rPr>
          <w:b/>
          <w:bCs/>
          <w:sz w:val="19"/>
          <w:szCs w:val="19"/>
          <w:vertAlign w:val="superscript"/>
          <w:lang w:val="en-IN" w:eastAsia="en-IN"/>
        </w:rPr>
        <w:t>1</w:t>
      </w:r>
      <w:r w:rsidR="009D49B8">
        <w:rPr>
          <w:b/>
          <w:bCs/>
          <w:sz w:val="19"/>
          <w:szCs w:val="19"/>
          <w:vertAlign w:val="superscript"/>
          <w:lang w:val="en-IN" w:eastAsia="en-IN"/>
        </w:rPr>
        <w:t>, 2</w:t>
      </w:r>
      <w:r w:rsidR="003C0794" w:rsidRPr="0005164C">
        <w:rPr>
          <w:b/>
          <w:bCs/>
          <w:sz w:val="19"/>
          <w:szCs w:val="19"/>
          <w:lang w:val="en-IN" w:eastAsia="en-IN"/>
        </w:rPr>
        <w:t xml:space="preserve">, </w:t>
      </w:r>
    </w:p>
    <w:p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 xml:space="preserve">Department of </w:t>
      </w:r>
      <w:r w:rsidR="009D49B8" w:rsidRPr="00351E9B">
        <w:rPr>
          <w:sz w:val="19"/>
          <w:szCs w:val="19"/>
          <w:lang w:val="en-IN" w:eastAsia="en-IN"/>
        </w:rPr>
        <w:t>Crop Improvement, International Rice Research Institute</w:t>
      </w:r>
      <w:r w:rsidRPr="00351E9B">
        <w:rPr>
          <w:sz w:val="19"/>
          <w:szCs w:val="19"/>
          <w:lang w:val="en-IN" w:eastAsia="en-IN"/>
        </w:rPr>
        <w:t xml:space="preserve">, </w:t>
      </w:r>
      <w:r w:rsidR="009D49B8" w:rsidRPr="00351E9B">
        <w:rPr>
          <w:sz w:val="19"/>
          <w:szCs w:val="19"/>
          <w:lang w:val="en-IN" w:eastAsia="en-IN"/>
        </w:rPr>
        <w:t>Manila, Philippines</w:t>
      </w:r>
    </w:p>
    <w:p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2</w:t>
      </w:r>
      <w:bookmarkStart w:id="1" w:name="a2"/>
      <w:bookmarkEnd w:id="1"/>
      <w:r w:rsidR="009D49B8" w:rsidRPr="00351E9B">
        <w:rPr>
          <w:sz w:val="19"/>
          <w:szCs w:val="19"/>
          <w:lang w:val="en-IN" w:eastAsia="en-IN"/>
        </w:rPr>
        <w:t>Department of Genetics and plant Breeding</w:t>
      </w:r>
      <w:r w:rsidRPr="00351E9B">
        <w:rPr>
          <w:sz w:val="19"/>
          <w:szCs w:val="19"/>
          <w:lang w:val="en-IN" w:eastAsia="en-IN"/>
        </w:rPr>
        <w:t xml:space="preserve">, </w:t>
      </w:r>
      <w:r w:rsidR="009D49B8" w:rsidRPr="00351E9B">
        <w:rPr>
          <w:sz w:val="19"/>
          <w:szCs w:val="19"/>
          <w:lang w:val="en-IN" w:eastAsia="en-IN"/>
        </w:rPr>
        <w:t>National Rice Research institute</w:t>
      </w:r>
      <w:r w:rsidRPr="00351E9B">
        <w:rPr>
          <w:sz w:val="19"/>
          <w:szCs w:val="19"/>
          <w:lang w:val="en-IN" w:eastAsia="en-IN"/>
        </w:rPr>
        <w:t xml:space="preserve">, </w:t>
      </w:r>
      <w:r w:rsidR="009D49B8" w:rsidRPr="00351E9B">
        <w:rPr>
          <w:sz w:val="19"/>
          <w:szCs w:val="19"/>
          <w:lang w:val="en-IN" w:eastAsia="en-IN"/>
        </w:rPr>
        <w:t>Osaka, Japan</w:t>
      </w:r>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961ABA" w:rsidRDefault="009D49B8" w:rsidP="002F3CDD">
      <w:pPr>
        <w:jc w:val="left"/>
        <w:rPr>
          <w:color w:val="000000"/>
          <w:sz w:val="22"/>
          <w:szCs w:val="22"/>
        </w:rPr>
      </w:pPr>
      <w:r w:rsidRPr="002F3CDD">
        <w:rPr>
          <w:b/>
          <w:bCs/>
          <w:iCs/>
          <w:sz w:val="30"/>
          <w:szCs w:val="30"/>
          <w:lang w:val="en-IN" w:eastAsia="en-IN"/>
        </w:rPr>
        <w:lastRenderedPageBreak/>
        <w:t>Keywords</w:t>
      </w:r>
      <w:r w:rsidR="00961ABA" w:rsidRPr="002F3CDD">
        <w:rPr>
          <w:b/>
          <w:color w:val="000000"/>
          <w:sz w:val="30"/>
          <w:szCs w:val="30"/>
        </w:rPr>
        <w:t>:</w:t>
      </w:r>
      <w:r w:rsidR="00961ABA">
        <w:rPr>
          <w:color w:val="000000"/>
          <w:sz w:val="22"/>
          <w:szCs w:val="22"/>
        </w:rPr>
        <w:t xml:space="preserve"> SHEFROL, Oil and grease, Microbial studies, Aspergillus Niger, Physical</w:t>
      </w:r>
      <w:r w:rsidR="00961ABA">
        <w:rPr>
          <w:color w:val="000000"/>
          <w:sz w:val="22"/>
          <w:szCs w:val="22"/>
        </w:rPr>
        <w:br/>
        <w:t>absorption, Salvinia molesta, Eichhornia crassipes.</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961ABA" w:rsidRDefault="00961ABA" w:rsidP="00883A50">
      <w:pPr>
        <w:jc w:val="both"/>
        <w:rPr>
          <w:sz w:val="19"/>
          <w:szCs w:val="19"/>
          <w:lang w:val="en-IN" w:eastAsia="en-IN"/>
        </w:rPr>
      </w:pPr>
      <w:r>
        <w:rPr>
          <w:color w:val="000000"/>
          <w:sz w:val="22"/>
          <w:szCs w:val="22"/>
        </w:rPr>
        <w:t>he present study was carried out to improve the efficiency of SHEFROL (SHEet Flow</w:t>
      </w:r>
      <w:r>
        <w:rPr>
          <w:color w:val="000000"/>
          <w:sz w:val="22"/>
          <w:szCs w:val="22"/>
        </w:rPr>
        <w:br/>
        <w:t>ROot Level) wastewater treatment plant located behind canteen-II which treats wastewater</w:t>
      </w:r>
      <w:r>
        <w:rPr>
          <w:color w:val="000000"/>
          <w:sz w:val="22"/>
          <w:szCs w:val="22"/>
        </w:rPr>
        <w:br/>
        <w:t>generated form the cafeteria. SHEFROL is one among the natural wastewater treatment</w:t>
      </w:r>
      <w:r>
        <w:rPr>
          <w:color w:val="000000"/>
          <w:sz w:val="22"/>
          <w:szCs w:val="22"/>
        </w:rPr>
        <w:br/>
        <w:t>system, which developed at “Centre for Pollution control and Environmental Engineering”,</w:t>
      </w:r>
      <w:r>
        <w:rPr>
          <w:color w:val="000000"/>
          <w:sz w:val="22"/>
          <w:szCs w:val="22"/>
        </w:rPr>
        <w:br/>
        <w:t>Pondicherry University by Professor S.A.Abbasi and his coworkers was proved appropriate</w:t>
      </w:r>
      <w:r>
        <w:rPr>
          <w:color w:val="000000"/>
          <w:sz w:val="22"/>
          <w:szCs w:val="22"/>
        </w:rPr>
        <w:br/>
        <w:t>as a substitute for decentralized domestic wastewater treatment. By using different</w:t>
      </w:r>
      <w:r>
        <w:rPr>
          <w:color w:val="000000"/>
          <w:sz w:val="22"/>
          <w:szCs w:val="22"/>
        </w:rPr>
        <w:br/>
        <w:t>macrophytes as bioagents, and at different hydraulic retention time the treatment efficiency</w:t>
      </w:r>
      <w:r>
        <w:rPr>
          <w:color w:val="000000"/>
          <w:sz w:val="22"/>
          <w:szCs w:val="22"/>
        </w:rPr>
        <w:br/>
        <w:t>of the SHEFROL was found satisfactory.</w:t>
      </w:r>
      <w:r>
        <w:rPr>
          <w:color w:val="000000"/>
          <w:sz w:val="22"/>
          <w:szCs w:val="22"/>
        </w:rPr>
        <w:br/>
        <w:t>It was found that the existing plant at canteen-II was inefficient to control highly increasing</w:t>
      </w:r>
      <w:r>
        <w:rPr>
          <w:color w:val="000000"/>
          <w:sz w:val="22"/>
          <w:szCs w:val="22"/>
        </w:rPr>
        <w:br/>
        <w:t>flow rate, solids content and removal of oil/grease. Changes were made at all units of the</w:t>
      </w:r>
      <w:r>
        <w:rPr>
          <w:color w:val="000000"/>
          <w:sz w:val="22"/>
          <w:szCs w:val="22"/>
        </w:rPr>
        <w:br/>
        <w:t>plant to tackle frequently occurred issues encountered during plant operation and</w:t>
      </w:r>
      <w:r>
        <w:rPr>
          <w:color w:val="000000"/>
          <w:sz w:val="22"/>
          <w:szCs w:val="22"/>
        </w:rPr>
        <w:br/>
        <w:t>maintenance. To control oil and grease, jute bag placed below the secondary filtration unit</w:t>
      </w:r>
      <w:r>
        <w:rPr>
          <w:color w:val="000000"/>
          <w:sz w:val="22"/>
          <w:szCs w:val="22"/>
        </w:rPr>
        <w:br/>
        <w:t>which was found to trap 50% of oil and grease from the wastewater. Alterations were done</w:t>
      </w:r>
      <w:r>
        <w:rPr>
          <w:color w:val="000000"/>
          <w:sz w:val="22"/>
          <w:szCs w:val="22"/>
        </w:rPr>
        <w:br/>
        <w:t>to maintain flow discontinuous as possible. A new settling tank was mounted and above</w:t>
      </w:r>
      <w:r>
        <w:rPr>
          <w:color w:val="000000"/>
          <w:sz w:val="22"/>
          <w:szCs w:val="22"/>
        </w:rPr>
        <w:br/>
        <w:t>that secondary filtration unit set up kept with fine screen to collect fine solids to be</w:t>
      </w:r>
      <w:r>
        <w:rPr>
          <w:color w:val="000000"/>
          <w:sz w:val="22"/>
          <w:szCs w:val="22"/>
        </w:rPr>
        <w:br/>
        <w:t>composed for further use as fertilizer.</w:t>
      </w:r>
      <w:r>
        <w:rPr>
          <w:color w:val="000000"/>
          <w:sz w:val="22"/>
          <w:szCs w:val="22"/>
        </w:rPr>
        <w:br/>
        <w:t>COD of the cafeteria wastewater is very high due to presence of oil and grease. To control</w:t>
      </w:r>
      <w:r>
        <w:rPr>
          <w:color w:val="000000"/>
          <w:sz w:val="22"/>
          <w:szCs w:val="22"/>
        </w:rPr>
        <w:br/>
        <w:t>and remove it to a higher extent, lab scale trials was taken for bio-degradation by fungi and</w:t>
      </w:r>
      <w:r>
        <w:rPr>
          <w:color w:val="000000"/>
          <w:sz w:val="22"/>
          <w:szCs w:val="22"/>
        </w:rPr>
        <w:br/>
      </w:r>
      <w:r>
        <w:rPr>
          <w:color w:val="000000"/>
          <w:sz w:val="22"/>
          <w:szCs w:val="22"/>
        </w:rPr>
        <w:lastRenderedPageBreak/>
        <w:t>also by physical absorption. Microbial studies done to find out proficient fungi which can</w:t>
      </w:r>
      <w:r>
        <w:rPr>
          <w:color w:val="000000"/>
          <w:sz w:val="22"/>
          <w:szCs w:val="22"/>
        </w:rPr>
        <w:br/>
        <w:t>degrade oil and grease under specific environmental condition. Physical absorption studies</w:t>
      </w:r>
      <w:r>
        <w:rPr>
          <w:color w:val="000000"/>
          <w:sz w:val="22"/>
          <w:szCs w:val="22"/>
        </w:rPr>
        <w:br/>
        <w:t>done on various biomass to find out proficient oil and grease filter which can soak up oil</w:t>
      </w:r>
      <w:r>
        <w:rPr>
          <w:color w:val="000000"/>
          <w:sz w:val="22"/>
          <w:szCs w:val="22"/>
        </w:rPr>
        <w:br/>
        <w:t>and grease form wastewater.</w:t>
      </w:r>
      <w:r>
        <w:rPr>
          <w:color w:val="000000"/>
          <w:sz w:val="22"/>
          <w:szCs w:val="22"/>
        </w:rPr>
        <w:br/>
        <w:t>With the average flow rate of 0.312 m</w:t>
      </w:r>
      <w:r>
        <w:rPr>
          <w:color w:val="000000"/>
          <w:sz w:val="12"/>
          <w:szCs w:val="12"/>
        </w:rPr>
        <w:t>3</w:t>
      </w:r>
      <w:r>
        <w:rPr>
          <w:color w:val="000000"/>
          <w:sz w:val="22"/>
          <w:szCs w:val="22"/>
        </w:rPr>
        <w:t>/hr, the physico-chemical analysis was carried out</w:t>
      </w:r>
      <w:r>
        <w:rPr>
          <w:color w:val="000000"/>
          <w:sz w:val="22"/>
          <w:szCs w:val="22"/>
        </w:rPr>
        <w:br/>
        <w:t>in terms of pH, EC, COD, BOD</w:t>
      </w:r>
      <w:r>
        <w:rPr>
          <w:color w:val="000000"/>
          <w:sz w:val="12"/>
          <w:szCs w:val="12"/>
        </w:rPr>
        <w:t>5</w:t>
      </w:r>
      <w:r>
        <w:rPr>
          <w:color w:val="000000"/>
          <w:sz w:val="22"/>
          <w:szCs w:val="22"/>
        </w:rPr>
        <w:t>, TKN, TP, TS, TDS and TSS three times per day and the</w:t>
      </w:r>
      <w:r>
        <w:rPr>
          <w:color w:val="000000"/>
          <w:sz w:val="22"/>
          <w:szCs w:val="22"/>
        </w:rPr>
        <w:br/>
        <w:t>reduction of pollutant was found to be a significant level. Oil and grease was controlled</w:t>
      </w:r>
      <w:r>
        <w:rPr>
          <w:color w:val="000000"/>
          <w:sz w:val="22"/>
          <w:szCs w:val="22"/>
        </w:rPr>
        <w:br/>
        <w:t>from influent up to 50% by using jute bag as absorbent. The lab scale microbial test shows</w:t>
      </w:r>
      <w:r>
        <w:rPr>
          <w:color w:val="000000"/>
          <w:sz w:val="22"/>
          <w:szCs w:val="22"/>
        </w:rPr>
        <w:br/>
        <w:t xml:space="preserve">that </w:t>
      </w:r>
      <w:r>
        <w:rPr>
          <w:i/>
          <w:iCs/>
          <w:color w:val="000000"/>
          <w:sz w:val="22"/>
          <w:szCs w:val="22"/>
        </w:rPr>
        <w:t xml:space="preserve">Aspergillus Niger </w:t>
      </w:r>
      <w:r>
        <w:rPr>
          <w:color w:val="000000"/>
          <w:sz w:val="22"/>
          <w:szCs w:val="22"/>
        </w:rPr>
        <w:t>is one of the proficient fungi which can be degrade oil and ghee to a</w:t>
      </w:r>
      <w:r>
        <w:rPr>
          <w:color w:val="000000"/>
          <w:sz w:val="22"/>
          <w:szCs w:val="22"/>
        </w:rPr>
        <w:br/>
        <w:t>greater extent with 5-days of incubation period. From lab scale physical absorption test, it</w:t>
      </w:r>
      <w:r>
        <w:rPr>
          <w:color w:val="000000"/>
          <w:sz w:val="22"/>
          <w:szCs w:val="22"/>
        </w:rPr>
        <w:br/>
        <w:t xml:space="preserve">was found that </w:t>
      </w:r>
      <w:r>
        <w:rPr>
          <w:i/>
          <w:iCs/>
          <w:color w:val="000000"/>
          <w:sz w:val="22"/>
          <w:szCs w:val="22"/>
        </w:rPr>
        <w:t xml:space="preserve">Salvinia Molesta </w:t>
      </w:r>
      <w:r>
        <w:rPr>
          <w:color w:val="000000"/>
          <w:sz w:val="22"/>
          <w:szCs w:val="22"/>
        </w:rPr>
        <w:t xml:space="preserve">and </w:t>
      </w:r>
      <w:r>
        <w:rPr>
          <w:i/>
          <w:iCs/>
          <w:color w:val="000000"/>
          <w:sz w:val="22"/>
          <w:szCs w:val="22"/>
        </w:rPr>
        <w:t xml:space="preserve">Eichhornia crassipes </w:t>
      </w:r>
      <w:r>
        <w:rPr>
          <w:color w:val="000000"/>
          <w:sz w:val="22"/>
          <w:szCs w:val="22"/>
        </w:rPr>
        <w:t>are most efficient absorbent and</w:t>
      </w:r>
      <w:r>
        <w:rPr>
          <w:color w:val="000000"/>
          <w:sz w:val="22"/>
          <w:szCs w:val="22"/>
        </w:rPr>
        <w:br/>
        <w:t>these can trap O &amp; G to an extent of 90.19% and 83.26 % respectively.</w:t>
      </w:r>
      <w:r>
        <w:rPr>
          <w:color w:val="000000"/>
          <w:sz w:val="22"/>
          <w:szCs w:val="22"/>
        </w:rPr>
        <w:br/>
      </w: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Pr="0005164C" w:rsidRDefault="00E02057" w:rsidP="003C0794">
      <w:pPr>
        <w:pStyle w:val="BodyText"/>
        <w:ind w:firstLine="0"/>
        <w:rPr>
          <w:sz w:val="19"/>
          <w:szCs w:val="19"/>
        </w:rPr>
      </w:pPr>
      <w:r>
        <w:rPr>
          <w:noProof/>
        </w:rPr>
        <w:drawing>
          <wp:anchor distT="0" distB="0" distL="114300" distR="114300" simplePos="0" relativeHeight="251660288" behindDoc="1" locked="0" layoutInCell="1" allowOverlap="1">
            <wp:simplePos x="0" y="0"/>
            <wp:positionH relativeFrom="margin">
              <wp:posOffset>3501390</wp:posOffset>
            </wp:positionH>
            <wp:positionV relativeFrom="margin">
              <wp:posOffset>6179820</wp:posOffset>
            </wp:positionV>
            <wp:extent cx="3223260" cy="1807845"/>
            <wp:effectExtent l="19050" t="0" r="0" b="0"/>
            <wp:wrapSquare wrapText="bothSides"/>
            <wp:docPr id="4" name="Picture 4" descr="WP_20150131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P_20150131_001"/>
                    <pic:cNvPicPr>
                      <a:picLocks noChangeAspect="1" noChangeArrowheads="1"/>
                    </pic:cNvPicPr>
                  </pic:nvPicPr>
                  <pic:blipFill>
                    <a:blip r:embed="rId6"/>
                    <a:srcRect/>
                    <a:stretch>
                      <a:fillRect/>
                    </a:stretch>
                  </pic:blipFill>
                  <pic:spPr bwMode="auto">
                    <a:xfrm>
                      <a:off x="0" y="0"/>
                      <a:ext cx="3223260" cy="1807845"/>
                    </a:xfrm>
                    <a:prstGeom prst="rect">
                      <a:avLst/>
                    </a:prstGeom>
                    <a:noFill/>
                    <a:ln w="9525">
                      <a:noFill/>
                      <a:miter lim="800000"/>
                      <a:headEnd/>
                      <a:tailEnd/>
                    </a:ln>
                  </pic:spPr>
                </pic:pic>
              </a:graphicData>
            </a:graphic>
          </wp:anchor>
        </w:drawing>
      </w:r>
    </w:p>
    <w:p w:rsidR="003C0794" w:rsidRPr="0005164C" w:rsidRDefault="003C0794"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lastRenderedPageBreak/>
        <w:t>Reference:</w:t>
      </w:r>
    </w:p>
    <w:p w:rsidR="00961ABA" w:rsidRDefault="00961ABA" w:rsidP="00961ABA">
      <w:pPr>
        <w:numPr>
          <w:ilvl w:val="0"/>
          <w:numId w:val="26"/>
        </w:numPr>
        <w:shd w:val="clear" w:color="auto" w:fill="FFFFFF"/>
        <w:spacing w:before="100" w:beforeAutospacing="1" w:after="120"/>
        <w:ind w:left="270"/>
        <w:jc w:val="left"/>
        <w:rPr>
          <w:sz w:val="19"/>
          <w:szCs w:val="19"/>
          <w:lang w:val="en-IN" w:eastAsia="en-IN"/>
        </w:rPr>
      </w:pPr>
      <w:bookmarkStart w:id="2" w:name="2"/>
      <w:bookmarkEnd w:id="2"/>
      <w:r>
        <w:rPr>
          <w:color w:val="000000"/>
          <w:sz w:val="22"/>
          <w:szCs w:val="22"/>
        </w:rPr>
        <w:t>Adhikari, U., Harrigan, T., Reinhold, D.M. 2014. Use of duckweed-based constructed</w:t>
      </w:r>
      <w:r>
        <w:rPr>
          <w:color w:val="000000"/>
          <w:sz w:val="22"/>
          <w:szCs w:val="22"/>
        </w:rPr>
        <w:br/>
        <w:t>wetlands for nutrient recovery and pollutant reduction from dairy wastewater.</w:t>
      </w:r>
      <w:r>
        <w:rPr>
          <w:color w:val="000000"/>
          <w:sz w:val="22"/>
          <w:szCs w:val="22"/>
        </w:rPr>
        <w:br/>
      </w:r>
      <w:r>
        <w:rPr>
          <w:i/>
          <w:iCs/>
          <w:color w:val="000000"/>
          <w:sz w:val="22"/>
          <w:szCs w:val="22"/>
        </w:rPr>
        <w:t>Ecological Engineering</w:t>
      </w:r>
      <w:r>
        <w:rPr>
          <w:color w:val="000000"/>
          <w:sz w:val="22"/>
          <w:szCs w:val="22"/>
        </w:rPr>
        <w:t>.</w:t>
      </w:r>
    </w:p>
    <w:p w:rsidR="00961ABA" w:rsidRPr="00961ABA" w:rsidRDefault="00961ABA" w:rsidP="00961ABA">
      <w:pPr>
        <w:numPr>
          <w:ilvl w:val="0"/>
          <w:numId w:val="26"/>
        </w:numPr>
        <w:shd w:val="clear" w:color="auto" w:fill="FFFFFF"/>
        <w:spacing w:before="100" w:beforeAutospacing="1" w:after="120"/>
        <w:jc w:val="left"/>
        <w:rPr>
          <w:sz w:val="19"/>
          <w:szCs w:val="19"/>
          <w:lang w:val="en-IN" w:eastAsia="en-IN"/>
        </w:rPr>
      </w:pPr>
      <w:r w:rsidRPr="00961ABA">
        <w:rPr>
          <w:color w:val="000000"/>
          <w:sz w:val="22"/>
          <w:szCs w:val="22"/>
        </w:rPr>
        <w:t>Dallas, S., Scheffe, B., Ho, G. 2004. Reedbeds for greywater treatment - Case study in</w:t>
      </w:r>
      <w:r w:rsidRPr="00961ABA">
        <w:rPr>
          <w:color w:val="000000"/>
          <w:sz w:val="22"/>
          <w:szCs w:val="22"/>
        </w:rPr>
        <w:br/>
        <w:t xml:space="preserve">Santa Elena-Monteverde, Costa Rica, Central America. </w:t>
      </w:r>
      <w:r w:rsidRPr="00961ABA">
        <w:rPr>
          <w:i/>
          <w:iCs/>
          <w:color w:val="000000"/>
          <w:sz w:val="22"/>
          <w:szCs w:val="22"/>
        </w:rPr>
        <w:t>Ecological Engineering</w:t>
      </w:r>
      <w:r w:rsidRPr="00961ABA">
        <w:rPr>
          <w:color w:val="000000"/>
          <w:sz w:val="22"/>
          <w:szCs w:val="22"/>
        </w:rPr>
        <w:t>,</w:t>
      </w:r>
      <w:r w:rsidRPr="00961ABA">
        <w:rPr>
          <w:color w:val="000000"/>
          <w:sz w:val="22"/>
          <w:szCs w:val="22"/>
        </w:rPr>
        <w:br/>
      </w:r>
      <w:r w:rsidRPr="00961ABA">
        <w:rPr>
          <w:b/>
          <w:bCs/>
          <w:color w:val="000000"/>
          <w:sz w:val="22"/>
          <w:szCs w:val="22"/>
        </w:rPr>
        <w:t>23</w:t>
      </w:r>
      <w:r w:rsidRPr="00961ABA">
        <w:rPr>
          <w:color w:val="000000"/>
          <w:sz w:val="22"/>
          <w:szCs w:val="22"/>
        </w:rPr>
        <w:t>(1), 55-61.</w:t>
      </w:r>
    </w:p>
    <w:p w:rsidR="00961ABA" w:rsidRPr="00961ABA" w:rsidRDefault="00961ABA" w:rsidP="00961ABA">
      <w:pPr>
        <w:numPr>
          <w:ilvl w:val="0"/>
          <w:numId w:val="26"/>
        </w:numPr>
        <w:shd w:val="clear" w:color="auto" w:fill="FFFFFF"/>
        <w:spacing w:before="100" w:beforeAutospacing="1" w:after="120"/>
        <w:jc w:val="left"/>
        <w:rPr>
          <w:sz w:val="19"/>
          <w:szCs w:val="19"/>
          <w:lang w:val="en-IN" w:eastAsia="en-IN"/>
        </w:rPr>
      </w:pPr>
      <w:r w:rsidRPr="00961ABA">
        <w:rPr>
          <w:color w:val="000000"/>
          <w:sz w:val="22"/>
          <w:szCs w:val="22"/>
        </w:rPr>
        <w:t>Debusk, T.A., Peterson, J.E., Reddy, K.R. 1995. Use of aquatic and terrestrial plants for</w:t>
      </w:r>
      <w:r w:rsidRPr="00961ABA">
        <w:rPr>
          <w:color w:val="000000"/>
          <w:sz w:val="22"/>
          <w:szCs w:val="22"/>
        </w:rPr>
        <w:br/>
        <w:t xml:space="preserve">removing phosphorus from dairy wastewaters. </w:t>
      </w:r>
      <w:r w:rsidRPr="00961ABA">
        <w:rPr>
          <w:i/>
          <w:iCs/>
          <w:color w:val="000000"/>
          <w:sz w:val="22"/>
          <w:szCs w:val="22"/>
        </w:rPr>
        <w:t>Ecological Engineering</w:t>
      </w:r>
      <w:r w:rsidRPr="00961ABA">
        <w:rPr>
          <w:color w:val="000000"/>
          <w:sz w:val="22"/>
          <w:szCs w:val="22"/>
        </w:rPr>
        <w:t xml:space="preserve">, </w:t>
      </w:r>
      <w:r w:rsidRPr="00961ABA">
        <w:rPr>
          <w:b/>
          <w:bCs/>
          <w:color w:val="000000"/>
          <w:sz w:val="22"/>
          <w:szCs w:val="22"/>
        </w:rPr>
        <w:t>5</w:t>
      </w:r>
      <w:r>
        <w:rPr>
          <w:color w:val="000000"/>
          <w:sz w:val="22"/>
          <w:szCs w:val="22"/>
        </w:rPr>
        <w:t>(2-3),</w:t>
      </w:r>
      <w:r>
        <w:rPr>
          <w:color w:val="000000"/>
          <w:sz w:val="22"/>
          <w:szCs w:val="22"/>
        </w:rPr>
        <w:br/>
        <w:t>371-390.</w:t>
      </w:r>
    </w:p>
    <w:p w:rsidR="00351E9B" w:rsidRPr="00961ABA" w:rsidRDefault="00961ABA" w:rsidP="00961ABA">
      <w:pPr>
        <w:numPr>
          <w:ilvl w:val="0"/>
          <w:numId w:val="26"/>
        </w:numPr>
        <w:shd w:val="clear" w:color="auto" w:fill="FFFFFF"/>
        <w:spacing w:before="100" w:beforeAutospacing="1" w:after="120"/>
        <w:jc w:val="left"/>
        <w:rPr>
          <w:sz w:val="19"/>
          <w:szCs w:val="19"/>
          <w:lang w:val="en-IN" w:eastAsia="en-IN"/>
        </w:rPr>
      </w:pPr>
      <w:r w:rsidRPr="00961ABA">
        <w:rPr>
          <w:color w:val="000000"/>
          <w:sz w:val="22"/>
          <w:szCs w:val="22"/>
        </w:rPr>
        <w:t>Idris, S., Jones, P., Salzman, S., Croatto, G., Allinson, G. 2012a. Evaluation of the giant</w:t>
      </w:r>
      <w:r w:rsidRPr="00961ABA">
        <w:rPr>
          <w:color w:val="000000"/>
          <w:sz w:val="22"/>
          <w:szCs w:val="22"/>
        </w:rPr>
        <w:br/>
        <w:t>reed (Arundo donax) in horizontal subsurface flow wetlands for the treatment of</w:t>
      </w:r>
      <w:r w:rsidRPr="00961ABA">
        <w:rPr>
          <w:color w:val="000000"/>
          <w:sz w:val="22"/>
          <w:szCs w:val="22"/>
        </w:rPr>
        <w:br/>
        <w:t xml:space="preserve">dairy processing factory wastewater. </w:t>
      </w:r>
      <w:r w:rsidRPr="00961ABA">
        <w:rPr>
          <w:i/>
          <w:iCs/>
          <w:color w:val="000000"/>
          <w:sz w:val="22"/>
          <w:szCs w:val="22"/>
        </w:rPr>
        <w:t>Environmental Science and Pollution</w:t>
      </w:r>
      <w:r w:rsidRPr="00961ABA">
        <w:rPr>
          <w:color w:val="000000"/>
          <w:sz w:val="22"/>
          <w:szCs w:val="22"/>
        </w:rPr>
        <w:br/>
      </w:r>
      <w:r w:rsidRPr="00961ABA">
        <w:rPr>
          <w:i/>
          <w:iCs/>
          <w:color w:val="000000"/>
          <w:sz w:val="22"/>
          <w:szCs w:val="22"/>
        </w:rPr>
        <w:t>Research</w:t>
      </w:r>
      <w:r w:rsidRPr="00961ABA">
        <w:rPr>
          <w:color w:val="000000"/>
          <w:sz w:val="22"/>
          <w:szCs w:val="22"/>
        </w:rPr>
        <w:t xml:space="preserve">, </w:t>
      </w:r>
      <w:r w:rsidRPr="00961ABA">
        <w:rPr>
          <w:b/>
          <w:bCs/>
          <w:color w:val="000000"/>
          <w:sz w:val="22"/>
          <w:szCs w:val="22"/>
        </w:rPr>
        <w:t>19</w:t>
      </w:r>
      <w:r w:rsidRPr="00961ABA">
        <w:rPr>
          <w:color w:val="000000"/>
          <w:sz w:val="22"/>
          <w:szCs w:val="22"/>
        </w:rPr>
        <w:t>(8), 3525-3537.</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3A6693" w:rsidRPr="0080573D" w:rsidRDefault="00961ABA" w:rsidP="003A6693">
      <w:pPr>
        <w:spacing w:line="347" w:lineRule="atLeast"/>
        <w:jc w:val="both"/>
        <w:textAlignment w:val="baseline"/>
      </w:pPr>
      <w:r>
        <w:t>This is</w:t>
      </w:r>
      <w:r w:rsidRPr="0080573D">
        <w:t xml:space="preserve"> </w:t>
      </w:r>
      <w:r>
        <w:t xml:space="preserve">Pradip Kumar Mishra, </w:t>
      </w:r>
      <w:r w:rsidRPr="0080573D">
        <w:t xml:space="preserve">an environmental professional with specialized in water pollution and resource management with hand-holding experience in environmental management and sustainable development. Professional experience with more than 5 years which includes </w:t>
      </w:r>
      <w:r>
        <w:t>3.6</w:t>
      </w:r>
      <w:r w:rsidRPr="0080573D">
        <w:t xml:space="preserve"> years i</w:t>
      </w:r>
      <w:r>
        <w:t>n the development sector and 1.8</w:t>
      </w:r>
      <w:r w:rsidRPr="0080573D">
        <w:t xml:space="preserve"> years of industrial experience. </w:t>
      </w:r>
      <w:r w:rsidR="003A6693" w:rsidRPr="0080573D">
        <w:t>I have working experience with various UN-funded projects such as UNICEF and UNDP</w:t>
      </w:r>
      <w:r w:rsidR="003A6693">
        <w:t xml:space="preserve"> which foster </w:t>
      </w:r>
      <w:r w:rsidR="003A6693" w:rsidRPr="0080573D">
        <w:t xml:space="preserve">towards the development of sustainable practices and awareness at communities and other stakeholders level such as policy makers and implementers to promote the successful implementation of the developmental work without compromising at environmental dimension which is in line with UN goal for sustainable development (SDG). My job profile includes strategy framing, development of various scientific tools, modeling and information, education and communication (IEC) to reduce carbon and water footprint which helps to implement cleaner and safer </w:t>
      </w:r>
      <w:r w:rsidR="003A6693" w:rsidRPr="0080573D">
        <w:lastRenderedPageBreak/>
        <w:t>policies and practices for natural resources.</w:t>
      </w:r>
      <w:r w:rsidR="003A6693">
        <w:t xml:space="preserve"> </w:t>
      </w:r>
      <w:r w:rsidR="003A6693" w:rsidRPr="0080573D">
        <w:t xml:space="preserve">I am </w:t>
      </w:r>
      <w:r w:rsidR="003A6693">
        <w:t>associated</w:t>
      </w:r>
      <w:r w:rsidR="003A6693" w:rsidRPr="0080573D">
        <w:t xml:space="preserve"> with various state and central govt. authorities, technical institutions, civil society, industries and other national-international bi/multilateral to conduct the process innovation, model development and foster implementation at the ground. </w:t>
      </w:r>
    </w:p>
    <w:p w:rsidR="003A6693" w:rsidRDefault="003A6693" w:rsidP="00961ABA">
      <w:pPr>
        <w:autoSpaceDE w:val="0"/>
        <w:autoSpaceDN w:val="0"/>
        <w:adjustRightInd w:val="0"/>
        <w:jc w:val="left"/>
      </w:pPr>
    </w:p>
    <w:p w:rsidR="003A6693" w:rsidRDefault="003A6693" w:rsidP="00961ABA">
      <w:pPr>
        <w:autoSpaceDE w:val="0"/>
        <w:autoSpaceDN w:val="0"/>
        <w:adjustRightInd w:val="0"/>
        <w:jc w:val="left"/>
      </w:pPr>
    </w:p>
    <w:p w:rsidR="003A6693" w:rsidRDefault="003A6693" w:rsidP="00961ABA">
      <w:pPr>
        <w:autoSpaceDE w:val="0"/>
        <w:autoSpaceDN w:val="0"/>
        <w:adjustRightInd w:val="0"/>
        <w:jc w:val="left"/>
      </w:pPr>
    </w:p>
    <w:p w:rsidR="003A6693" w:rsidRDefault="003A6693" w:rsidP="00961ABA">
      <w:pPr>
        <w:autoSpaceDE w:val="0"/>
        <w:autoSpaceDN w:val="0"/>
        <w:adjustRightInd w:val="0"/>
        <w:jc w:val="left"/>
      </w:pPr>
    </w:p>
    <w:p w:rsidR="00272C82" w:rsidRPr="0005164C" w:rsidRDefault="00861508" w:rsidP="00961ABA">
      <w:p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E02057" w:rsidP="00861508">
      <w:pPr>
        <w:autoSpaceDE w:val="0"/>
        <w:autoSpaceDN w:val="0"/>
        <w:adjustRightInd w:val="0"/>
        <w:jc w:val="left"/>
        <w:rPr>
          <w:sz w:val="19"/>
          <w:szCs w:val="19"/>
          <w:lang w:val="en-NZ"/>
        </w:rPr>
      </w:pPr>
      <w:r>
        <w:rPr>
          <w:noProof/>
          <w:sz w:val="19"/>
          <w:szCs w:val="19"/>
        </w:rPr>
        <w:drawing>
          <wp:inline distT="0" distB="0" distL="0" distR="0">
            <wp:extent cx="1261110" cy="1623695"/>
            <wp:effectExtent l="19050" t="0" r="0" b="0"/>
            <wp:docPr id="13" name="Picture 13" descr="E:\Personal documents\Pics\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Personal documents\Pics\349.jpg"/>
                    <pic:cNvPicPr>
                      <a:picLocks noChangeAspect="1" noChangeArrowheads="1"/>
                    </pic:cNvPicPr>
                  </pic:nvPicPr>
                  <pic:blipFill>
                    <a:blip r:embed="rId7"/>
                    <a:srcRect/>
                    <a:stretch>
                      <a:fillRect/>
                    </a:stretch>
                  </pic:blipFill>
                  <pic:spPr bwMode="auto">
                    <a:xfrm>
                      <a:off x="0" y="0"/>
                      <a:ext cx="1261110" cy="1623695"/>
                    </a:xfrm>
                    <a:prstGeom prst="rect">
                      <a:avLst/>
                    </a:prstGeom>
                    <a:noFill/>
                    <a:ln w="9525">
                      <a:noFill/>
                      <a:miter lim="800000"/>
                      <a:headEnd/>
                      <a:tailEnd/>
                    </a:ln>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3A6693">
        <w:rPr>
          <w:sz w:val="19"/>
          <w:szCs w:val="19"/>
          <w:lang w:val="en-NZ"/>
        </w:rPr>
        <w:t xml:space="preserve"> Pradip Kumar Mishra</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3A6693">
        <w:rPr>
          <w:sz w:val="19"/>
          <w:szCs w:val="19"/>
          <w:lang w:val="en-NZ"/>
        </w:rPr>
        <w:t xml:space="preserve"> 07065801787</w:t>
      </w:r>
      <w:r w:rsidRPr="0005164C">
        <w:rPr>
          <w:sz w:val="19"/>
          <w:szCs w:val="19"/>
          <w:lang w:val="en-NZ"/>
        </w:rPr>
        <w:br/>
        <w:t>Twitter account:</w:t>
      </w:r>
      <w:r w:rsidR="003A6693">
        <w:rPr>
          <w:sz w:val="19"/>
          <w:szCs w:val="19"/>
          <w:lang w:val="en-NZ"/>
        </w:rPr>
        <w:t>-</w:t>
      </w:r>
      <w:r w:rsidRPr="0005164C">
        <w:rPr>
          <w:sz w:val="19"/>
          <w:szCs w:val="19"/>
          <w:lang w:val="en-NZ"/>
        </w:rPr>
        <w:br/>
        <w:t>Linked In account:</w:t>
      </w:r>
      <w:r w:rsidR="003A6693">
        <w:rPr>
          <w:sz w:val="19"/>
          <w:szCs w:val="19"/>
          <w:lang w:val="en-NZ"/>
        </w:rPr>
        <w:t xml:space="preserve"> Pradip Kumar Mishra</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3A6693">
        <w:rPr>
          <w:sz w:val="19"/>
          <w:szCs w:val="19"/>
          <w:lang w:val="en-NZ"/>
        </w:rPr>
        <w:t xml:space="preserve"> </w:t>
      </w:r>
      <w:r w:rsidRPr="0005164C">
        <w:rPr>
          <w:sz w:val="19"/>
          <w:szCs w:val="19"/>
          <w:lang w:val="en-NZ"/>
        </w:rPr>
        <w:br/>
        <w:t>Category: (Oral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6A10002"/>
    <w:multiLevelType w:val="hybridMultilevel"/>
    <w:tmpl w:val="F94EA80A"/>
    <w:lvl w:ilvl="0" w:tplc="0409000F">
      <w:start w:val="1"/>
      <w:numFmt w:val="decimal"/>
      <w:lvlText w:val="%1."/>
      <w:lvlJc w:val="left"/>
      <w:pPr>
        <w:ind w:left="63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3">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4"/>
  </w:num>
  <w:num w:numId="3">
    <w:abstractNumId w:val="5"/>
  </w:num>
  <w:num w:numId="4">
    <w:abstractNumId w:val="9"/>
  </w:num>
  <w:num w:numId="5">
    <w:abstractNumId w:val="9"/>
  </w:num>
  <w:num w:numId="6">
    <w:abstractNumId w:val="9"/>
  </w:num>
  <w:num w:numId="7">
    <w:abstractNumId w:val="9"/>
  </w:num>
  <w:num w:numId="8">
    <w:abstractNumId w:val="11"/>
  </w:num>
  <w:num w:numId="9">
    <w:abstractNumId w:val="15"/>
  </w:num>
  <w:num w:numId="10">
    <w:abstractNumId w:val="8"/>
  </w:num>
  <w:num w:numId="11">
    <w:abstractNumId w:val="4"/>
  </w:num>
  <w:num w:numId="12">
    <w:abstractNumId w:val="18"/>
  </w:num>
  <w:num w:numId="13">
    <w:abstractNumId w:val="10"/>
  </w:num>
  <w:num w:numId="14">
    <w:abstractNumId w:val="12"/>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3"/>
  </w:num>
  <w:num w:numId="21">
    <w:abstractNumId w:val="2"/>
  </w:num>
  <w:num w:numId="22">
    <w:abstractNumId w:val="13"/>
  </w:num>
  <w:num w:numId="23">
    <w:abstractNumId w:val="16"/>
  </w:num>
  <w:num w:numId="24">
    <w:abstractNumId w:val="17"/>
  </w:num>
  <w:num w:numId="25">
    <w:abstractNumId w:val="0"/>
  </w:num>
  <w:num w:numId="2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10711E"/>
    <w:rsid w:val="00127EDD"/>
    <w:rsid w:val="002043C0"/>
    <w:rsid w:val="00272C82"/>
    <w:rsid w:val="00276735"/>
    <w:rsid w:val="002864A3"/>
    <w:rsid w:val="002B3B81"/>
    <w:rsid w:val="002F3CDD"/>
    <w:rsid w:val="00351E9B"/>
    <w:rsid w:val="0037588C"/>
    <w:rsid w:val="003A47B5"/>
    <w:rsid w:val="003A59A6"/>
    <w:rsid w:val="003A6693"/>
    <w:rsid w:val="003C0794"/>
    <w:rsid w:val="004059FE"/>
    <w:rsid w:val="004227FF"/>
    <w:rsid w:val="004445B3"/>
    <w:rsid w:val="005B520E"/>
    <w:rsid w:val="005B535B"/>
    <w:rsid w:val="006108A4"/>
    <w:rsid w:val="00663E31"/>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61ABA"/>
    <w:rsid w:val="0097508D"/>
    <w:rsid w:val="009D49B8"/>
    <w:rsid w:val="00A510F7"/>
    <w:rsid w:val="00AC6519"/>
    <w:rsid w:val="00CB1404"/>
    <w:rsid w:val="00CB66E6"/>
    <w:rsid w:val="00D319E1"/>
    <w:rsid w:val="00D9156D"/>
    <w:rsid w:val="00E02057"/>
    <w:rsid w:val="00E177DC"/>
    <w:rsid w:val="00E91219"/>
    <w:rsid w:val="00E918C4"/>
    <w:rsid w:val="00EA506F"/>
    <w:rsid w:val="00EE4362"/>
    <w:rsid w:val="00EF18D7"/>
    <w:rsid w:val="00EF1E8A"/>
    <w:rsid w:val="00EF3A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openaccessjournals.com/articles/major-risk-factors-for-atherosclerosis-and-metabolic-syndrome-the-uhs-12178.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5533</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PRADIP</cp:lastModifiedBy>
  <cp:revision>2</cp:revision>
  <dcterms:created xsi:type="dcterms:W3CDTF">2018-04-05T12:15:00Z</dcterms:created>
  <dcterms:modified xsi:type="dcterms:W3CDTF">2018-04-05T12:15:00Z</dcterms:modified>
</cp:coreProperties>
</file>