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141131" w14:textId="77777777" w:rsidR="00563247" w:rsidRPr="00563247" w:rsidRDefault="00563247" w:rsidP="00563247">
      <w:pPr>
        <w:pStyle w:val="Title"/>
        <w:jc w:val="center"/>
        <w:rPr>
          <w:rFonts w:ascii="AdvTT5235d5a9" w:eastAsiaTheme="minorHAnsi" w:hAnsi="AdvTT5235d5a9" w:cs="AdvTT5235d5a9"/>
          <w:b/>
          <w:bCs/>
          <w:color w:val="7030A0"/>
          <w:spacing w:val="0"/>
          <w:kern w:val="0"/>
          <w:sz w:val="36"/>
          <w:szCs w:val="36"/>
        </w:rPr>
      </w:pPr>
      <w:r w:rsidRPr="00563247">
        <w:rPr>
          <w:rFonts w:ascii="AdvTT5235d5a9" w:eastAsiaTheme="minorHAnsi" w:hAnsi="AdvTT5235d5a9" w:cs="AdvTT5235d5a9"/>
          <w:b/>
          <w:bCs/>
          <w:color w:val="7030A0"/>
          <w:spacing w:val="0"/>
          <w:kern w:val="0"/>
          <w:sz w:val="36"/>
          <w:szCs w:val="36"/>
        </w:rPr>
        <w:t>Poly(sarcosine) &amp; poly (ethylene glycol) fabricated poly (lactic-co-glycolic acid) polymeric nanoparticles for cancer drug delivery</w:t>
      </w:r>
    </w:p>
    <w:p w14:paraId="00FAEDA9" w14:textId="357C2784" w:rsidR="00563247" w:rsidRPr="00563247" w:rsidRDefault="00563247" w:rsidP="00563247">
      <w:pPr>
        <w:jc w:val="center"/>
        <w:rPr>
          <w:rFonts w:ascii="Arial Black" w:hAnsi="Arial Black"/>
          <w:sz w:val="20"/>
          <w:szCs w:val="18"/>
        </w:rPr>
      </w:pPr>
      <w:r w:rsidRPr="00563247">
        <w:rPr>
          <w:rFonts w:ascii="Arial Black" w:hAnsi="Arial Black"/>
          <w:sz w:val="20"/>
          <w:szCs w:val="18"/>
        </w:rPr>
        <w:t xml:space="preserve">Department of Pharmaceutics, School of Pharmacy &amp; Technology Management, SVKM'S NMIMS Deemed-to-be University, </w:t>
      </w:r>
      <w:proofErr w:type="spellStart"/>
      <w:r w:rsidRPr="00563247">
        <w:rPr>
          <w:rFonts w:ascii="Arial Black" w:hAnsi="Arial Black"/>
          <w:sz w:val="20"/>
          <w:szCs w:val="18"/>
        </w:rPr>
        <w:t>Shirpur</w:t>
      </w:r>
      <w:proofErr w:type="spellEnd"/>
      <w:r w:rsidRPr="00563247">
        <w:rPr>
          <w:rFonts w:ascii="Arial Black" w:hAnsi="Arial Black"/>
          <w:sz w:val="20"/>
          <w:szCs w:val="18"/>
        </w:rPr>
        <w:t>, Maharashtra 425405, India</w:t>
      </w:r>
    </w:p>
    <w:p w14:paraId="7EF053F7" w14:textId="77777777" w:rsidR="00AE3E37" w:rsidRDefault="00AE3E37">
      <w:pPr>
        <w:pStyle w:val="BodyText"/>
        <w:rPr>
          <w:rFonts w:ascii="Arial"/>
          <w:sz w:val="20"/>
        </w:rPr>
      </w:pPr>
    </w:p>
    <w:p w14:paraId="64D21B1F" w14:textId="77777777" w:rsidR="00AE3E37" w:rsidRDefault="00AE3E37">
      <w:pPr>
        <w:pStyle w:val="BodyText"/>
        <w:spacing w:before="3"/>
        <w:rPr>
          <w:rFonts w:ascii="Arial"/>
          <w:sz w:val="21"/>
        </w:rPr>
      </w:pPr>
    </w:p>
    <w:p w14:paraId="6B676B52" w14:textId="77777777" w:rsidR="00AE3E37" w:rsidRDefault="00AE3E37">
      <w:pPr>
        <w:rPr>
          <w:rFonts w:ascii="Arial"/>
          <w:sz w:val="21"/>
        </w:rPr>
        <w:sectPr w:rsidR="00AE3E37" w:rsidSect="007E5287">
          <w:headerReference w:type="default" r:id="rId7"/>
          <w:footerReference w:type="default" r:id="rId8"/>
          <w:type w:val="continuous"/>
          <w:pgSz w:w="11910" w:h="16840"/>
          <w:pgMar w:top="851" w:right="600" w:bottom="840" w:left="620" w:header="541" w:footer="642" w:gutter="0"/>
          <w:cols w:space="720"/>
        </w:sectPr>
      </w:pPr>
    </w:p>
    <w:p w14:paraId="798D1AAD" w14:textId="77777777" w:rsidR="00AE3E37" w:rsidRDefault="00A9710C">
      <w:pPr>
        <w:pStyle w:val="Heading3"/>
        <w:spacing w:before="147"/>
        <w:jc w:val="both"/>
      </w:pPr>
      <w:r>
        <w:rPr>
          <w:color w:val="BF5A14"/>
        </w:rPr>
        <w:t>Abstract</w:t>
      </w:r>
      <w:r w:rsidR="00404E5B">
        <w:rPr>
          <w:color w:val="BF5A14"/>
        </w:rPr>
        <w:t xml:space="preserve"> (300 word limit)</w:t>
      </w:r>
    </w:p>
    <w:p w14:paraId="354562A6" w14:textId="690B5C4A" w:rsidR="00AE3E37" w:rsidRDefault="00563247">
      <w:pPr>
        <w:pStyle w:val="BodyText"/>
        <w:spacing w:before="90" w:line="280" w:lineRule="auto"/>
        <w:ind w:left="100"/>
        <w:jc w:val="both"/>
      </w:pPr>
      <w:r w:rsidRPr="00563247">
        <w:t>The most significant advantage of polymeric nanoparticles is it's systematic and target specific drug delivery properties. These polymeric nanoparticles have the potential to sustain itself within the bloodstream for a longer period so that drugs can be infused in blood steadily. To understand such a phenomenon, in this experiment, an attempt was made to prepared Docetaxel loaded poly(sarcosine)(</w:t>
      </w:r>
      <w:proofErr w:type="spellStart"/>
      <w:r w:rsidRPr="00563247">
        <w:t>PSar</w:t>
      </w:r>
      <w:proofErr w:type="spellEnd"/>
      <w:r w:rsidRPr="00563247">
        <w:t xml:space="preserve">) and polyethylene glycol (PEG) coated poly (lactic-co-glycolic acid) [PLGA] nanoparticles; which could efficiently encapsulate any hydrophobic drugs. These types of PEG-coated nanoparticles have a marked tendency to avoid reticuloendothelial opsonization process by restricting macrophage uptake, which ultimately leads to enhance bioavailability and tissue distribution of drugs. In this research work categorically, the concentration of </w:t>
      </w:r>
      <w:proofErr w:type="spellStart"/>
      <w:r w:rsidRPr="00563247">
        <w:t>PSar</w:t>
      </w:r>
      <w:proofErr w:type="spellEnd"/>
      <w:r w:rsidRPr="00563247">
        <w:t xml:space="preserve"> and PEG was optimized. The cellular uptake efficiency percentage and IC50 value of Docetaxel and Docetaxel loaded different polymeric nanoparticles evaluated in various human cancer cell lines (U-87 MG, HeLa. C2BBe1, HCT-116, NCI-N87, NCI-H929-Luc-mCh-Puro). The </w:t>
      </w:r>
      <w:proofErr w:type="spellStart"/>
      <w:r w:rsidRPr="00563247">
        <w:t>PSar</w:t>
      </w:r>
      <w:proofErr w:type="spellEnd"/>
      <w:r w:rsidRPr="00563247">
        <w:t xml:space="preserve">-PLGA-PEG-NPs has shown sustainable retention in blood with minimum macrophage uptake as compared to PLGA-NPs and </w:t>
      </w:r>
      <w:proofErr w:type="spellStart"/>
      <w:r w:rsidRPr="00563247">
        <w:t>PSar</w:t>
      </w:r>
      <w:proofErr w:type="spellEnd"/>
      <w:r w:rsidRPr="00563247">
        <w:t>-PLGA-NPs. Enhanced anti-</w:t>
      </w:r>
      <w:proofErr w:type="spellStart"/>
      <w:r w:rsidRPr="00563247">
        <w:t>tumour</w:t>
      </w:r>
      <w:proofErr w:type="spellEnd"/>
      <w:r w:rsidRPr="00563247">
        <w:t xml:space="preserve"> proliferative effects were shown in all the Docetaxel loaded nanoparticles as compared to native Docetaxel drug, which may be because of enhanced antiproliferative activities of nanoparticles. Thus, from the research outcomes, one thing is inevitable, i.e., the presence of </w:t>
      </w:r>
      <w:proofErr w:type="spellStart"/>
      <w:r w:rsidRPr="00563247">
        <w:t>PSar</w:t>
      </w:r>
      <w:proofErr w:type="spellEnd"/>
      <w:r w:rsidRPr="00563247">
        <w:t xml:space="preserve"> and PEG would increase the blood circulation time, and it can be used as a suitable carrier for any hydrophobic </w:t>
      </w:r>
      <w:r w:rsidRPr="00563247">
        <w:t>drug.</w:t>
      </w:r>
    </w:p>
    <w:p w14:paraId="41E64143" w14:textId="77777777" w:rsidR="00AE3E37" w:rsidRDefault="00A9710C">
      <w:pPr>
        <w:pStyle w:val="Heading3"/>
        <w:spacing w:before="74"/>
      </w:pPr>
      <w:r>
        <w:rPr>
          <w:b w:val="0"/>
        </w:rPr>
        <w:br w:type="column"/>
      </w:r>
      <w:r>
        <w:rPr>
          <w:color w:val="BF5A14"/>
        </w:rPr>
        <w:t>Image</w:t>
      </w:r>
    </w:p>
    <w:p w14:paraId="396281B4" w14:textId="340FFFD8" w:rsidR="00AE3E37" w:rsidRDefault="00563247">
      <w:pPr>
        <w:pStyle w:val="BodyText"/>
        <w:spacing w:before="2"/>
        <w:rPr>
          <w:rFonts w:ascii="Arial"/>
          <w:b/>
          <w:sz w:val="16"/>
        </w:rPr>
      </w:pPr>
      <w:r w:rsidRPr="00563247">
        <w:rPr>
          <w:rFonts w:ascii="Calibri" w:eastAsia="Calibri" w:hAnsi="Calibri" w:cs="Mangal"/>
          <w:noProof/>
          <w:sz w:val="22"/>
          <w:szCs w:val="20"/>
          <w:lang w:val="en-IN" w:bidi="hi-IN"/>
        </w:rPr>
        <w:drawing>
          <wp:inline distT="0" distB="0" distL="0" distR="0" wp14:anchorId="64D6D8D5" wp14:editId="0EB8416D">
            <wp:extent cx="3165475" cy="17805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780536"/>
                    </a:xfrm>
                    <a:prstGeom prst="rect">
                      <a:avLst/>
                    </a:prstGeom>
                    <a:noFill/>
                    <a:ln>
                      <a:noFill/>
                    </a:ln>
                  </pic:spPr>
                </pic:pic>
              </a:graphicData>
            </a:graphic>
          </wp:inline>
        </w:drawing>
      </w:r>
    </w:p>
    <w:p w14:paraId="0F3E5852" w14:textId="65CF0406" w:rsidR="00563247" w:rsidRPr="00563247" w:rsidRDefault="005973B9" w:rsidP="005973B9">
      <w:pPr>
        <w:spacing w:line="204" w:lineRule="exact"/>
        <w:rPr>
          <w:rFonts w:ascii="Arial"/>
          <w:b/>
          <w:color w:val="BF5A14"/>
          <w:sz w:val="20"/>
        </w:rPr>
      </w:pPr>
      <w:r>
        <w:rPr>
          <w:rFonts w:ascii="Arial"/>
          <w:b/>
          <w:color w:val="BF5A14"/>
          <w:sz w:val="20"/>
        </w:rPr>
        <w:br/>
        <w:t>Recent Publications (minimum 5)</w:t>
      </w:r>
    </w:p>
    <w:p w14:paraId="4964EDE9" w14:textId="4AFE33AD" w:rsidR="00563247" w:rsidRPr="00563247" w:rsidRDefault="00563247" w:rsidP="00563247">
      <w:pPr>
        <w:pStyle w:val="ListParagraph"/>
        <w:numPr>
          <w:ilvl w:val="0"/>
          <w:numId w:val="3"/>
        </w:numPr>
        <w:rPr>
          <w:sz w:val="18"/>
        </w:rPr>
      </w:pPr>
      <w:r w:rsidRPr="00563247">
        <w:rPr>
          <w:sz w:val="18"/>
        </w:rPr>
        <w:t xml:space="preserve">Bhattacharya, Sankha. "Fabrication and characterization of chitosan-based polymeric nanoparticles of Imatinib for colorectal cancer targeting application." International Journal of Biological </w:t>
      </w:r>
      <w:proofErr w:type="gramStart"/>
      <w:r w:rsidRPr="00563247">
        <w:rPr>
          <w:sz w:val="18"/>
        </w:rPr>
        <w:t>Macromolecules(</w:t>
      </w:r>
      <w:proofErr w:type="gramEnd"/>
      <w:r w:rsidRPr="00563247">
        <w:rPr>
          <w:sz w:val="18"/>
        </w:rPr>
        <w:t>2020).</w:t>
      </w:r>
      <w:r w:rsidRPr="00563247">
        <w:t xml:space="preserve"> </w:t>
      </w:r>
      <w:hyperlink r:id="rId10" w:history="1">
        <w:r w:rsidRPr="009B359E">
          <w:rPr>
            <w:rStyle w:val="Hyperlink"/>
            <w:sz w:val="18"/>
          </w:rPr>
          <w:t>https://doi.org/10.1016/j.ijbiomac.2020.02.151</w:t>
        </w:r>
      </w:hyperlink>
    </w:p>
    <w:p w14:paraId="589198FD" w14:textId="2E6AF0DB" w:rsidR="00563247" w:rsidRPr="00563247" w:rsidRDefault="00563247" w:rsidP="00563247">
      <w:pPr>
        <w:pStyle w:val="ListParagraph"/>
        <w:numPr>
          <w:ilvl w:val="0"/>
          <w:numId w:val="3"/>
        </w:numPr>
        <w:rPr>
          <w:sz w:val="18"/>
        </w:rPr>
      </w:pPr>
      <w:r w:rsidRPr="00563247">
        <w:rPr>
          <w:sz w:val="18"/>
        </w:rPr>
        <w:t xml:space="preserve">Sankha Bhattacharya*, “Self-Emulsifying Drug Delivery System (SEDDS) and its Pharmaceutical Applications”, Applied Clinical Research, Clinical Trials and Regulatory Affairs (2020) 7: 1. </w:t>
      </w:r>
      <w:hyperlink r:id="rId11" w:history="1">
        <w:r w:rsidRPr="009B359E">
          <w:rPr>
            <w:rStyle w:val="Hyperlink"/>
            <w:sz w:val="18"/>
          </w:rPr>
          <w:t>https://doi.org/10.2174/2213476X07666200827102951</w:t>
        </w:r>
      </w:hyperlink>
    </w:p>
    <w:p w14:paraId="10392354" w14:textId="40B00677" w:rsidR="00563247" w:rsidRPr="00563247" w:rsidRDefault="00563247" w:rsidP="00563247">
      <w:pPr>
        <w:pStyle w:val="ListParagraph"/>
        <w:numPr>
          <w:ilvl w:val="0"/>
          <w:numId w:val="3"/>
        </w:numPr>
        <w:rPr>
          <w:sz w:val="18"/>
        </w:rPr>
      </w:pPr>
      <w:r w:rsidRPr="00563247">
        <w:rPr>
          <w:sz w:val="18"/>
        </w:rPr>
        <w:t xml:space="preserve">Bhattacharya, S., &amp; Prajapati, B. G. (2020). Mesoporous Silica-Based Nanoparticles in Pharmaceutical Sciences: A Mini-Review. International Journal of Pharmaceutical Sciences and Nanotechnology,13(4),4964-4969. </w:t>
      </w:r>
      <w:hyperlink r:id="rId12" w:history="1">
        <w:r w:rsidRPr="009B359E">
          <w:rPr>
            <w:rStyle w:val="Hyperlink"/>
            <w:sz w:val="18"/>
          </w:rPr>
          <w:t>https://doi.org/10.37285/ijpsn.2020.13.4.3</w:t>
        </w:r>
      </w:hyperlink>
    </w:p>
    <w:p w14:paraId="214DB9F7" w14:textId="0C2C045E" w:rsidR="00563247" w:rsidRPr="00563247" w:rsidRDefault="00563247" w:rsidP="00563247">
      <w:pPr>
        <w:pStyle w:val="ListParagraph"/>
        <w:numPr>
          <w:ilvl w:val="0"/>
          <w:numId w:val="3"/>
        </w:numPr>
        <w:rPr>
          <w:sz w:val="18"/>
        </w:rPr>
      </w:pPr>
      <w:r w:rsidRPr="00563247">
        <w:rPr>
          <w:sz w:val="18"/>
        </w:rPr>
        <w:t xml:space="preserve">Shubham Shrestha and Sankha Bhattacharya*, “Versatile Use of </w:t>
      </w:r>
      <w:proofErr w:type="spellStart"/>
      <w:r w:rsidRPr="00563247">
        <w:rPr>
          <w:sz w:val="18"/>
        </w:rPr>
        <w:t>Nanosponge</w:t>
      </w:r>
      <w:proofErr w:type="spellEnd"/>
      <w:r w:rsidRPr="00563247">
        <w:rPr>
          <w:sz w:val="18"/>
        </w:rPr>
        <w:t xml:space="preserve"> in the Pharmaceutical Arena: A Mini-Review”, Recent Patents on Nanotechnology (2020) 14: 1. </w:t>
      </w:r>
      <w:hyperlink r:id="rId13" w:history="1">
        <w:r w:rsidRPr="009B359E">
          <w:rPr>
            <w:rStyle w:val="Hyperlink"/>
            <w:sz w:val="18"/>
          </w:rPr>
          <w:t>https://doi.org/10.2174/1872210514999200901200558</w:t>
        </w:r>
      </w:hyperlink>
    </w:p>
    <w:p w14:paraId="47851B03" w14:textId="787C8EB5" w:rsidR="00AE3E37" w:rsidRDefault="00563247" w:rsidP="00563247">
      <w:pPr>
        <w:pStyle w:val="BodyText"/>
        <w:numPr>
          <w:ilvl w:val="0"/>
          <w:numId w:val="3"/>
        </w:numPr>
        <w:spacing w:before="85" w:line="216" w:lineRule="exact"/>
        <w:ind w:right="138"/>
        <w:jc w:val="both"/>
        <w:rPr>
          <w:rFonts w:ascii="Calibri" w:hAnsi="Calibri"/>
        </w:rPr>
      </w:pPr>
      <w:r w:rsidRPr="00563247">
        <w:rPr>
          <w:rFonts w:ascii="Calibri" w:hAnsi="Calibri"/>
        </w:rPr>
        <w:t xml:space="preserve">Bhattacharya, Sankha. "Fabrication of poly (sarcosine), poly (ethylene glycol), and poly (lactic-co-glycolic acid) polymeric nanoparticles for cancer drug delivery." Journal of Drug Delivery Science and Technology (2020): 102194. </w:t>
      </w:r>
      <w:hyperlink r:id="rId14" w:history="1">
        <w:r w:rsidRPr="009B359E">
          <w:rPr>
            <w:rStyle w:val="Hyperlink"/>
            <w:rFonts w:ascii="Calibri" w:hAnsi="Calibri"/>
          </w:rPr>
          <w:t>https://doi.org/10.1016/j.jddst.2020.102194</w:t>
        </w:r>
      </w:hyperlink>
    </w:p>
    <w:p w14:paraId="586A2F69" w14:textId="5CEEF138"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7CA9A981" w14:textId="77777777" w:rsidR="00AE3E37" w:rsidRDefault="00AE3E37">
      <w:pPr>
        <w:pStyle w:val="BodyText"/>
        <w:rPr>
          <w:rFonts w:ascii="Calibri"/>
          <w:sz w:val="20"/>
        </w:rPr>
      </w:pPr>
    </w:p>
    <w:p w14:paraId="13D8BC51"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F9CB2E6" wp14:editId="198815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D6F76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3A964CE" w14:textId="77777777" w:rsidR="007E5287" w:rsidRDefault="008756E6" w:rsidP="00404E5B">
      <w:pPr>
        <w:spacing w:before="92"/>
        <w:ind w:right="4234"/>
        <w:rPr>
          <w:noProof/>
        </w:rPr>
      </w:pPr>
      <w:r>
        <w:rPr>
          <w:noProof/>
        </w:rPr>
        <w:t xml:space="preserve">            </w:t>
      </w:r>
    </w:p>
    <w:p w14:paraId="0BCB63FB" w14:textId="77777777" w:rsidR="007E5287" w:rsidRDefault="007E5287" w:rsidP="00404E5B">
      <w:pPr>
        <w:spacing w:before="92"/>
        <w:ind w:right="4234"/>
        <w:rPr>
          <w:noProof/>
        </w:rPr>
      </w:pPr>
    </w:p>
    <w:p w14:paraId="7CBD2C0A" w14:textId="648CE21D"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49E1702" wp14:editId="5DA34B04">
            <wp:extent cx="440034"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40034"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0DDD843" w14:textId="6AB09F11" w:rsidR="007E5287" w:rsidRDefault="007E5287" w:rsidP="007E5287">
      <w:pPr>
        <w:spacing w:before="62"/>
        <w:ind w:right="-509"/>
        <w:rPr>
          <w:rFonts w:ascii="Arial"/>
          <w:sz w:val="14"/>
        </w:rPr>
      </w:pPr>
      <w:r w:rsidRPr="007E5287">
        <w:rPr>
          <w:rFonts w:ascii="Arial"/>
          <w:sz w:val="14"/>
        </w:rPr>
        <w:t>Dr. Sankha Bhattacharya did his Post Doctorate from the Indian Institute of Technology (BHU</w:t>
      </w:r>
      <w:r w:rsidRPr="007E5287">
        <w:rPr>
          <w:rFonts w:ascii="Arial"/>
          <w:sz w:val="14"/>
        </w:rPr>
        <w:t>), Varanasi</w:t>
      </w:r>
      <w:r w:rsidRPr="007E5287">
        <w:rPr>
          <w:rFonts w:ascii="Arial"/>
          <w:sz w:val="14"/>
        </w:rPr>
        <w:t>, INDIA (August 2018-August 2019) in cancer nanomedicine and molecular pharmacology. He did his</w:t>
      </w:r>
      <w:r>
        <w:rPr>
          <w:rFonts w:ascii="Arial"/>
          <w:sz w:val="14"/>
        </w:rPr>
        <w:t xml:space="preserve"> </w:t>
      </w:r>
      <w:r w:rsidRPr="007E5287">
        <w:rPr>
          <w:rFonts w:ascii="Arial"/>
          <w:sz w:val="14"/>
        </w:rPr>
        <w:t xml:space="preserve">Ph.D. from the School of Pharmacy, RK University, Rajkot, INDIA (June 2014 </w:t>
      </w:r>
      <w:r w:rsidRPr="007E5287">
        <w:rPr>
          <w:rFonts w:ascii="Arial"/>
          <w:sz w:val="14"/>
        </w:rPr>
        <w:t>–</w:t>
      </w:r>
      <w:r w:rsidRPr="007E5287">
        <w:rPr>
          <w:rFonts w:ascii="Arial"/>
          <w:sz w:val="14"/>
        </w:rPr>
        <w:t xml:space="preserve"> April 2018). He is currently serving as an Associate Professor in the Department of Pharmaceutics, School of Pharmacy &amp; Technology Management </w:t>
      </w:r>
      <w:proofErr w:type="spellStart"/>
      <w:r w:rsidRPr="007E5287">
        <w:rPr>
          <w:rFonts w:ascii="Arial"/>
          <w:sz w:val="14"/>
        </w:rPr>
        <w:t>Shirpur</w:t>
      </w:r>
      <w:proofErr w:type="spellEnd"/>
      <w:r w:rsidRPr="007E5287">
        <w:rPr>
          <w:rFonts w:ascii="Arial"/>
          <w:sz w:val="14"/>
        </w:rPr>
        <w:t xml:space="preserve">, SVKM'S NMIMS Deemed-to-be University, </w:t>
      </w:r>
      <w:proofErr w:type="spellStart"/>
      <w:r w:rsidRPr="007E5287">
        <w:rPr>
          <w:rFonts w:ascii="Arial"/>
          <w:sz w:val="14"/>
        </w:rPr>
        <w:t>Shirpur</w:t>
      </w:r>
      <w:proofErr w:type="spellEnd"/>
      <w:r w:rsidRPr="007E5287">
        <w:rPr>
          <w:rFonts w:ascii="Arial"/>
          <w:sz w:val="14"/>
        </w:rPr>
        <w:t>, Maharashtra 425405, India with 9.3 years of Research and Teaching experiences. He has published more than 15 national and 30 international papers in high impact factor and peer-reviewed journals.</w:t>
      </w:r>
    </w:p>
    <w:p w14:paraId="0400F5E9" w14:textId="3D92E92D" w:rsidR="00AE3E37" w:rsidRDefault="00A9710C" w:rsidP="007E5287">
      <w:pPr>
        <w:spacing w:before="62"/>
        <w:ind w:right="-509"/>
        <w:jc w:val="center"/>
        <w:rPr>
          <w:rFonts w:ascii="Arial"/>
          <w:sz w:val="14"/>
        </w:rPr>
      </w:pPr>
      <w:r>
        <w:rPr>
          <w:rFonts w:ascii="Arial"/>
          <w:sz w:val="14"/>
        </w:rPr>
        <w:t>Email:</w:t>
      </w:r>
      <w:r w:rsidR="007E5287">
        <w:rPr>
          <w:rFonts w:ascii="Arial"/>
          <w:sz w:val="14"/>
        </w:rPr>
        <w:t xml:space="preserve"> </w:t>
      </w:r>
      <w:hyperlink r:id="rId16" w:history="1">
        <w:r w:rsidR="007E5287" w:rsidRPr="009B359E">
          <w:rPr>
            <w:rStyle w:val="Hyperlink"/>
            <w:rFonts w:ascii="Arial"/>
            <w:sz w:val="14"/>
          </w:rPr>
          <w:t>sankhabhatt@gmail.com</w:t>
        </w:r>
      </w:hyperlink>
    </w:p>
    <w:p w14:paraId="04AFBCD0" w14:textId="55A8E2DC" w:rsidR="00AE3E37" w:rsidRPr="00563247" w:rsidRDefault="00292ED9" w:rsidP="0056324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DBA821F" wp14:editId="271EBEB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36A16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4EB2D3F" w14:textId="77777777" w:rsidR="00AE3E37" w:rsidRPr="00B21A57" w:rsidRDefault="00A9710C">
      <w:pPr>
        <w:spacing w:before="39"/>
        <w:ind w:left="100"/>
        <w:rPr>
          <w:rFonts w:ascii="Minion Pro"/>
          <w:b/>
          <w:sz w:val="20"/>
        </w:rPr>
      </w:pPr>
      <w:r w:rsidRPr="00B21A57">
        <w:rPr>
          <w:rFonts w:ascii="Minion Pro"/>
          <w:b/>
          <w:sz w:val="20"/>
        </w:rPr>
        <w:t>Notes/Comments:</w:t>
      </w:r>
    </w:p>
    <w:p w14:paraId="2D33BC7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4D2ED7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2DC651" w14:textId="77777777" w:rsidR="00BB2123" w:rsidRDefault="00BB2123">
      <w:r>
        <w:separator/>
      </w:r>
    </w:p>
  </w:endnote>
  <w:endnote w:type="continuationSeparator" w:id="0">
    <w:p w14:paraId="6E62B73F" w14:textId="77777777" w:rsidR="00BB2123" w:rsidRDefault="00BB2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vTT5235d5a9">
    <w:altName w:val="Cambria"/>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C7771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F9EA3AC" wp14:editId="53F9A9F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6F35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01E96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EA3A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196F35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01E96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BFB4B11" wp14:editId="627BA43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F401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56AB7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B4B1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19F401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56AB7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C56BD8C" wp14:editId="66B2843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6AA6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03E9F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6BD8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E46AA6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03E9F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7BB800" w14:textId="77777777" w:rsidR="00BB2123" w:rsidRDefault="00BB2123">
      <w:r>
        <w:separator/>
      </w:r>
    </w:p>
  </w:footnote>
  <w:footnote w:type="continuationSeparator" w:id="0">
    <w:p w14:paraId="26E2F367" w14:textId="77777777" w:rsidR="00BB2123" w:rsidRDefault="00BB2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5B97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733540F" wp14:editId="172C8DA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7227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3540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987227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3422C96" wp14:editId="3CB53AD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5C9B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2923F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22C9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755C9B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2923F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QwMDMyMDcyNzK0MDdR0lEKTi0uzszPAykwqgUA4cHKTSwAAAA="/>
  </w:docVars>
  <w:rsids>
    <w:rsidRoot w:val="00AE3E37"/>
    <w:rsid w:val="000A73FA"/>
    <w:rsid w:val="000E2911"/>
    <w:rsid w:val="001263DF"/>
    <w:rsid w:val="002455EC"/>
    <w:rsid w:val="00292ED9"/>
    <w:rsid w:val="00404E5B"/>
    <w:rsid w:val="00414F7B"/>
    <w:rsid w:val="004355DC"/>
    <w:rsid w:val="004749B4"/>
    <w:rsid w:val="00494130"/>
    <w:rsid w:val="004F3523"/>
    <w:rsid w:val="00563247"/>
    <w:rsid w:val="005973B9"/>
    <w:rsid w:val="005B3A56"/>
    <w:rsid w:val="006060CE"/>
    <w:rsid w:val="0063497F"/>
    <w:rsid w:val="0070410F"/>
    <w:rsid w:val="007E5287"/>
    <w:rsid w:val="00873DF0"/>
    <w:rsid w:val="008756E6"/>
    <w:rsid w:val="008A08B6"/>
    <w:rsid w:val="009B2D44"/>
    <w:rsid w:val="00A07E82"/>
    <w:rsid w:val="00A9710C"/>
    <w:rsid w:val="00AE3E37"/>
    <w:rsid w:val="00B21A57"/>
    <w:rsid w:val="00BB2123"/>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7385C0"/>
  <w15:docId w15:val="{F9891159-E9E4-4CEF-9EA8-E08A8F338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uiPriority w:val="10"/>
    <w:qFormat/>
    <w:rsid w:val="00563247"/>
    <w:pPr>
      <w:widowControl/>
      <w:contextualSpacing/>
    </w:pPr>
    <w:rPr>
      <w:rFonts w:asciiTheme="majorHAnsi" w:eastAsiaTheme="majorEastAsia" w:hAnsiTheme="majorHAnsi" w:cstheme="majorBidi"/>
      <w:spacing w:val="-10"/>
      <w:kern w:val="28"/>
      <w:sz w:val="56"/>
      <w:szCs w:val="50"/>
      <w:lang w:val="en-IN" w:bidi="hi-IN"/>
    </w:rPr>
  </w:style>
  <w:style w:type="character" w:customStyle="1" w:styleId="TitleChar">
    <w:name w:val="Title Char"/>
    <w:basedOn w:val="DefaultParagraphFont"/>
    <w:link w:val="Title"/>
    <w:uiPriority w:val="10"/>
    <w:rsid w:val="00563247"/>
    <w:rPr>
      <w:rFonts w:asciiTheme="majorHAnsi" w:eastAsiaTheme="majorEastAsia" w:hAnsiTheme="majorHAnsi" w:cstheme="majorBidi"/>
      <w:spacing w:val="-10"/>
      <w:kern w:val="28"/>
      <w:sz w:val="56"/>
      <w:szCs w:val="50"/>
      <w:lang w:val="en-IN" w:bidi="hi-IN"/>
    </w:rPr>
  </w:style>
  <w:style w:type="character" w:styleId="UnresolvedMention">
    <w:name w:val="Unresolved Mention"/>
    <w:basedOn w:val="DefaultParagraphFont"/>
    <w:uiPriority w:val="99"/>
    <w:semiHidden/>
    <w:unhideWhenUsed/>
    <w:rsid w:val="00563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2174/187221051499920090120055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37285/ijpsn.2020.13.4.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ankhabhatt@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174/2213476X07666200827102951"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s://doi.org/10.1016/j.ijbiomac.2020.02.151" TargetMode="External"/><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hyperlink" Target="https://doi.org/10.1016/j.jddst.2020.102194"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Sankha Bhattacharya</cp:lastModifiedBy>
  <cp:revision>3</cp:revision>
  <dcterms:created xsi:type="dcterms:W3CDTF">2020-12-07T09:17:00Z</dcterms:created>
  <dcterms:modified xsi:type="dcterms:W3CDTF">2020-12-07T09:32:00Z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