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96EFD3" w14:textId="47B10818" w:rsidR="00AE513D" w:rsidRDefault="00AE513D" w:rsidP="00834E98">
      <w:pPr>
        <w:pStyle w:val="Title"/>
        <w:jc w:val="center"/>
        <w:rPr>
          <w:rFonts w:ascii="AdvTT5235d5a9" w:eastAsiaTheme="minorHAnsi" w:hAnsi="AdvTT5235d5a9" w:cs="AdvTT5235d5a9"/>
          <w:b/>
          <w:bCs/>
          <w:spacing w:val="0"/>
          <w:kern w:val="0"/>
          <w:sz w:val="36"/>
          <w:szCs w:val="36"/>
        </w:rPr>
      </w:pPr>
      <w:r>
        <w:rPr>
          <w:rFonts w:ascii="AdvTT5235d5a9" w:eastAsiaTheme="minorHAnsi" w:hAnsi="AdvTT5235d5a9" w:cs="AdvTT5235d5a9"/>
          <w:b/>
          <w:bCs/>
          <w:spacing w:val="0"/>
          <w:kern w:val="0"/>
          <w:sz w:val="36"/>
          <w:szCs w:val="36"/>
        </w:rPr>
        <w:t>Poly(sarcosine) &amp; poly (ethylene glycol) fabricated poly (lactic-co-glycolic acid) polymeric nanoparticles for cancer drug delivery</w:t>
      </w:r>
    </w:p>
    <w:p w14:paraId="6D9050F7" w14:textId="77777777" w:rsidR="00834E98" w:rsidRPr="00834E98" w:rsidRDefault="00834E98" w:rsidP="00834E98"/>
    <w:p w14:paraId="7F1DAD53" w14:textId="77777777" w:rsidR="00834E98" w:rsidRPr="00834E98" w:rsidRDefault="00834E98" w:rsidP="00834E98">
      <w:pPr>
        <w:autoSpaceDE w:val="0"/>
        <w:autoSpaceDN w:val="0"/>
        <w:adjustRightInd w:val="0"/>
        <w:spacing w:after="0" w:line="240" w:lineRule="auto"/>
        <w:jc w:val="center"/>
        <w:rPr>
          <w:rFonts w:ascii="AdvTT5235d5a9" w:hAnsi="AdvTT5235d5a9" w:cs="AdvTT5235d5a9"/>
          <w:b/>
          <w:bCs/>
          <w:szCs w:val="22"/>
        </w:rPr>
      </w:pPr>
      <w:r w:rsidRPr="00834E98">
        <w:rPr>
          <w:rFonts w:ascii="AdvTT5235d5a9" w:hAnsi="AdvTT5235d5a9" w:cs="AdvTT5235d5a9"/>
          <w:b/>
          <w:bCs/>
          <w:szCs w:val="22"/>
        </w:rPr>
        <w:t>Sankha Bhattacharya1*</w:t>
      </w:r>
    </w:p>
    <w:p w14:paraId="308F3EDE" w14:textId="77777777" w:rsidR="00834E98" w:rsidRPr="00834E98" w:rsidRDefault="00834E98" w:rsidP="00834E98">
      <w:pPr>
        <w:autoSpaceDE w:val="0"/>
        <w:autoSpaceDN w:val="0"/>
        <w:adjustRightInd w:val="0"/>
        <w:spacing w:after="0" w:line="240" w:lineRule="auto"/>
        <w:jc w:val="center"/>
        <w:rPr>
          <w:rFonts w:ascii="AdvTT5235d5a9" w:hAnsi="AdvTT5235d5a9" w:cs="AdvTT5235d5a9"/>
          <w:b/>
          <w:bCs/>
          <w:szCs w:val="22"/>
        </w:rPr>
      </w:pPr>
    </w:p>
    <w:p w14:paraId="026B8BEA" w14:textId="77777777" w:rsidR="00834E98" w:rsidRPr="00834E98" w:rsidRDefault="00834E98" w:rsidP="00834E98">
      <w:pPr>
        <w:autoSpaceDE w:val="0"/>
        <w:autoSpaceDN w:val="0"/>
        <w:adjustRightInd w:val="0"/>
        <w:spacing w:after="0" w:line="240" w:lineRule="auto"/>
        <w:jc w:val="center"/>
        <w:rPr>
          <w:rFonts w:ascii="AdvTT5235d5a9" w:hAnsi="AdvTT5235d5a9" w:cs="AdvTT5235d5a9"/>
          <w:b/>
          <w:bCs/>
          <w:szCs w:val="22"/>
        </w:rPr>
      </w:pPr>
      <w:r w:rsidRPr="00834E98">
        <w:rPr>
          <w:rFonts w:ascii="AdvTT5235d5a9" w:hAnsi="AdvTT5235d5a9" w:cs="AdvTT5235d5a9"/>
          <w:b/>
          <w:bCs/>
          <w:szCs w:val="22"/>
        </w:rPr>
        <w:t xml:space="preserve">1Department of Pharmaceutics, School of Pharmacy &amp; Technology Management, SVKM'S NMIMS Deemed-to-be University, </w:t>
      </w:r>
      <w:proofErr w:type="spellStart"/>
      <w:r w:rsidRPr="00834E98">
        <w:rPr>
          <w:rFonts w:ascii="AdvTT5235d5a9" w:hAnsi="AdvTT5235d5a9" w:cs="AdvTT5235d5a9"/>
          <w:b/>
          <w:bCs/>
          <w:szCs w:val="22"/>
        </w:rPr>
        <w:t>Shirpur</w:t>
      </w:r>
      <w:proofErr w:type="spellEnd"/>
      <w:r w:rsidRPr="00834E98">
        <w:rPr>
          <w:rFonts w:ascii="AdvTT5235d5a9" w:hAnsi="AdvTT5235d5a9" w:cs="AdvTT5235d5a9"/>
          <w:b/>
          <w:bCs/>
          <w:szCs w:val="22"/>
        </w:rPr>
        <w:t>, Maharashtra 425405, India</w:t>
      </w:r>
    </w:p>
    <w:p w14:paraId="649512B0" w14:textId="77777777" w:rsidR="00AE513D" w:rsidRDefault="00AE513D" w:rsidP="00AE513D">
      <w:pPr>
        <w:autoSpaceDE w:val="0"/>
        <w:autoSpaceDN w:val="0"/>
        <w:adjustRightInd w:val="0"/>
        <w:spacing w:after="0" w:line="240" w:lineRule="auto"/>
        <w:rPr>
          <w:rFonts w:ascii="AdvTT5235d5a9" w:hAnsi="AdvTT5235d5a9" w:cs="AdvTT5235d5a9"/>
          <w:szCs w:val="22"/>
        </w:rPr>
      </w:pPr>
    </w:p>
    <w:p w14:paraId="35F21A37" w14:textId="77777777" w:rsidR="00834E98" w:rsidRDefault="00834E98" w:rsidP="00AE513D">
      <w:pPr>
        <w:autoSpaceDE w:val="0"/>
        <w:autoSpaceDN w:val="0"/>
        <w:adjustRightInd w:val="0"/>
        <w:spacing w:after="0" w:line="240" w:lineRule="auto"/>
        <w:rPr>
          <w:rFonts w:ascii="AdvTT5235d5a9" w:hAnsi="AdvTT5235d5a9" w:cs="AdvTT5235d5a9"/>
          <w:b/>
          <w:bCs/>
          <w:sz w:val="26"/>
          <w:szCs w:val="26"/>
        </w:rPr>
      </w:pPr>
    </w:p>
    <w:p w14:paraId="0A1577AC" w14:textId="29781734" w:rsidR="00834E98" w:rsidRDefault="00834E98" w:rsidP="00AE513D">
      <w:pPr>
        <w:autoSpaceDE w:val="0"/>
        <w:autoSpaceDN w:val="0"/>
        <w:adjustRightInd w:val="0"/>
        <w:spacing w:after="0" w:line="240" w:lineRule="auto"/>
        <w:rPr>
          <w:rFonts w:ascii="AdvTT5235d5a9" w:hAnsi="AdvTT5235d5a9" w:cs="AdvTT5235d5a9"/>
          <w:b/>
          <w:bCs/>
          <w:sz w:val="26"/>
          <w:szCs w:val="26"/>
        </w:rPr>
      </w:pPr>
      <w:r>
        <w:rPr>
          <w:noProof/>
        </w:rPr>
        <w:drawing>
          <wp:inline distT="0" distB="0" distL="0" distR="0" wp14:anchorId="6472B21B" wp14:editId="2EC07C94">
            <wp:extent cx="5731510" cy="322389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45FAC4E7" w14:textId="60968913" w:rsidR="00AE513D" w:rsidRDefault="00AE513D" w:rsidP="00AE513D">
      <w:pPr>
        <w:autoSpaceDE w:val="0"/>
        <w:autoSpaceDN w:val="0"/>
        <w:adjustRightInd w:val="0"/>
        <w:spacing w:after="0" w:line="240" w:lineRule="auto"/>
        <w:rPr>
          <w:rFonts w:ascii="AdvTT5235d5a9" w:hAnsi="AdvTT5235d5a9" w:cs="AdvTT5235d5a9"/>
          <w:b/>
          <w:bCs/>
          <w:sz w:val="26"/>
          <w:szCs w:val="26"/>
        </w:rPr>
      </w:pPr>
      <w:r>
        <w:rPr>
          <w:rFonts w:ascii="AdvTT5235d5a9" w:hAnsi="AdvTT5235d5a9" w:cs="AdvTT5235d5a9"/>
          <w:b/>
          <w:bCs/>
          <w:sz w:val="26"/>
          <w:szCs w:val="26"/>
        </w:rPr>
        <w:t xml:space="preserve">Abstract: </w:t>
      </w:r>
    </w:p>
    <w:p w14:paraId="40609906" w14:textId="77777777" w:rsidR="00AE513D" w:rsidRDefault="00AE513D" w:rsidP="00AE513D">
      <w:pPr>
        <w:autoSpaceDE w:val="0"/>
        <w:autoSpaceDN w:val="0"/>
        <w:adjustRightInd w:val="0"/>
        <w:spacing w:after="0" w:line="240" w:lineRule="auto"/>
        <w:rPr>
          <w:rFonts w:cstheme="minorHAnsi"/>
          <w:color w:val="000000"/>
          <w:sz w:val="16"/>
          <w:szCs w:val="16"/>
        </w:rPr>
      </w:pPr>
    </w:p>
    <w:p w14:paraId="54DB637B" w14:textId="77777777" w:rsidR="00AE513D" w:rsidRDefault="00AE513D" w:rsidP="00AE513D">
      <w:pPr>
        <w:autoSpaceDE w:val="0"/>
        <w:autoSpaceDN w:val="0"/>
        <w:adjustRightInd w:val="0"/>
        <w:spacing w:after="0" w:line="480" w:lineRule="auto"/>
        <w:jc w:val="both"/>
        <w:rPr>
          <w:rFonts w:ascii="AdvTT5235d5a9" w:hAnsi="AdvTT5235d5a9" w:cs="AdvTT5235d5a9"/>
          <w:szCs w:val="22"/>
        </w:rPr>
      </w:pPr>
    </w:p>
    <w:p w14:paraId="7F843986" w14:textId="77777777" w:rsidR="00AE513D" w:rsidRDefault="00AE513D" w:rsidP="00AE513D">
      <w:pPr>
        <w:autoSpaceDE w:val="0"/>
        <w:autoSpaceDN w:val="0"/>
        <w:adjustRightInd w:val="0"/>
        <w:spacing w:after="0" w:line="480" w:lineRule="auto"/>
        <w:jc w:val="both"/>
        <w:rPr>
          <w:rFonts w:ascii="AdvTT5235d5a9" w:hAnsi="AdvTT5235d5a9" w:cs="AdvTT5235d5a9"/>
          <w:szCs w:val="22"/>
        </w:rPr>
      </w:pPr>
      <w:r>
        <w:rPr>
          <w:rFonts w:ascii="AdvTT5235d5a9" w:hAnsi="AdvTT5235d5a9" w:cs="AdvTT5235d5a9"/>
          <w:szCs w:val="22"/>
        </w:rPr>
        <w:t>The most significant advantage of polymeric nanoparticles is it's systematic and target specific drug delivery properties. These polymeric nanoparticles have the potential to sustain itself within the bloodstream for a longer period so that drugs can be infused in blood steadily. To understand such a phenomenon, in this experiment, an attempt was made to prepared Docetaxel loaded poly(sarcosine)(</w:t>
      </w:r>
      <w:proofErr w:type="spellStart"/>
      <w:r>
        <w:rPr>
          <w:rFonts w:ascii="AdvTT5235d5a9" w:hAnsi="AdvTT5235d5a9" w:cs="AdvTT5235d5a9"/>
          <w:szCs w:val="22"/>
        </w:rPr>
        <w:t>PSar</w:t>
      </w:r>
      <w:proofErr w:type="spellEnd"/>
      <w:r>
        <w:rPr>
          <w:rFonts w:ascii="AdvTT5235d5a9" w:hAnsi="AdvTT5235d5a9" w:cs="AdvTT5235d5a9"/>
          <w:szCs w:val="22"/>
        </w:rPr>
        <w:t xml:space="preserve">) and polyethylene glycol (PEG) coated poly (lactic-co-glycolic acid) [PLGA] nanoparticles; which could efficiently encapsulate any hydrophobic drugs. These types of PEG-coated nanoparticles have a marked tendency to avoid reticuloendothelial opsonization process by restricting macrophage uptake, which ultimately leads to enhance bioavailability and tissue distribution of drugs. In this research work categorically, the concentration of </w:t>
      </w:r>
      <w:proofErr w:type="spellStart"/>
      <w:r>
        <w:rPr>
          <w:rFonts w:ascii="AdvTT5235d5a9" w:hAnsi="AdvTT5235d5a9" w:cs="AdvTT5235d5a9"/>
          <w:szCs w:val="22"/>
        </w:rPr>
        <w:t>PSar</w:t>
      </w:r>
      <w:proofErr w:type="spellEnd"/>
      <w:r>
        <w:rPr>
          <w:rFonts w:ascii="AdvTT5235d5a9" w:hAnsi="AdvTT5235d5a9" w:cs="AdvTT5235d5a9"/>
          <w:szCs w:val="22"/>
        </w:rPr>
        <w:t xml:space="preserve"> and PEG was </w:t>
      </w:r>
      <w:r>
        <w:rPr>
          <w:rFonts w:ascii="AdvTT5235d5a9" w:hAnsi="AdvTT5235d5a9" w:cs="AdvTT5235d5a9"/>
          <w:szCs w:val="22"/>
        </w:rPr>
        <w:lastRenderedPageBreak/>
        <w:t xml:space="preserve">optimized. The cellular uptake efficiency percentage and IC50 value of Docetaxel and Docetaxel loaded different polymeric nanoparticles evaluated in various human cancer cell lines (U-87 MG, HeLa. C2BBe1, HCT-116, NCI-N87, NCI-H929-Luc-mCh-Puro). The </w:t>
      </w:r>
      <w:proofErr w:type="spellStart"/>
      <w:r>
        <w:rPr>
          <w:rFonts w:ascii="AdvTT5235d5a9" w:hAnsi="AdvTT5235d5a9" w:cs="AdvTT5235d5a9"/>
          <w:szCs w:val="22"/>
        </w:rPr>
        <w:t>PSar</w:t>
      </w:r>
      <w:proofErr w:type="spellEnd"/>
      <w:r>
        <w:rPr>
          <w:rFonts w:ascii="AdvTT5235d5a9" w:hAnsi="AdvTT5235d5a9" w:cs="AdvTT5235d5a9"/>
          <w:szCs w:val="22"/>
        </w:rPr>
        <w:t xml:space="preserve">-PLGA-PEG-NPs has shown sustainable retention in blood with minimum macrophage uptake as compared to PLGA-NPs and </w:t>
      </w:r>
      <w:proofErr w:type="spellStart"/>
      <w:r>
        <w:rPr>
          <w:rFonts w:ascii="AdvTT5235d5a9" w:hAnsi="AdvTT5235d5a9" w:cs="AdvTT5235d5a9"/>
          <w:szCs w:val="22"/>
        </w:rPr>
        <w:t>PSar</w:t>
      </w:r>
      <w:proofErr w:type="spellEnd"/>
      <w:r>
        <w:rPr>
          <w:rFonts w:ascii="AdvTT5235d5a9" w:hAnsi="AdvTT5235d5a9" w:cs="AdvTT5235d5a9"/>
          <w:szCs w:val="22"/>
        </w:rPr>
        <w:t xml:space="preserve">-PLGA-NPs. Enhanced anti-tumour proliferative effects were shown in all the Docetaxel loaded nanoparticles as compared to native Docetaxel drug, which may be because of enhanced antiproliferative activities of nanoparticles. Thus, from the research outcomes, one thing is inevitable, i.e., the presence of </w:t>
      </w:r>
      <w:proofErr w:type="spellStart"/>
      <w:r>
        <w:rPr>
          <w:rFonts w:ascii="AdvTT5235d5a9" w:hAnsi="AdvTT5235d5a9" w:cs="AdvTT5235d5a9"/>
          <w:szCs w:val="22"/>
        </w:rPr>
        <w:t>PSar</w:t>
      </w:r>
      <w:proofErr w:type="spellEnd"/>
      <w:r>
        <w:rPr>
          <w:rFonts w:ascii="AdvTT5235d5a9" w:hAnsi="AdvTT5235d5a9" w:cs="AdvTT5235d5a9"/>
          <w:szCs w:val="22"/>
        </w:rPr>
        <w:t xml:space="preserve"> and PEG would increase the blood circulation time, and it can be used as a suitable carrier for any hydrophobic drug.</w:t>
      </w:r>
    </w:p>
    <w:p w14:paraId="0E9FD3B3" w14:textId="77777777" w:rsidR="00AE513D" w:rsidRDefault="00AE513D" w:rsidP="00AE513D">
      <w:pPr>
        <w:autoSpaceDE w:val="0"/>
        <w:autoSpaceDN w:val="0"/>
        <w:adjustRightInd w:val="0"/>
        <w:spacing w:after="0" w:line="360" w:lineRule="auto"/>
        <w:jc w:val="both"/>
        <w:rPr>
          <w:rFonts w:ascii="AdvTT5235d5a9" w:hAnsi="AdvTT5235d5a9" w:cs="AdvTT5235d5a9"/>
          <w:b/>
          <w:bCs/>
          <w:sz w:val="26"/>
          <w:szCs w:val="26"/>
        </w:rPr>
      </w:pPr>
      <w:r>
        <w:rPr>
          <w:rFonts w:ascii="AdvTT5235d5a9" w:hAnsi="AdvTT5235d5a9" w:cs="AdvTT5235d5a9"/>
          <w:b/>
          <w:bCs/>
          <w:sz w:val="26"/>
          <w:szCs w:val="26"/>
        </w:rPr>
        <w:t xml:space="preserve">Key words: </w:t>
      </w:r>
    </w:p>
    <w:p w14:paraId="248943FC" w14:textId="77777777" w:rsidR="00AE513D" w:rsidRDefault="00AE513D" w:rsidP="00AE513D">
      <w:pPr>
        <w:autoSpaceDE w:val="0"/>
        <w:autoSpaceDN w:val="0"/>
        <w:adjustRightInd w:val="0"/>
        <w:spacing w:after="0" w:line="240" w:lineRule="auto"/>
        <w:rPr>
          <w:rFonts w:cstheme="minorHAnsi"/>
          <w:color w:val="000000"/>
          <w:sz w:val="16"/>
          <w:szCs w:val="16"/>
        </w:rPr>
      </w:pPr>
    </w:p>
    <w:p w14:paraId="522CCE2B" w14:textId="7CF8F2DC" w:rsidR="007700CB" w:rsidRDefault="00AE513D" w:rsidP="00AE513D">
      <w:pPr>
        <w:autoSpaceDE w:val="0"/>
        <w:autoSpaceDN w:val="0"/>
        <w:adjustRightInd w:val="0"/>
        <w:spacing w:after="0" w:line="480" w:lineRule="auto"/>
        <w:rPr>
          <w:rFonts w:ascii="AdvTT5235d5a9" w:hAnsi="AdvTT5235d5a9" w:cs="AdvTT5235d5a9"/>
          <w:szCs w:val="22"/>
        </w:rPr>
      </w:pPr>
      <w:r>
        <w:rPr>
          <w:rFonts w:ascii="AdvTT5235d5a9" w:hAnsi="AdvTT5235d5a9" w:cs="AdvTT5235d5a9"/>
          <w:szCs w:val="22"/>
        </w:rPr>
        <w:t>poly(sarcosine); poly (ethylene glycol); poly (lactic-co-glycolic acid); polymeric drug delivery; IC50 value; macrophage uptake</w:t>
      </w:r>
      <w:r w:rsidR="00BC61C2">
        <w:rPr>
          <w:rFonts w:ascii="AdvTT5235d5a9" w:hAnsi="AdvTT5235d5a9" w:cs="AdvTT5235d5a9"/>
          <w:szCs w:val="22"/>
        </w:rPr>
        <w:t>.</w:t>
      </w:r>
    </w:p>
    <w:p w14:paraId="7589CEDD" w14:textId="42D1F8AF" w:rsidR="00834E98" w:rsidRDefault="00834E98" w:rsidP="00AE513D">
      <w:pPr>
        <w:autoSpaceDE w:val="0"/>
        <w:autoSpaceDN w:val="0"/>
        <w:adjustRightInd w:val="0"/>
        <w:spacing w:after="0" w:line="480" w:lineRule="auto"/>
        <w:rPr>
          <w:rFonts w:ascii="AdvTT5235d5a9" w:hAnsi="AdvTT5235d5a9" w:cs="AdvTT5235d5a9"/>
          <w:szCs w:val="22"/>
        </w:rPr>
      </w:pPr>
    </w:p>
    <w:p w14:paraId="47DAD5C4" w14:textId="77777777" w:rsidR="00834E98" w:rsidRPr="006D4E6A" w:rsidRDefault="00834E98" w:rsidP="00834E98">
      <w:pPr>
        <w:autoSpaceDE w:val="0"/>
        <w:autoSpaceDN w:val="0"/>
        <w:adjustRightInd w:val="0"/>
        <w:spacing w:after="0" w:line="276" w:lineRule="auto"/>
        <w:rPr>
          <w:rFonts w:ascii="AdvTT5235d5a9" w:hAnsi="AdvTT5235d5a9" w:cs="AdvTT5235d5a9"/>
          <w:b/>
          <w:bCs/>
          <w:sz w:val="25"/>
          <w:szCs w:val="25"/>
        </w:rPr>
      </w:pPr>
      <w:r w:rsidRPr="006D4E6A">
        <w:rPr>
          <w:rFonts w:ascii="AdvTT5235d5a9" w:hAnsi="AdvTT5235d5a9" w:cs="AdvTT5235d5a9"/>
          <w:b/>
          <w:bCs/>
          <w:sz w:val="25"/>
          <w:szCs w:val="25"/>
        </w:rPr>
        <w:t>*Corresponding author:</w:t>
      </w:r>
    </w:p>
    <w:p w14:paraId="31479F4A" w14:textId="77777777" w:rsidR="00834E98" w:rsidRPr="006D4E6A" w:rsidRDefault="00834E98" w:rsidP="00834E98">
      <w:pPr>
        <w:autoSpaceDE w:val="0"/>
        <w:autoSpaceDN w:val="0"/>
        <w:adjustRightInd w:val="0"/>
        <w:spacing w:after="0" w:line="240" w:lineRule="auto"/>
        <w:rPr>
          <w:rFonts w:ascii="AdvTT5235d5a9" w:hAnsi="AdvTT5235d5a9" w:cs="AdvTT5235d5a9"/>
          <w:sz w:val="25"/>
          <w:szCs w:val="25"/>
        </w:rPr>
      </w:pPr>
      <w:r w:rsidRPr="006D4E6A">
        <w:rPr>
          <w:rFonts w:ascii="AdvTT5235d5a9" w:hAnsi="AdvTT5235d5a9" w:cs="AdvTT5235d5a9"/>
          <w:b/>
          <w:bCs/>
          <w:sz w:val="25"/>
          <w:szCs w:val="25"/>
        </w:rPr>
        <w:t xml:space="preserve">Name: </w:t>
      </w:r>
      <w:r w:rsidRPr="006D4E6A">
        <w:rPr>
          <w:rFonts w:ascii="AdvTT5235d5a9" w:hAnsi="AdvTT5235d5a9" w:cs="AdvTT5235d5a9"/>
          <w:sz w:val="25"/>
          <w:szCs w:val="25"/>
        </w:rPr>
        <w:t>Dr Sankha Bhattacharya</w:t>
      </w:r>
    </w:p>
    <w:p w14:paraId="23B6A09E" w14:textId="77777777" w:rsidR="00834E98" w:rsidRPr="006D4E6A" w:rsidRDefault="00834E98" w:rsidP="00834E98">
      <w:pPr>
        <w:autoSpaceDE w:val="0"/>
        <w:autoSpaceDN w:val="0"/>
        <w:adjustRightInd w:val="0"/>
        <w:spacing w:after="0" w:line="240" w:lineRule="auto"/>
        <w:rPr>
          <w:rFonts w:ascii="AdvTT5235d5a9" w:hAnsi="AdvTT5235d5a9" w:cs="AdvTT5235d5a9"/>
          <w:sz w:val="25"/>
          <w:szCs w:val="25"/>
        </w:rPr>
      </w:pPr>
      <w:r w:rsidRPr="006D4E6A">
        <w:rPr>
          <w:rFonts w:ascii="AdvTT5235d5a9" w:hAnsi="AdvTT5235d5a9" w:cs="AdvTT5235d5a9"/>
          <w:b/>
          <w:bCs/>
          <w:sz w:val="25"/>
          <w:szCs w:val="25"/>
        </w:rPr>
        <w:t xml:space="preserve">Designation: </w:t>
      </w:r>
      <w:r w:rsidRPr="006D4E6A">
        <w:rPr>
          <w:rFonts w:ascii="AdvTT5235d5a9" w:hAnsi="AdvTT5235d5a9" w:cs="AdvTT5235d5a9"/>
          <w:sz w:val="25"/>
          <w:szCs w:val="25"/>
        </w:rPr>
        <w:t>Associate professor</w:t>
      </w:r>
    </w:p>
    <w:p w14:paraId="303C92DC" w14:textId="77777777" w:rsidR="00834E98" w:rsidRPr="006D4E6A" w:rsidRDefault="00834E98" w:rsidP="00834E98">
      <w:pPr>
        <w:autoSpaceDE w:val="0"/>
        <w:autoSpaceDN w:val="0"/>
        <w:adjustRightInd w:val="0"/>
        <w:spacing w:after="0" w:line="240" w:lineRule="auto"/>
        <w:rPr>
          <w:rFonts w:ascii="AdvTT5235d5a9" w:hAnsi="AdvTT5235d5a9" w:cs="AdvTT5235d5a9"/>
          <w:sz w:val="25"/>
          <w:szCs w:val="25"/>
        </w:rPr>
      </w:pPr>
      <w:r w:rsidRPr="006D4E6A">
        <w:rPr>
          <w:rFonts w:ascii="AdvTT5235d5a9" w:hAnsi="AdvTT5235d5a9" w:cs="AdvTT5235d5a9"/>
          <w:b/>
          <w:bCs/>
          <w:sz w:val="25"/>
          <w:szCs w:val="25"/>
        </w:rPr>
        <w:t xml:space="preserve">Department: </w:t>
      </w:r>
      <w:r w:rsidRPr="006D4E6A">
        <w:rPr>
          <w:rFonts w:ascii="AdvTT5235d5a9" w:hAnsi="AdvTT5235d5a9" w:cs="AdvTT5235d5a9"/>
          <w:sz w:val="25"/>
          <w:szCs w:val="25"/>
        </w:rPr>
        <w:t>Pharmaceutics</w:t>
      </w:r>
    </w:p>
    <w:p w14:paraId="1EDAC403" w14:textId="77777777" w:rsidR="00834E98" w:rsidRPr="006D4E6A" w:rsidRDefault="00834E98" w:rsidP="00834E98">
      <w:pPr>
        <w:autoSpaceDE w:val="0"/>
        <w:autoSpaceDN w:val="0"/>
        <w:adjustRightInd w:val="0"/>
        <w:spacing w:after="0" w:line="240" w:lineRule="auto"/>
      </w:pPr>
      <w:r w:rsidRPr="006D4E6A">
        <w:rPr>
          <w:rFonts w:ascii="AdvTT5235d5a9" w:hAnsi="AdvTT5235d5a9" w:cs="AdvTT5235d5a9"/>
          <w:b/>
          <w:bCs/>
          <w:sz w:val="25"/>
          <w:szCs w:val="25"/>
        </w:rPr>
        <w:t>Affiliation</w:t>
      </w:r>
      <w:r w:rsidRPr="006D4E6A">
        <w:t xml:space="preserve"> </w:t>
      </w:r>
    </w:p>
    <w:p w14:paraId="499E6282" w14:textId="77777777" w:rsidR="00834E98" w:rsidRPr="006D4E6A" w:rsidRDefault="00834E98" w:rsidP="00834E98">
      <w:pPr>
        <w:autoSpaceDE w:val="0"/>
        <w:autoSpaceDN w:val="0"/>
        <w:adjustRightInd w:val="0"/>
        <w:spacing w:after="0" w:line="240" w:lineRule="auto"/>
        <w:rPr>
          <w:rFonts w:ascii="AdvTT5235d5a9" w:hAnsi="AdvTT5235d5a9" w:cs="AdvTT5235d5a9"/>
          <w:sz w:val="25"/>
          <w:szCs w:val="25"/>
        </w:rPr>
      </w:pPr>
      <w:r w:rsidRPr="006D4E6A">
        <w:rPr>
          <w:rFonts w:ascii="AdvTT5235d5a9" w:hAnsi="AdvTT5235d5a9" w:cs="AdvTT5235d5a9"/>
          <w:sz w:val="25"/>
          <w:szCs w:val="25"/>
        </w:rPr>
        <w:t xml:space="preserve">School of Pharmacy &amp; Technology Management, SVKM'S NMIMS Deemed-to-be University, </w:t>
      </w:r>
      <w:proofErr w:type="spellStart"/>
      <w:r w:rsidRPr="006D4E6A">
        <w:rPr>
          <w:rFonts w:ascii="AdvTT5235d5a9" w:hAnsi="AdvTT5235d5a9" w:cs="AdvTT5235d5a9"/>
          <w:sz w:val="25"/>
          <w:szCs w:val="25"/>
        </w:rPr>
        <w:t>Shirpur</w:t>
      </w:r>
      <w:proofErr w:type="spellEnd"/>
      <w:r w:rsidRPr="006D4E6A">
        <w:rPr>
          <w:rFonts w:ascii="AdvTT5235d5a9" w:hAnsi="AdvTT5235d5a9" w:cs="AdvTT5235d5a9"/>
          <w:sz w:val="25"/>
          <w:szCs w:val="25"/>
        </w:rPr>
        <w:t>, Maharashtra 425405, India</w:t>
      </w:r>
    </w:p>
    <w:p w14:paraId="5C35F0A3" w14:textId="77777777" w:rsidR="00834E98" w:rsidRPr="006D4E6A" w:rsidRDefault="00834E98" w:rsidP="00834E98">
      <w:pPr>
        <w:spacing w:after="0" w:line="240" w:lineRule="auto"/>
        <w:rPr>
          <w:rFonts w:ascii="AdvTT5235d5a9" w:hAnsi="AdvTT5235d5a9" w:cs="AdvTT5235d5a9"/>
          <w:b/>
          <w:bCs/>
          <w:sz w:val="25"/>
          <w:szCs w:val="25"/>
        </w:rPr>
      </w:pPr>
      <w:r w:rsidRPr="006D4E6A">
        <w:rPr>
          <w:rFonts w:ascii="AdvTT5235d5a9" w:hAnsi="AdvTT5235d5a9" w:cs="AdvTT5235d5a9"/>
          <w:b/>
          <w:bCs/>
          <w:sz w:val="25"/>
          <w:szCs w:val="25"/>
        </w:rPr>
        <w:t>Address:</w:t>
      </w:r>
      <w:bookmarkStart w:id="0" w:name="_Hlk29147528"/>
      <w:r w:rsidRPr="006D4E6A">
        <w:rPr>
          <w:rFonts w:ascii="AdvTT5235d5a9" w:hAnsi="AdvTT5235d5a9" w:cs="AdvTT5235d5a9"/>
          <w:b/>
          <w:bCs/>
          <w:sz w:val="25"/>
          <w:szCs w:val="25"/>
        </w:rPr>
        <w:t xml:space="preserve"> </w:t>
      </w:r>
    </w:p>
    <w:p w14:paraId="1C5D8E22" w14:textId="77777777" w:rsidR="00834E98" w:rsidRPr="006D4E6A" w:rsidRDefault="00834E98" w:rsidP="00834E98">
      <w:pPr>
        <w:spacing w:after="0" w:line="240" w:lineRule="auto"/>
        <w:rPr>
          <w:rFonts w:ascii="AdvTT5235d5a9" w:hAnsi="AdvTT5235d5a9" w:cs="AdvTT5235d5a9"/>
          <w:sz w:val="25"/>
          <w:szCs w:val="25"/>
        </w:rPr>
      </w:pPr>
      <w:r w:rsidRPr="006D4E6A">
        <w:rPr>
          <w:rFonts w:ascii="AdvTT5235d5a9" w:hAnsi="AdvTT5235d5a9" w:cs="AdvTT5235d5a9"/>
          <w:sz w:val="25"/>
          <w:szCs w:val="25"/>
        </w:rPr>
        <w:t xml:space="preserve">School of Pharmacy &amp; Technology Management </w:t>
      </w:r>
      <w:proofErr w:type="spellStart"/>
      <w:r w:rsidRPr="006D4E6A">
        <w:rPr>
          <w:rFonts w:ascii="AdvTT5235d5a9" w:hAnsi="AdvTT5235d5a9" w:cs="AdvTT5235d5a9"/>
          <w:sz w:val="25"/>
          <w:szCs w:val="25"/>
        </w:rPr>
        <w:t>Shirpur</w:t>
      </w:r>
      <w:proofErr w:type="spellEnd"/>
      <w:r w:rsidRPr="006D4E6A">
        <w:rPr>
          <w:rFonts w:ascii="AdvTT5235d5a9" w:hAnsi="AdvTT5235d5a9" w:cs="AdvTT5235d5a9"/>
          <w:sz w:val="25"/>
          <w:szCs w:val="25"/>
        </w:rPr>
        <w:t xml:space="preserve">, SVKM'S NMIMS Deemed-to-be University, </w:t>
      </w:r>
      <w:proofErr w:type="spellStart"/>
      <w:r w:rsidRPr="006D4E6A">
        <w:rPr>
          <w:rFonts w:ascii="AdvTT5235d5a9" w:hAnsi="AdvTT5235d5a9" w:cs="AdvTT5235d5a9"/>
          <w:sz w:val="25"/>
          <w:szCs w:val="25"/>
        </w:rPr>
        <w:t>Shirpur</w:t>
      </w:r>
      <w:proofErr w:type="spellEnd"/>
      <w:r w:rsidRPr="006D4E6A">
        <w:rPr>
          <w:rFonts w:ascii="AdvTT5235d5a9" w:hAnsi="AdvTT5235d5a9" w:cs="AdvTT5235d5a9"/>
          <w:sz w:val="25"/>
          <w:szCs w:val="25"/>
        </w:rPr>
        <w:t>, Maharashtra 425405, India</w:t>
      </w:r>
    </w:p>
    <w:p w14:paraId="4C227DED" w14:textId="77777777" w:rsidR="00834E98" w:rsidRPr="006D4E6A" w:rsidRDefault="00834E98" w:rsidP="00834E98">
      <w:pPr>
        <w:spacing w:after="0" w:line="240" w:lineRule="auto"/>
        <w:rPr>
          <w:rFonts w:ascii="AdvTT5235d5a9" w:hAnsi="AdvTT5235d5a9" w:cs="AdvTT5235d5a9"/>
          <w:sz w:val="25"/>
          <w:szCs w:val="25"/>
        </w:rPr>
      </w:pPr>
      <w:r w:rsidRPr="006D4E6A">
        <w:rPr>
          <w:rFonts w:ascii="AdvTT5235d5a9" w:hAnsi="AdvTT5235d5a9" w:cs="AdvTT5235d5a9"/>
          <w:b/>
          <w:bCs/>
          <w:sz w:val="25"/>
          <w:szCs w:val="25"/>
        </w:rPr>
        <w:t xml:space="preserve">Mobile: </w:t>
      </w:r>
      <w:r w:rsidRPr="006D4E6A">
        <w:rPr>
          <w:rFonts w:ascii="AdvTT5235d5a9" w:hAnsi="AdvTT5235d5a9" w:cs="AdvTT5235d5a9"/>
          <w:sz w:val="25"/>
          <w:szCs w:val="25"/>
        </w:rPr>
        <w:t>+917878777207</w:t>
      </w:r>
    </w:p>
    <w:bookmarkEnd w:id="0"/>
    <w:p w14:paraId="6245C330" w14:textId="77777777" w:rsidR="00834E98" w:rsidRPr="006D4E6A" w:rsidRDefault="00834E98" w:rsidP="00834E98">
      <w:pPr>
        <w:autoSpaceDE w:val="0"/>
        <w:autoSpaceDN w:val="0"/>
        <w:adjustRightInd w:val="0"/>
        <w:spacing w:after="0" w:line="240" w:lineRule="auto"/>
        <w:rPr>
          <w:rFonts w:ascii="AdvTT5235d5a9" w:hAnsi="AdvTT5235d5a9" w:cs="AdvTT5235d5a9"/>
          <w:sz w:val="25"/>
          <w:szCs w:val="25"/>
        </w:rPr>
      </w:pPr>
      <w:r w:rsidRPr="006D4E6A">
        <w:rPr>
          <w:rFonts w:ascii="AdvTT5235d5a9" w:hAnsi="AdvTT5235d5a9" w:cs="AdvTT5235d5a9"/>
          <w:b/>
          <w:bCs/>
          <w:sz w:val="25"/>
          <w:szCs w:val="25"/>
        </w:rPr>
        <w:t xml:space="preserve">Email ID: </w:t>
      </w:r>
      <w:r w:rsidRPr="006D4E6A">
        <w:rPr>
          <w:rFonts w:ascii="AdvTT5235d5a9" w:hAnsi="AdvTT5235d5a9" w:cs="AdvTT5235d5a9"/>
          <w:sz w:val="25"/>
          <w:szCs w:val="25"/>
        </w:rPr>
        <w:t>sankhabhatt@gmail.com</w:t>
      </w:r>
    </w:p>
    <w:p w14:paraId="0C3E29EB" w14:textId="30096E8A" w:rsidR="00834E98" w:rsidRPr="00834E98" w:rsidRDefault="00834E98" w:rsidP="00834E98">
      <w:pPr>
        <w:spacing w:after="0" w:line="240" w:lineRule="auto"/>
        <w:rPr>
          <w:rFonts w:ascii="AdvTT5235d5a9" w:hAnsi="AdvTT5235d5a9" w:cs="AdvTT5235d5a9"/>
          <w:sz w:val="25"/>
          <w:szCs w:val="25"/>
        </w:rPr>
      </w:pPr>
      <w:r w:rsidRPr="006D4E6A">
        <w:rPr>
          <w:rFonts w:ascii="AdvTT5235d5a9" w:hAnsi="AdvTT5235d5a9" w:cs="AdvTT5235d5a9"/>
          <w:b/>
          <w:bCs/>
          <w:sz w:val="25"/>
          <w:szCs w:val="25"/>
        </w:rPr>
        <w:t xml:space="preserve">ORCID ID: </w:t>
      </w:r>
      <w:r w:rsidRPr="006D4E6A">
        <w:rPr>
          <w:rFonts w:ascii="AdvTT5235d5a9" w:hAnsi="AdvTT5235d5a9" w:cs="AdvTT5235d5a9"/>
          <w:sz w:val="25"/>
          <w:szCs w:val="25"/>
        </w:rPr>
        <w:t>0000-0002-0771-9582</w:t>
      </w:r>
    </w:p>
    <w:sectPr w:rsidR="00834E98" w:rsidRPr="00834E98" w:rsidSect="00834E98">
      <w:pgSz w:w="11906" w:h="16838"/>
      <w:pgMar w:top="141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dvTT5235d5a9">
    <w:altName w:val="Cambria"/>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Q2tzAzt7QwMDOxNDdR0lEKTi0uzszPAykwrgUAfLRi2ywAAAA="/>
  </w:docVars>
  <w:rsids>
    <w:rsidRoot w:val="00ED1C63"/>
    <w:rsid w:val="007700CB"/>
    <w:rsid w:val="00834E98"/>
    <w:rsid w:val="00AE513D"/>
    <w:rsid w:val="00B06BF4"/>
    <w:rsid w:val="00BC61C2"/>
    <w:rsid w:val="00ED1C63"/>
    <w:rsid w:val="00F82E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8AF1B"/>
  <w15:chartTrackingRefBased/>
  <w15:docId w15:val="{47212499-E51F-4BE9-B290-6735F43DF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13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E513D"/>
    <w:pPr>
      <w:spacing w:after="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AE513D"/>
    <w:rPr>
      <w:rFonts w:asciiTheme="majorHAnsi" w:eastAsiaTheme="majorEastAsia" w:hAnsiTheme="majorHAnsi" w:cstheme="majorBidi"/>
      <w:spacing w:val="-10"/>
      <w:kern w:val="28"/>
      <w:sz w:val="56"/>
      <w:szCs w:val="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814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385</Words>
  <Characters>2200</Characters>
  <Application>Microsoft Office Word</Application>
  <DocSecurity>0</DocSecurity>
  <Lines>18</Lines>
  <Paragraphs>5</Paragraphs>
  <ScaleCrop>false</ScaleCrop>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Sankha Bhattacharya</dc:creator>
  <cp:keywords/>
  <dc:description/>
  <cp:lastModifiedBy>Dr Sankha Bhattacharya</cp:lastModifiedBy>
  <cp:revision>6</cp:revision>
  <dcterms:created xsi:type="dcterms:W3CDTF">2020-07-16T13:11:00Z</dcterms:created>
  <dcterms:modified xsi:type="dcterms:W3CDTF">2020-12-07T09:13:00Z</dcterms:modified>
</cp:coreProperties>
</file>