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2A412" w14:textId="15AAAE43" w:rsidR="00FE6979" w:rsidRPr="00591E4A" w:rsidRDefault="00294690" w:rsidP="00F06BEA">
      <w:pPr>
        <w:spacing w:line="240" w:lineRule="auto"/>
        <w:rPr>
          <w:rFonts w:ascii="Times New Roman" w:eastAsia="Times New Roman" w:hAnsi="Times New Roman" w:cs="Times New Roman"/>
          <w:sz w:val="24"/>
          <w:szCs w:val="24"/>
          <w:lang w:val="en-US"/>
        </w:rPr>
      </w:pPr>
      <w:r w:rsidRPr="00294690">
        <w:rPr>
          <w:rFonts w:ascii="Times New Roman" w:eastAsia="Times New Roman" w:hAnsi="Times New Roman" w:cs="Times New Roman"/>
        </w:rPr>
        <w:drawing>
          <wp:anchor distT="0" distB="0" distL="114300" distR="114300" simplePos="0" relativeHeight="251658240" behindDoc="1" locked="0" layoutInCell="1" allowOverlap="1" wp14:anchorId="0CCD1092" wp14:editId="35DA52FA">
            <wp:simplePos x="0" y="0"/>
            <wp:positionH relativeFrom="column">
              <wp:posOffset>4571918</wp:posOffset>
            </wp:positionH>
            <wp:positionV relativeFrom="paragraph">
              <wp:posOffset>201</wp:posOffset>
            </wp:positionV>
            <wp:extent cx="2086824" cy="1692998"/>
            <wp:effectExtent l="0" t="0" r="0" b="0"/>
            <wp:wrapTight wrapText="bothSides">
              <wp:wrapPolygon edited="0">
                <wp:start x="9860" y="0"/>
                <wp:lineTo x="8677" y="324"/>
                <wp:lineTo x="5522" y="2269"/>
                <wp:lineTo x="4864" y="3727"/>
                <wp:lineTo x="3944" y="5185"/>
                <wp:lineTo x="3155" y="7778"/>
                <wp:lineTo x="2892" y="10371"/>
                <wp:lineTo x="3155" y="12963"/>
                <wp:lineTo x="3944" y="15556"/>
                <wp:lineTo x="5785" y="18149"/>
                <wp:lineTo x="0" y="18149"/>
                <wp:lineTo x="0" y="20579"/>
                <wp:lineTo x="21166" y="20579"/>
                <wp:lineTo x="21429" y="19607"/>
                <wp:lineTo x="21429" y="18311"/>
                <wp:lineTo x="16565" y="18149"/>
                <wp:lineTo x="18537" y="15556"/>
                <wp:lineTo x="19326" y="12963"/>
                <wp:lineTo x="19589" y="10371"/>
                <wp:lineTo x="19326" y="7778"/>
                <wp:lineTo x="18668" y="5185"/>
                <wp:lineTo x="17485" y="3403"/>
                <wp:lineTo x="17091" y="2269"/>
                <wp:lineTo x="13935" y="324"/>
                <wp:lineTo x="12752" y="0"/>
                <wp:lineTo x="9860" y="0"/>
              </wp:wrapPolygon>
            </wp:wrapTight>
            <wp:docPr id="66" name="Google Shape;66;p13"/>
            <wp:cNvGraphicFramePr/>
            <a:graphic xmlns:a="http://schemas.openxmlformats.org/drawingml/2006/main">
              <a:graphicData uri="http://schemas.openxmlformats.org/drawingml/2006/picture">
                <pic:pic xmlns:pic="http://schemas.openxmlformats.org/drawingml/2006/picture">
                  <pic:nvPicPr>
                    <pic:cNvPr id="66" name="Google Shape;66;p13"/>
                    <pic:cNvPicPr preferRelativeResize="0"/>
                  </pic:nvPicPr>
                  <pic:blipFill>
                    <a:blip r:embed="rId8" cstate="print">
                      <a:alphaModFix/>
                      <a:extLst>
                        <a:ext uri="{28A0092B-C50C-407E-A947-70E740481C1C}">
                          <a14:useLocalDpi xmlns:a14="http://schemas.microsoft.com/office/drawing/2010/main" val="0"/>
                        </a:ext>
                      </a:extLst>
                    </a:blip>
                    <a:stretch>
                      <a:fillRect/>
                    </a:stretch>
                  </pic:blipFill>
                  <pic:spPr>
                    <a:xfrm>
                      <a:off x="0" y="0"/>
                      <a:ext cx="2086824" cy="1692998"/>
                    </a:xfrm>
                    <a:prstGeom prst="rect">
                      <a:avLst/>
                    </a:prstGeom>
                    <a:noFill/>
                    <a:ln>
                      <a:noFill/>
                    </a:ln>
                  </pic:spPr>
                </pic:pic>
              </a:graphicData>
            </a:graphic>
            <wp14:sizeRelH relativeFrom="page">
              <wp14:pctWidth>0</wp14:pctWidth>
            </wp14:sizeRelH>
            <wp14:sizeRelV relativeFrom="page">
              <wp14:pctHeight>0</wp14:pctHeight>
            </wp14:sizeRelV>
          </wp:anchor>
        </w:drawing>
      </w:r>
      <w:r w:rsidR="00F06BEA">
        <w:rPr>
          <w:rFonts w:ascii="Times New Roman" w:eastAsia="Times New Roman" w:hAnsi="Times New Roman" w:cs="Times New Roman"/>
        </w:rPr>
        <w:t xml:space="preserve">Intro: </w:t>
      </w:r>
      <w:r w:rsidR="00FE6979">
        <w:rPr>
          <w:rFonts w:ascii="Times New Roman" w:eastAsia="Times New Roman" w:hAnsi="Times New Roman" w:cs="Times New Roman"/>
        </w:rPr>
        <w:t xml:space="preserve">The efficiency and accuracy with which we can disseminate important information regarding the COVID-19 virus, public health measures, and the information on the vaccine became one of the focuses of healthcare systems during the height of the COVID-19 pandemic.   After the vaccine rollout began, data began to emerge suggesting that there were disparities in vaccination rates among different communities.  </w:t>
      </w:r>
      <w:r w:rsidR="00591E4A" w:rsidRPr="00591E4A">
        <w:rPr>
          <w:rFonts w:ascii="Times New Roman" w:eastAsia="Times New Roman" w:hAnsi="Times New Roman" w:cs="Times New Roman"/>
          <w:color w:val="000000"/>
          <w:lang w:val="en-US"/>
        </w:rPr>
        <w:t>When we looked closer to home, we found similar significant disparities in vaccination rates among different communities within Sacramento.  Understanding that widespread vaccination is one of the best public health measures we can take in reducing the burden of COVID 19 on our hospitals and communities, UC Davis Health wanted to ensure that we connected our patients to relevant and engaging vaccine information.</w:t>
      </w:r>
      <w:r w:rsidR="00591E4A">
        <w:rPr>
          <w:rFonts w:ascii="Times New Roman" w:eastAsia="Times New Roman" w:hAnsi="Times New Roman" w:cs="Times New Roman"/>
          <w:sz w:val="24"/>
          <w:szCs w:val="24"/>
          <w:lang w:val="en-US"/>
        </w:rPr>
        <w:t xml:space="preserve">  </w:t>
      </w:r>
      <w:r w:rsidR="00FE6979">
        <w:rPr>
          <w:rFonts w:ascii="Times New Roman" w:eastAsia="Times New Roman" w:hAnsi="Times New Roman" w:cs="Times New Roman"/>
        </w:rPr>
        <w:t xml:space="preserve">We began investigating different ways that we could reach our patients and deliver vaccine information to them “meeting them where they are at” targeting a digital means of information delivery.  Recent studies have shown that text message nudges with messaging specific to ownership over both the COVID-19 and </w:t>
      </w:r>
      <w:r w:rsidR="00FE6979">
        <w:rPr>
          <w:rFonts w:ascii="Times New Roman" w:eastAsia="Times New Roman" w:hAnsi="Times New Roman" w:cs="Times New Roman"/>
        </w:rPr>
        <w:t>f</w:t>
      </w:r>
      <w:r w:rsidR="00FE6979">
        <w:rPr>
          <w:rFonts w:ascii="Times New Roman" w:eastAsia="Times New Roman" w:hAnsi="Times New Roman" w:cs="Times New Roman"/>
        </w:rPr>
        <w:t xml:space="preserve">lu vaccine increased vaccination rates and appointment attendance rates. From this we understood that not only was the appointment reminder important but these studies demonstrated the vast difference in efficacy of different message wording (Milkman et al. </w:t>
      </w:r>
      <w:proofErr w:type="gramStart"/>
      <w:r w:rsidR="00FE6979">
        <w:rPr>
          <w:rFonts w:ascii="Times New Roman" w:eastAsia="Times New Roman" w:hAnsi="Times New Roman" w:cs="Times New Roman"/>
        </w:rPr>
        <w:t>#)(</w:t>
      </w:r>
      <w:proofErr w:type="gramEnd"/>
      <w:r w:rsidR="00FE6979">
        <w:rPr>
          <w:rFonts w:ascii="Times New Roman" w:eastAsia="Times New Roman" w:hAnsi="Times New Roman" w:cs="Times New Roman"/>
        </w:rPr>
        <w:t>Dai et al. #).  Interesting to us was that these studies used broad messaging that was uniform to all recipients and was not tailored in any way to those who were receiving the text message pushes.  An additional study has also shown that when patients identified in an EMR system as being at high risk for cardiovascular disease (CVD) were sent handwritten letters from their providers encouraging them to schedule appointments to discuss their CVD risk</w:t>
      </w:r>
      <w:r w:rsidR="005D541D">
        <w:rPr>
          <w:rFonts w:ascii="Times New Roman" w:eastAsia="Times New Roman" w:hAnsi="Times New Roman" w:cs="Times New Roman"/>
        </w:rPr>
        <w:t>, th</w:t>
      </w:r>
      <w:r w:rsidR="00FE6979">
        <w:rPr>
          <w:rFonts w:ascii="Times New Roman" w:eastAsia="Times New Roman" w:hAnsi="Times New Roman" w:cs="Times New Roman"/>
        </w:rPr>
        <w:t xml:space="preserve">is personalized messaging effort resulted in a </w:t>
      </w:r>
      <w:proofErr w:type="spellStart"/>
      <w:proofErr w:type="gramStart"/>
      <w:r w:rsidR="00FE6979">
        <w:rPr>
          <w:rFonts w:ascii="Times New Roman" w:eastAsia="Times New Roman" w:hAnsi="Times New Roman" w:cs="Times New Roman"/>
        </w:rPr>
        <w:t>two fold</w:t>
      </w:r>
      <w:proofErr w:type="spellEnd"/>
      <w:proofErr w:type="gramEnd"/>
      <w:r w:rsidR="00FE6979">
        <w:rPr>
          <w:rFonts w:ascii="Times New Roman" w:eastAsia="Times New Roman" w:hAnsi="Times New Roman" w:cs="Times New Roman"/>
        </w:rPr>
        <w:t xml:space="preserve"> increase in the number of CVD at risk patients who were started on a lipid lowering agent.  This demonstrated that patient tailored messaging significantly increases the desired outcome. (Aral)  </w:t>
      </w:r>
    </w:p>
    <w:p w14:paraId="491D2519" w14:textId="77777777" w:rsidR="00FE6979" w:rsidRDefault="00FE6979" w:rsidP="00FE6979">
      <w:pPr>
        <w:rPr>
          <w:rFonts w:ascii="Times New Roman" w:eastAsia="Times New Roman" w:hAnsi="Times New Roman" w:cs="Times New Roman"/>
        </w:rPr>
      </w:pPr>
    </w:p>
    <w:p w14:paraId="7E2512C2" w14:textId="622C75B8" w:rsidR="00FE6979" w:rsidRDefault="00FE6979" w:rsidP="00FE6979">
      <w:pPr>
        <w:rPr>
          <w:rFonts w:ascii="Times New Roman" w:eastAsia="Times New Roman" w:hAnsi="Times New Roman" w:cs="Times New Roman"/>
        </w:rPr>
      </w:pPr>
      <w:r>
        <w:rPr>
          <w:rFonts w:ascii="Times New Roman" w:eastAsia="Times New Roman" w:hAnsi="Times New Roman" w:cs="Times New Roman"/>
        </w:rPr>
        <w:tab/>
        <w:t>Here we aimed to first identify populations within the Sacramento community that were vaccine hesitant and had vaccination rates under 50%.  We did this through an integration built between the UC Davis EMR and the California Vaccine Registry System, CAIRS.  This allowed us to securely identify patients within the UC Davis EMR who were unvaccinated.  We then consulted with community advocates, public health experts, physicians, and community members to create messaging trees that were specific to those populations.  The messages were first tested in focus groups representative of the members of the population to receive specific messaging and then revised multiple times before roll out.  The messaging trees were extensive and interactive, allowing patients to receive information if requested, be directed to websites with videos and educational information delivered in their primary language, and be offered the opportunity to connect with the vaccine appointment system at UC Davis health should they decide they wanted to schedule an appointment.  Subsequently, we wanted to test if this EMR data driven patient tailored messaging would increase vaccination rates and information disbursement to our more vaccine hesitant and vulnerable communities in Sacramento</w:t>
      </w:r>
      <w:r w:rsidR="00B23C25">
        <w:rPr>
          <w:rFonts w:ascii="Times New Roman" w:eastAsia="Times New Roman" w:hAnsi="Times New Roman" w:cs="Times New Roman"/>
        </w:rPr>
        <w:t>.</w:t>
      </w:r>
    </w:p>
    <w:p w14:paraId="5EAD0030" w14:textId="2DED244E" w:rsidR="00B23C25" w:rsidRDefault="00B23C25" w:rsidP="00FE6979">
      <w:pPr>
        <w:rPr>
          <w:rFonts w:ascii="Times New Roman" w:eastAsia="Times New Roman" w:hAnsi="Times New Roman" w:cs="Times New Roman"/>
        </w:rPr>
      </w:pPr>
    </w:p>
    <w:p w14:paraId="30450400" w14:textId="08A173CF" w:rsidR="00EE395A" w:rsidRPr="0025330C" w:rsidRDefault="00B23C25" w:rsidP="00EE395A">
      <w:pPr>
        <w:contextualSpacing/>
        <w:rPr>
          <w:sz w:val="21"/>
          <w:szCs w:val="21"/>
        </w:rPr>
      </w:pPr>
      <w:r w:rsidRPr="00B23C25">
        <w:rPr>
          <w:rFonts w:ascii="Times New Roman" w:eastAsia="Times New Roman" w:hAnsi="Times New Roman" w:cs="Times New Roman"/>
          <w:color w:val="000000"/>
          <w:lang w:val="en-US"/>
        </w:rPr>
        <w:t>Methods</w:t>
      </w:r>
      <w:r w:rsidRPr="00B23C25">
        <w:rPr>
          <w:rFonts w:ascii="Times New Roman" w:eastAsia="Times New Roman" w:hAnsi="Times New Roman" w:cs="Times New Roman"/>
          <w:b/>
          <w:bCs/>
          <w:color w:val="000000"/>
          <w:lang w:val="en-US"/>
        </w:rPr>
        <w:t xml:space="preserve">: </w:t>
      </w:r>
      <w:r w:rsidRPr="00B23C25">
        <w:rPr>
          <w:rFonts w:ascii="Times New Roman" w:eastAsia="Times New Roman" w:hAnsi="Times New Roman" w:cs="Times New Roman"/>
          <w:color w:val="000000"/>
          <w:lang w:val="en-US"/>
        </w:rPr>
        <w:t xml:space="preserve">UC Davis Health IT </w:t>
      </w:r>
      <w:proofErr w:type="gramStart"/>
      <w:r w:rsidRPr="00B23C25">
        <w:rPr>
          <w:rFonts w:ascii="Times New Roman" w:eastAsia="Times New Roman" w:hAnsi="Times New Roman" w:cs="Times New Roman"/>
          <w:color w:val="000000"/>
          <w:lang w:val="en-US"/>
        </w:rPr>
        <w:t>engineers</w:t>
      </w:r>
      <w:r>
        <w:rPr>
          <w:rFonts w:ascii="Times New Roman" w:eastAsia="Times New Roman" w:hAnsi="Times New Roman" w:cs="Times New Roman"/>
          <w:color w:val="000000"/>
          <w:lang w:val="en-US"/>
        </w:rPr>
        <w:t xml:space="preserve"> </w:t>
      </w:r>
      <w:r w:rsidRPr="00B23C25">
        <w:rPr>
          <w:rFonts w:ascii="Times New Roman" w:eastAsia="Times New Roman" w:hAnsi="Times New Roman" w:cs="Times New Roman"/>
          <w:color w:val="000000"/>
          <w:lang w:val="en-US"/>
        </w:rPr>
        <w:t>built</w:t>
      </w:r>
      <w:proofErr w:type="gramEnd"/>
      <w:r w:rsidRPr="00B23C25">
        <w:rPr>
          <w:rFonts w:ascii="Times New Roman" w:eastAsia="Times New Roman" w:hAnsi="Times New Roman" w:cs="Times New Roman"/>
          <w:color w:val="000000"/>
          <w:lang w:val="en-US"/>
        </w:rPr>
        <w:t xml:space="preserve"> integrations between the California CAIR system and the UC Davis EMR to identify patients that are unvaccinat</w:t>
      </w:r>
      <w:r w:rsidR="00EE395A">
        <w:rPr>
          <w:rFonts w:ascii="Times New Roman" w:eastAsia="Times New Roman" w:hAnsi="Times New Roman" w:cs="Times New Roman"/>
          <w:color w:val="000000"/>
          <w:lang w:val="en-US"/>
        </w:rPr>
        <w:t xml:space="preserve">ed </w:t>
      </w:r>
      <w:r w:rsidRPr="00B23C25">
        <w:rPr>
          <w:rFonts w:ascii="Times New Roman" w:eastAsia="Times New Roman" w:hAnsi="Times New Roman" w:cs="Times New Roman"/>
          <w:color w:val="000000"/>
          <w:lang w:val="en-US"/>
        </w:rPr>
        <w:t>and which demographic group these individuals belong to.  Patients are confidentially contacted via automated chatbots</w:t>
      </w:r>
      <w:r w:rsidR="00EE395A">
        <w:rPr>
          <w:rFonts w:ascii="Times New Roman" w:eastAsia="Times New Roman" w:hAnsi="Times New Roman" w:cs="Times New Roman"/>
          <w:color w:val="000000"/>
          <w:lang w:val="en-US"/>
        </w:rPr>
        <w:t xml:space="preserve"> either through text or portal</w:t>
      </w:r>
      <w:r w:rsidRPr="00B23C25">
        <w:rPr>
          <w:rFonts w:ascii="Times New Roman" w:eastAsia="Times New Roman" w:hAnsi="Times New Roman" w:cs="Times New Roman"/>
          <w:color w:val="000000"/>
          <w:lang w:val="en-US"/>
        </w:rPr>
        <w:t xml:space="preserve"> that </w:t>
      </w:r>
      <w:r w:rsidRPr="00B23C25">
        <w:rPr>
          <w:rFonts w:ascii="Times New Roman" w:eastAsia="Times New Roman" w:hAnsi="Times New Roman" w:cs="Times New Roman"/>
          <w:color w:val="000000"/>
          <w:lang w:val="en-US"/>
        </w:rPr>
        <w:lastRenderedPageBreak/>
        <w:t xml:space="preserve">choose which messaging a patient receives based on which demographics they identify with.  For example, a young pregnant person would receive messaging surrounding the safety of the COVID-19 vaccine for young individuals of reproductive age. </w:t>
      </w:r>
      <w:r w:rsidR="00EE395A" w:rsidRPr="00EE395A">
        <w:rPr>
          <w:rFonts w:ascii="Times New Roman" w:eastAsia="Times New Roman" w:hAnsi="Times New Roman" w:cs="Times New Roman"/>
          <w:color w:val="000000"/>
          <w:lang w:val="en-US"/>
        </w:rPr>
        <w:t>We then began to look at those in the EMR who had been vaccinated but not yet received their booster and designed messaging tailored to this population to encourage them to make a booster appointment.  We used A/B testing to revise the messaging to each population, improving the message trees each time to achieve the desired outcome of increased vaccination.</w:t>
      </w:r>
    </w:p>
    <w:p w14:paraId="4CADC761" w14:textId="41C6A3D0" w:rsidR="00B23C25" w:rsidRDefault="00B23C25" w:rsidP="00FE6979">
      <w:pPr>
        <w:rPr>
          <w:rFonts w:ascii="Times New Roman" w:eastAsia="Times New Roman" w:hAnsi="Times New Roman" w:cs="Times New Roman"/>
        </w:rPr>
      </w:pPr>
    </w:p>
    <w:p w14:paraId="63E6CB5E" w14:textId="335FA8D1" w:rsidR="00B23C25" w:rsidRPr="00B23C25" w:rsidRDefault="00EE395A" w:rsidP="00B23C25">
      <w:pPr>
        <w:rPr>
          <w:rFonts w:ascii="Times New Roman" w:eastAsia="Times New Roman" w:hAnsi="Times New Roman" w:cs="Times New Roman"/>
          <w:lang w:val="en-US"/>
        </w:rPr>
      </w:pPr>
      <w:r w:rsidRPr="00EE395A">
        <w:rPr>
          <w:rFonts w:ascii="Times New Roman" w:eastAsia="Times New Roman" w:hAnsi="Times New Roman" w:cs="Times New Roman"/>
          <w:lang w:val="en-US"/>
        </w:rPr>
        <w:t>Results</w:t>
      </w:r>
      <w:r w:rsidR="00F06BEA">
        <w:rPr>
          <w:rFonts w:ascii="Times New Roman" w:eastAsia="Times New Roman" w:hAnsi="Times New Roman" w:cs="Times New Roman"/>
          <w:lang w:val="en-US"/>
        </w:rPr>
        <w:t xml:space="preserve">: </w:t>
      </w:r>
      <w:r w:rsidR="00B23C25" w:rsidRPr="00B23C25">
        <w:rPr>
          <w:rFonts w:ascii="Times New Roman" w:eastAsia="Times New Roman" w:hAnsi="Times New Roman" w:cs="Times New Roman"/>
          <w:lang w:val="en-US"/>
        </w:rPr>
        <w:t xml:space="preserve">We are currently running the campaigns and expect that the results will show an improvement in the desired outcome, </w:t>
      </w:r>
      <w:proofErr w:type="gramStart"/>
      <w:r w:rsidR="00B23C25" w:rsidRPr="00B23C25">
        <w:rPr>
          <w:rFonts w:ascii="Times New Roman" w:eastAsia="Times New Roman" w:hAnsi="Times New Roman" w:cs="Times New Roman"/>
          <w:lang w:val="en-US"/>
        </w:rPr>
        <w:t>vaccination</w:t>
      </w:r>
      <w:proofErr w:type="gramEnd"/>
      <w:r w:rsidR="00B23C25" w:rsidRPr="00B23C25">
        <w:rPr>
          <w:rFonts w:ascii="Times New Roman" w:eastAsia="Times New Roman" w:hAnsi="Times New Roman" w:cs="Times New Roman"/>
          <w:lang w:val="en-US"/>
        </w:rPr>
        <w:t xml:space="preserve"> or booster, with each iteration of the campaign.</w:t>
      </w:r>
    </w:p>
    <w:p w14:paraId="2814BDE6" w14:textId="77777777" w:rsidR="00B23C25" w:rsidRPr="00B23C25" w:rsidRDefault="00B23C25" w:rsidP="00B23C25">
      <w:pPr>
        <w:numPr>
          <w:ilvl w:val="0"/>
          <w:numId w:val="1"/>
        </w:numPr>
        <w:rPr>
          <w:rFonts w:ascii="Times New Roman" w:eastAsia="Times New Roman" w:hAnsi="Times New Roman" w:cs="Times New Roman"/>
          <w:lang w:val="en-US"/>
        </w:rPr>
      </w:pPr>
      <w:r w:rsidRPr="00B23C25">
        <w:rPr>
          <w:rFonts w:ascii="Times New Roman" w:eastAsia="Times New Roman" w:hAnsi="Times New Roman" w:cs="Times New Roman"/>
          <w:lang w:val="en-US"/>
        </w:rPr>
        <w:t xml:space="preserve">Will evaluate the success of each message tree </w:t>
      </w:r>
    </w:p>
    <w:p w14:paraId="3EC5F7D9" w14:textId="77777777" w:rsidR="00B23C25" w:rsidRPr="00B23C25" w:rsidRDefault="00B23C25" w:rsidP="00B23C25">
      <w:pPr>
        <w:numPr>
          <w:ilvl w:val="0"/>
          <w:numId w:val="1"/>
        </w:numPr>
        <w:rPr>
          <w:rFonts w:ascii="Times New Roman" w:eastAsia="Times New Roman" w:hAnsi="Times New Roman" w:cs="Times New Roman"/>
          <w:lang w:val="en-US"/>
        </w:rPr>
      </w:pPr>
      <w:r w:rsidRPr="00B23C25">
        <w:rPr>
          <w:rFonts w:ascii="Times New Roman" w:eastAsia="Times New Roman" w:hAnsi="Times New Roman" w:cs="Times New Roman"/>
          <w:lang w:val="en-US"/>
        </w:rPr>
        <w:t xml:space="preserve">Will amend the messages for the next campaign to include only the messages that had the highest success rate. </w:t>
      </w:r>
    </w:p>
    <w:p w14:paraId="4BC20AC3" w14:textId="00E48677" w:rsidR="00B23C25" w:rsidRPr="00B23C25" w:rsidRDefault="00B23C25" w:rsidP="00B23C25">
      <w:pPr>
        <w:numPr>
          <w:ilvl w:val="0"/>
          <w:numId w:val="1"/>
        </w:numPr>
        <w:rPr>
          <w:rFonts w:ascii="Times New Roman" w:eastAsia="Times New Roman" w:hAnsi="Times New Roman" w:cs="Times New Roman"/>
          <w:lang w:val="en-US"/>
        </w:rPr>
      </w:pPr>
      <w:r w:rsidRPr="00B23C25">
        <w:rPr>
          <w:rFonts w:ascii="Times New Roman" w:eastAsia="Times New Roman" w:hAnsi="Times New Roman" w:cs="Times New Roman"/>
          <w:lang w:val="en-US"/>
        </w:rPr>
        <w:t xml:space="preserve"> Will then run the campaign again with a different cohort of patients from the same subgroup</w:t>
      </w:r>
    </w:p>
    <w:p w14:paraId="28D48B5D" w14:textId="7CF34001" w:rsidR="00B23C25" w:rsidRDefault="00B23C25" w:rsidP="00FE6979">
      <w:pPr>
        <w:rPr>
          <w:rFonts w:ascii="Times New Roman" w:eastAsia="Times New Roman" w:hAnsi="Times New Roman" w:cs="Times New Roman"/>
        </w:rPr>
      </w:pPr>
    </w:p>
    <w:p w14:paraId="2DAA1748" w14:textId="77777777" w:rsidR="00B23C25" w:rsidRPr="00B23C25" w:rsidRDefault="00B23C25" w:rsidP="00B23C25">
      <w:pPr>
        <w:spacing w:line="240" w:lineRule="auto"/>
        <w:rPr>
          <w:rFonts w:ascii="Times New Roman" w:eastAsia="Times New Roman" w:hAnsi="Times New Roman" w:cs="Times New Roman"/>
          <w:sz w:val="24"/>
          <w:szCs w:val="24"/>
          <w:lang w:val="en-US"/>
        </w:rPr>
      </w:pPr>
      <w:r w:rsidRPr="00B23C25">
        <w:rPr>
          <w:rFonts w:ascii="Times New Roman" w:eastAsia="Times New Roman" w:hAnsi="Times New Roman" w:cs="Times New Roman"/>
          <w:color w:val="000000"/>
          <w:lang w:val="en-US"/>
        </w:rPr>
        <w:t>Conclusions</w:t>
      </w:r>
      <w:r w:rsidRPr="00B23C25">
        <w:rPr>
          <w:rFonts w:ascii="Times New Roman" w:eastAsia="Times New Roman" w:hAnsi="Times New Roman" w:cs="Times New Roman"/>
          <w:b/>
          <w:bCs/>
          <w:color w:val="000000"/>
          <w:lang w:val="en-US"/>
        </w:rPr>
        <w:t>:</w:t>
      </w:r>
      <w:r w:rsidRPr="00B23C25">
        <w:rPr>
          <w:rFonts w:ascii="Times New Roman" w:eastAsia="Times New Roman" w:hAnsi="Times New Roman" w:cs="Times New Roman"/>
          <w:color w:val="000000"/>
          <w:lang w:val="en-US"/>
        </w:rPr>
        <w:t xml:space="preserve"> Leveraging EMR data to drive demographic-specific educational messaging has the power to connect communities with relevant information surrounding public health initiatives, in this case COVID-19 vaccination, and can be used in the future to drive messaging for initiatives such as providing education to patients identified to have hypertension or type 2 diabetes to increase health compliance and overall patient well-being.</w:t>
      </w:r>
    </w:p>
    <w:p w14:paraId="1431E554" w14:textId="59378914" w:rsidR="00B23C25" w:rsidRPr="00B23C25" w:rsidRDefault="00B23C25" w:rsidP="00B23C25"/>
    <w:p w14:paraId="4292B2A3" w14:textId="10DBE00C" w:rsidR="00B23C25" w:rsidRPr="00B23C25" w:rsidRDefault="00B23C25" w:rsidP="00B23C25"/>
    <w:p w14:paraId="5E2EF51D" w14:textId="203DE0C4" w:rsidR="00B23C25" w:rsidRPr="00B23C25" w:rsidRDefault="00B23C25" w:rsidP="00B23C25">
      <w:r>
        <w:t>References</w:t>
      </w:r>
    </w:p>
    <w:p w14:paraId="68AAC2D8" w14:textId="7A01C45D" w:rsidR="00B23C25" w:rsidRPr="00B23C25" w:rsidRDefault="00B23C25" w:rsidP="00B23C25"/>
    <w:p w14:paraId="02DCBDF1" w14:textId="77777777" w:rsidR="00B23C25" w:rsidRPr="00B23C25" w:rsidRDefault="00B23C25" w:rsidP="00B23C25">
      <w:pPr>
        <w:spacing w:line="480" w:lineRule="auto"/>
        <w:ind w:hanging="720"/>
        <w:rPr>
          <w:rFonts w:ascii="Times New Roman" w:eastAsia="Times New Roman" w:hAnsi="Times New Roman" w:cs="Times New Roman"/>
          <w:sz w:val="24"/>
          <w:szCs w:val="24"/>
          <w:lang w:val="en-US"/>
        </w:rPr>
      </w:pPr>
      <w:r w:rsidRPr="00B23C25">
        <w:rPr>
          <w:rFonts w:ascii="Times New Roman" w:eastAsia="Times New Roman" w:hAnsi="Times New Roman" w:cs="Times New Roman"/>
          <w:color w:val="000000"/>
          <w:lang w:val="en-US"/>
        </w:rPr>
        <w:t xml:space="preserve">Aral, Sinan. “Op-Ed: Emphasize vaccine acceptance, not hesitancy.” </w:t>
      </w:r>
      <w:r w:rsidRPr="00B23C25">
        <w:rPr>
          <w:rFonts w:ascii="Times New Roman" w:eastAsia="Times New Roman" w:hAnsi="Times New Roman" w:cs="Times New Roman"/>
          <w:i/>
          <w:iCs/>
          <w:color w:val="000000"/>
          <w:lang w:val="en-US"/>
        </w:rPr>
        <w:t>Los Angeles Times</w:t>
      </w:r>
      <w:r w:rsidRPr="00B23C25">
        <w:rPr>
          <w:rFonts w:ascii="Times New Roman" w:eastAsia="Times New Roman" w:hAnsi="Times New Roman" w:cs="Times New Roman"/>
          <w:color w:val="000000"/>
          <w:lang w:val="en-US"/>
        </w:rPr>
        <w:t>, 23 February 2021, https://www.latimes.com/opinion/story/2021-02-23/vaccine-hesitancy-public-health-message. Accessed 1 February 2022.</w:t>
      </w:r>
    </w:p>
    <w:p w14:paraId="696F73E1" w14:textId="77777777" w:rsidR="00B23C25" w:rsidRPr="00B23C25" w:rsidRDefault="00B23C25" w:rsidP="00B23C25">
      <w:pPr>
        <w:spacing w:line="480" w:lineRule="auto"/>
        <w:ind w:hanging="720"/>
        <w:rPr>
          <w:rFonts w:ascii="Times New Roman" w:eastAsia="Times New Roman" w:hAnsi="Times New Roman" w:cs="Times New Roman"/>
          <w:sz w:val="24"/>
          <w:szCs w:val="24"/>
          <w:lang w:val="en-US"/>
        </w:rPr>
      </w:pPr>
      <w:r w:rsidRPr="00B23C25">
        <w:rPr>
          <w:rFonts w:ascii="Times New Roman" w:eastAsia="Times New Roman" w:hAnsi="Times New Roman" w:cs="Times New Roman"/>
          <w:color w:val="000000"/>
          <w:lang w:val="en-US"/>
        </w:rPr>
        <w:t xml:space="preserve">Dai, </w:t>
      </w:r>
      <w:proofErr w:type="spellStart"/>
      <w:r w:rsidRPr="00B23C25">
        <w:rPr>
          <w:rFonts w:ascii="Times New Roman" w:eastAsia="Times New Roman" w:hAnsi="Times New Roman" w:cs="Times New Roman"/>
          <w:color w:val="000000"/>
          <w:lang w:val="en-US"/>
        </w:rPr>
        <w:t>Hengchen</w:t>
      </w:r>
      <w:proofErr w:type="spellEnd"/>
      <w:r w:rsidRPr="00B23C25">
        <w:rPr>
          <w:rFonts w:ascii="Times New Roman" w:eastAsia="Times New Roman" w:hAnsi="Times New Roman" w:cs="Times New Roman"/>
          <w:color w:val="000000"/>
          <w:lang w:val="en-US"/>
        </w:rPr>
        <w:t xml:space="preserve">, et al. “Behavioral Nudges Increase COVID-19 Vaccinations.” </w:t>
      </w:r>
      <w:r w:rsidRPr="00B23C25">
        <w:rPr>
          <w:rFonts w:ascii="Times New Roman" w:eastAsia="Times New Roman" w:hAnsi="Times New Roman" w:cs="Times New Roman"/>
          <w:i/>
          <w:iCs/>
          <w:color w:val="000000"/>
          <w:lang w:val="en-US"/>
        </w:rPr>
        <w:t>Nature</w:t>
      </w:r>
      <w:r w:rsidRPr="00B23C25">
        <w:rPr>
          <w:rFonts w:ascii="Times New Roman" w:eastAsia="Times New Roman" w:hAnsi="Times New Roman" w:cs="Times New Roman"/>
          <w:color w:val="000000"/>
          <w:lang w:val="en-US"/>
        </w:rPr>
        <w:t xml:space="preserve">, vol. 10, no. 1038, 2021, p. 8. </w:t>
      </w:r>
      <w:r w:rsidRPr="00B23C25">
        <w:rPr>
          <w:rFonts w:ascii="Times New Roman" w:eastAsia="Times New Roman" w:hAnsi="Times New Roman" w:cs="Times New Roman"/>
          <w:i/>
          <w:iCs/>
          <w:color w:val="000000"/>
          <w:lang w:val="en-US"/>
        </w:rPr>
        <w:t>Naturehttps://www.nature.com/articles/s41586-021-03843-2_reference.pdf</w:t>
      </w:r>
      <w:r w:rsidRPr="00B23C25">
        <w:rPr>
          <w:rFonts w:ascii="Times New Roman" w:eastAsia="Times New Roman" w:hAnsi="Times New Roman" w:cs="Times New Roman"/>
          <w:color w:val="000000"/>
          <w:lang w:val="en-US"/>
        </w:rPr>
        <w:t>.</w:t>
      </w:r>
    </w:p>
    <w:p w14:paraId="73BD7AD2" w14:textId="77777777" w:rsidR="00B23C25" w:rsidRPr="00B23C25" w:rsidRDefault="00B23C25" w:rsidP="00B23C25">
      <w:pPr>
        <w:spacing w:line="240" w:lineRule="auto"/>
        <w:rPr>
          <w:rFonts w:ascii="Times New Roman" w:eastAsia="Times New Roman" w:hAnsi="Times New Roman" w:cs="Times New Roman"/>
          <w:sz w:val="24"/>
          <w:szCs w:val="24"/>
          <w:lang w:val="en-US"/>
        </w:rPr>
      </w:pPr>
      <w:r w:rsidRPr="00B23C25">
        <w:rPr>
          <w:rFonts w:ascii="Times New Roman" w:eastAsia="Times New Roman" w:hAnsi="Times New Roman" w:cs="Times New Roman"/>
          <w:color w:val="000000"/>
          <w:lang w:val="en-US"/>
        </w:rPr>
        <w:t xml:space="preserve">Milkman, Katherine L., et al. “A </w:t>
      </w:r>
      <w:proofErr w:type="spellStart"/>
      <w:r w:rsidRPr="00B23C25">
        <w:rPr>
          <w:rFonts w:ascii="Times New Roman" w:eastAsia="Times New Roman" w:hAnsi="Times New Roman" w:cs="Times New Roman"/>
          <w:color w:val="000000"/>
          <w:lang w:val="en-US"/>
        </w:rPr>
        <w:t>megastudy</w:t>
      </w:r>
      <w:proofErr w:type="spellEnd"/>
      <w:r w:rsidRPr="00B23C25">
        <w:rPr>
          <w:rFonts w:ascii="Times New Roman" w:eastAsia="Times New Roman" w:hAnsi="Times New Roman" w:cs="Times New Roman"/>
          <w:color w:val="000000"/>
          <w:lang w:val="en-US"/>
        </w:rPr>
        <w:t xml:space="preserve"> of text-based nudges encouraging patients to get vaccinated at an upcoming doctor’s appointment.” </w:t>
      </w:r>
      <w:r w:rsidRPr="00B23C25">
        <w:rPr>
          <w:rFonts w:ascii="Times New Roman" w:eastAsia="Times New Roman" w:hAnsi="Times New Roman" w:cs="Times New Roman"/>
          <w:i/>
          <w:iCs/>
          <w:color w:val="000000"/>
          <w:lang w:val="en-US"/>
        </w:rPr>
        <w:t>PNAS</w:t>
      </w:r>
      <w:r w:rsidRPr="00B23C25">
        <w:rPr>
          <w:rFonts w:ascii="Times New Roman" w:eastAsia="Times New Roman" w:hAnsi="Times New Roman" w:cs="Times New Roman"/>
          <w:color w:val="000000"/>
          <w:lang w:val="en-US"/>
        </w:rPr>
        <w:t>, vol. 20, no. 118, 2021, p. 20, https://www.pnas.org/content/118/20/e2101165118.</w:t>
      </w:r>
    </w:p>
    <w:p w14:paraId="517ACFE1" w14:textId="77777777" w:rsidR="00B23C25" w:rsidRPr="00B23C25" w:rsidRDefault="00B23C25" w:rsidP="00B23C25"/>
    <w:sectPr w:rsidR="00B23C25" w:rsidRPr="00B23C25" w:rsidSect="0029469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BFCB2" w14:textId="77777777" w:rsidR="00AF6F33" w:rsidRDefault="00AF6F33" w:rsidP="00FE6979">
      <w:pPr>
        <w:spacing w:line="240" w:lineRule="auto"/>
      </w:pPr>
      <w:r>
        <w:separator/>
      </w:r>
    </w:p>
  </w:endnote>
  <w:endnote w:type="continuationSeparator" w:id="0">
    <w:p w14:paraId="639528A9" w14:textId="77777777" w:rsidR="00AF6F33" w:rsidRDefault="00AF6F33" w:rsidP="00FE69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DC4E6" w14:textId="77777777" w:rsidR="00AF6F33" w:rsidRDefault="00AF6F33" w:rsidP="00FE6979">
      <w:pPr>
        <w:spacing w:line="240" w:lineRule="auto"/>
      </w:pPr>
      <w:r>
        <w:separator/>
      </w:r>
    </w:p>
  </w:footnote>
  <w:footnote w:type="continuationSeparator" w:id="0">
    <w:p w14:paraId="0DBE4667" w14:textId="77777777" w:rsidR="00AF6F33" w:rsidRDefault="00AF6F33" w:rsidP="00FE69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1FD7C" w14:textId="085CD829" w:rsidR="00FE6979" w:rsidRPr="00FE6979" w:rsidRDefault="00294690" w:rsidP="00FE6979">
    <w:pPr>
      <w:pStyle w:val="Header"/>
      <w:jc w:val="center"/>
      <w:rPr>
        <w:sz w:val="26"/>
        <w:szCs w:val="26"/>
        <w:lang w:val="en-US"/>
      </w:rPr>
    </w:pPr>
    <w:r w:rsidRPr="00294690">
      <w:rPr>
        <w:rFonts w:ascii="Times New Roman" w:eastAsia="Times New Roman" w:hAnsi="Times New Roman" w:cs="Times New Roman"/>
      </w:rPr>
      <w:drawing>
        <wp:anchor distT="0" distB="0" distL="114300" distR="114300" simplePos="0" relativeHeight="251659264" behindDoc="1" locked="0" layoutInCell="1" allowOverlap="1" wp14:anchorId="6CDD5FE1" wp14:editId="66D36909">
          <wp:simplePos x="0" y="0"/>
          <wp:positionH relativeFrom="column">
            <wp:posOffset>-739316</wp:posOffset>
          </wp:positionH>
          <wp:positionV relativeFrom="paragraph">
            <wp:posOffset>-285750</wp:posOffset>
          </wp:positionV>
          <wp:extent cx="1732280" cy="466725"/>
          <wp:effectExtent l="0" t="0" r="0" b="0"/>
          <wp:wrapTight wrapText="bothSides">
            <wp:wrapPolygon edited="0">
              <wp:start x="9660" y="0"/>
              <wp:lineTo x="792" y="2939"/>
              <wp:lineTo x="633" y="9404"/>
              <wp:lineTo x="1584" y="9404"/>
              <wp:lineTo x="1425" y="14106"/>
              <wp:lineTo x="5384" y="18220"/>
              <wp:lineTo x="9660" y="19396"/>
              <wp:lineTo x="10452" y="19396"/>
              <wp:lineTo x="15361" y="18220"/>
              <wp:lineTo x="19953" y="14106"/>
              <wp:lineTo x="19636" y="9404"/>
              <wp:lineTo x="20745" y="5290"/>
              <wp:lineTo x="20111" y="2939"/>
              <wp:lineTo x="10452" y="0"/>
              <wp:lineTo x="9660" y="0"/>
            </wp:wrapPolygon>
          </wp:wrapTight>
          <wp:docPr id="2" name="Google Shape;54;p13" descr="A picture containing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54" name="Google Shape;54;p13" descr="A picture containing diagram&#10;&#10;Description automatically generated"/>
                  <pic:cNvPicPr preferRelativeResize="0"/>
                </pic:nvPicPr>
                <pic:blipFill rotWithShape="1">
                  <a:blip r:embed="rId1">
                    <a:alphaModFix/>
                    <a:extLst>
                      <a:ext uri="{28A0092B-C50C-407E-A947-70E740481C1C}">
                        <a14:useLocalDpi xmlns:a14="http://schemas.microsoft.com/office/drawing/2010/main" val="0"/>
                      </a:ext>
                    </a:extLst>
                  </a:blip>
                  <a:srcRect l="48545" r="12155" b="67007"/>
                  <a:stretch/>
                </pic:blipFill>
                <pic:spPr>
                  <a:xfrm>
                    <a:off x="0" y="0"/>
                    <a:ext cx="173228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FE6979" w:rsidRPr="00FE6979">
      <w:rPr>
        <w:b/>
        <w:bCs/>
        <w:sz w:val="26"/>
        <w:szCs w:val="26"/>
        <w:lang w:val="en-US"/>
      </w:rPr>
      <w:t>Data-Driven Precision Health Messaging</w:t>
    </w:r>
  </w:p>
  <w:p w14:paraId="1C166AEC" w14:textId="1353959C" w:rsidR="00FE6979" w:rsidRPr="00FE6979" w:rsidRDefault="00FE6979" w:rsidP="00FE6979">
    <w:pPr>
      <w:pStyle w:val="Header"/>
      <w:jc w:val="center"/>
      <w:rPr>
        <w:b/>
        <w:bCs/>
        <w:sz w:val="26"/>
        <w:szCs w:val="26"/>
        <w:lang w:val="en-US"/>
      </w:rPr>
    </w:pPr>
    <w:r w:rsidRPr="00FE6979">
      <w:rPr>
        <w:b/>
        <w:bCs/>
        <w:sz w:val="26"/>
        <w:szCs w:val="26"/>
        <w:lang w:val="en-US"/>
      </w:rPr>
      <w:t>Leveraging EMR Data and Targeted Messaging to Increase COVID-19 Booster and Vaccination Rates</w:t>
    </w:r>
  </w:p>
  <w:p w14:paraId="52F20292" w14:textId="295972B5" w:rsidR="00FE6979" w:rsidRDefault="00FE6979" w:rsidP="00FE6979">
    <w:pPr>
      <w:pStyle w:val="Header"/>
      <w:jc w:val="center"/>
      <w:rPr>
        <w:b/>
        <w:bCs/>
        <w:lang w:val="en-US"/>
      </w:rPr>
    </w:pPr>
  </w:p>
  <w:p w14:paraId="3A557353" w14:textId="0DCD1908" w:rsidR="00B23C25" w:rsidRDefault="00FE6979" w:rsidP="00FE6979">
    <w:pPr>
      <w:spacing w:line="240" w:lineRule="auto"/>
      <w:rPr>
        <w:rFonts w:ascii="Times New Roman" w:eastAsia="Times New Roman" w:hAnsi="Times New Roman" w:cs="Times New Roman"/>
        <w:color w:val="000000"/>
        <w:lang w:val="en-US"/>
      </w:rPr>
    </w:pPr>
    <w:r w:rsidRPr="00FE6979">
      <w:rPr>
        <w:rFonts w:ascii="Times New Roman" w:eastAsia="Times New Roman" w:hAnsi="Times New Roman" w:cs="Times New Roman"/>
        <w:color w:val="000000"/>
        <w:lang w:val="en-US"/>
      </w:rPr>
      <w:t xml:space="preserve">Keisuke Nakagawa MD, Rachel Johansson, Reza </w:t>
    </w:r>
    <w:proofErr w:type="spellStart"/>
    <w:r w:rsidRPr="00FE6979">
      <w:rPr>
        <w:rFonts w:ascii="Times New Roman" w:eastAsia="Times New Roman" w:hAnsi="Times New Roman" w:cs="Times New Roman"/>
        <w:color w:val="000000"/>
        <w:lang w:val="en-US"/>
      </w:rPr>
      <w:t>Moein</w:t>
    </w:r>
    <w:proofErr w:type="spellEnd"/>
    <w:r w:rsidRPr="00FE6979">
      <w:rPr>
        <w:rFonts w:ascii="Times New Roman" w:eastAsia="Times New Roman" w:hAnsi="Times New Roman" w:cs="Times New Roman"/>
        <w:color w:val="000000"/>
        <w:lang w:val="en-US"/>
      </w:rPr>
      <w:t xml:space="preserve"> </w:t>
    </w:r>
    <w:proofErr w:type="spellStart"/>
    <w:r w:rsidRPr="00FE6979">
      <w:rPr>
        <w:rFonts w:ascii="Times New Roman" w:eastAsia="Times New Roman" w:hAnsi="Times New Roman" w:cs="Times New Roman"/>
        <w:color w:val="000000"/>
        <w:lang w:val="en-US"/>
      </w:rPr>
      <w:t>Taghavi</w:t>
    </w:r>
    <w:proofErr w:type="spellEnd"/>
    <w:r w:rsidRPr="00FE6979">
      <w:rPr>
        <w:rFonts w:ascii="Times New Roman" w:eastAsia="Times New Roman" w:hAnsi="Times New Roman" w:cs="Times New Roman"/>
        <w:color w:val="000000"/>
        <w:lang w:val="en-US"/>
      </w:rPr>
      <w:t xml:space="preserve">, Kent Anderson MS, Ashish </w:t>
    </w:r>
    <w:proofErr w:type="spellStart"/>
    <w:r w:rsidRPr="00FE6979">
      <w:rPr>
        <w:rFonts w:ascii="Times New Roman" w:eastAsia="Times New Roman" w:hAnsi="Times New Roman" w:cs="Times New Roman"/>
        <w:color w:val="000000"/>
        <w:lang w:val="en-US"/>
      </w:rPr>
      <w:t>Atreja</w:t>
    </w:r>
    <w:proofErr w:type="spellEnd"/>
    <w:r w:rsidRPr="00FE6979">
      <w:rPr>
        <w:rFonts w:ascii="Times New Roman" w:eastAsia="Times New Roman" w:hAnsi="Times New Roman" w:cs="Times New Roman"/>
        <w:color w:val="000000"/>
        <w:lang w:val="en-US"/>
      </w:rPr>
      <w:t xml:space="preserve"> MD MPH</w:t>
    </w:r>
  </w:p>
  <w:p w14:paraId="67925129" w14:textId="77777777" w:rsidR="00FE6979" w:rsidRPr="00FE6979" w:rsidRDefault="00FE6979" w:rsidP="00FE6979">
    <w:pPr>
      <w:pStyle w:val="Header"/>
      <w:jc w:val="center"/>
      <w:rPr>
        <w:lang w:val="en-US"/>
      </w:rPr>
    </w:pPr>
  </w:p>
  <w:p w14:paraId="3A2E66DA" w14:textId="77777777" w:rsidR="00FE6979" w:rsidRPr="00FE6979" w:rsidRDefault="00FE6979" w:rsidP="00FE697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E50FF"/>
    <w:multiLevelType w:val="hybridMultilevel"/>
    <w:tmpl w:val="0FF2FC38"/>
    <w:lvl w:ilvl="0" w:tplc="B9683BF4">
      <w:start w:val="1"/>
      <w:numFmt w:val="decimal"/>
      <w:lvlText w:val="%1."/>
      <w:lvlJc w:val="left"/>
      <w:pPr>
        <w:tabs>
          <w:tab w:val="num" w:pos="720"/>
        </w:tabs>
        <w:ind w:left="720" w:hanging="360"/>
      </w:pPr>
    </w:lvl>
    <w:lvl w:ilvl="1" w:tplc="591E3574" w:tentative="1">
      <w:start w:val="1"/>
      <w:numFmt w:val="decimal"/>
      <w:lvlText w:val="%2."/>
      <w:lvlJc w:val="left"/>
      <w:pPr>
        <w:tabs>
          <w:tab w:val="num" w:pos="1440"/>
        </w:tabs>
        <w:ind w:left="1440" w:hanging="360"/>
      </w:pPr>
    </w:lvl>
    <w:lvl w:ilvl="2" w:tplc="2264C488" w:tentative="1">
      <w:start w:val="1"/>
      <w:numFmt w:val="decimal"/>
      <w:lvlText w:val="%3."/>
      <w:lvlJc w:val="left"/>
      <w:pPr>
        <w:tabs>
          <w:tab w:val="num" w:pos="2160"/>
        </w:tabs>
        <w:ind w:left="2160" w:hanging="360"/>
      </w:pPr>
    </w:lvl>
    <w:lvl w:ilvl="3" w:tplc="29FE5A8E" w:tentative="1">
      <w:start w:val="1"/>
      <w:numFmt w:val="decimal"/>
      <w:lvlText w:val="%4."/>
      <w:lvlJc w:val="left"/>
      <w:pPr>
        <w:tabs>
          <w:tab w:val="num" w:pos="2880"/>
        </w:tabs>
        <w:ind w:left="2880" w:hanging="360"/>
      </w:pPr>
    </w:lvl>
    <w:lvl w:ilvl="4" w:tplc="553666F2" w:tentative="1">
      <w:start w:val="1"/>
      <w:numFmt w:val="decimal"/>
      <w:lvlText w:val="%5."/>
      <w:lvlJc w:val="left"/>
      <w:pPr>
        <w:tabs>
          <w:tab w:val="num" w:pos="3600"/>
        </w:tabs>
        <w:ind w:left="3600" w:hanging="360"/>
      </w:pPr>
    </w:lvl>
    <w:lvl w:ilvl="5" w:tplc="E93E93E4" w:tentative="1">
      <w:start w:val="1"/>
      <w:numFmt w:val="decimal"/>
      <w:lvlText w:val="%6."/>
      <w:lvlJc w:val="left"/>
      <w:pPr>
        <w:tabs>
          <w:tab w:val="num" w:pos="4320"/>
        </w:tabs>
        <w:ind w:left="4320" w:hanging="360"/>
      </w:pPr>
    </w:lvl>
    <w:lvl w:ilvl="6" w:tplc="0122C87A" w:tentative="1">
      <w:start w:val="1"/>
      <w:numFmt w:val="decimal"/>
      <w:lvlText w:val="%7."/>
      <w:lvlJc w:val="left"/>
      <w:pPr>
        <w:tabs>
          <w:tab w:val="num" w:pos="5040"/>
        </w:tabs>
        <w:ind w:left="5040" w:hanging="360"/>
      </w:pPr>
    </w:lvl>
    <w:lvl w:ilvl="7" w:tplc="975C1DA0" w:tentative="1">
      <w:start w:val="1"/>
      <w:numFmt w:val="decimal"/>
      <w:lvlText w:val="%8."/>
      <w:lvlJc w:val="left"/>
      <w:pPr>
        <w:tabs>
          <w:tab w:val="num" w:pos="5760"/>
        </w:tabs>
        <w:ind w:left="5760" w:hanging="360"/>
      </w:pPr>
    </w:lvl>
    <w:lvl w:ilvl="8" w:tplc="C57CBD0E"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979"/>
    <w:rsid w:val="00294690"/>
    <w:rsid w:val="003124D3"/>
    <w:rsid w:val="00591E4A"/>
    <w:rsid w:val="005D541D"/>
    <w:rsid w:val="00655C7F"/>
    <w:rsid w:val="00AF6F33"/>
    <w:rsid w:val="00B23C25"/>
    <w:rsid w:val="00EE395A"/>
    <w:rsid w:val="00F06BEA"/>
    <w:rsid w:val="00FE6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C613"/>
  <w15:chartTrackingRefBased/>
  <w15:docId w15:val="{D1A33818-B6F2-A740-89C5-750A84489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979"/>
    <w:pPr>
      <w:spacing w:line="276" w:lineRule="auto"/>
    </w:pPr>
    <w:rPr>
      <w:rFonts w:ascii="Arial" w:eastAsia="Arial" w:hAnsi="Arial" w:cs="Arial"/>
      <w:sz w:val="22"/>
      <w:szCs w:val="22"/>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979"/>
    <w:pPr>
      <w:tabs>
        <w:tab w:val="center" w:pos="4680"/>
        <w:tab w:val="right" w:pos="9360"/>
      </w:tabs>
      <w:spacing w:line="240" w:lineRule="auto"/>
    </w:pPr>
  </w:style>
  <w:style w:type="character" w:customStyle="1" w:styleId="HeaderChar">
    <w:name w:val="Header Char"/>
    <w:basedOn w:val="DefaultParagraphFont"/>
    <w:link w:val="Header"/>
    <w:uiPriority w:val="99"/>
    <w:rsid w:val="00FE6979"/>
    <w:rPr>
      <w:rFonts w:ascii="Arial" w:eastAsia="Arial" w:hAnsi="Arial" w:cs="Arial"/>
      <w:sz w:val="22"/>
      <w:szCs w:val="22"/>
      <w:lang w:val="en"/>
    </w:rPr>
  </w:style>
  <w:style w:type="paragraph" w:styleId="Footer">
    <w:name w:val="footer"/>
    <w:basedOn w:val="Normal"/>
    <w:link w:val="FooterChar"/>
    <w:uiPriority w:val="99"/>
    <w:unhideWhenUsed/>
    <w:rsid w:val="00FE6979"/>
    <w:pPr>
      <w:tabs>
        <w:tab w:val="center" w:pos="4680"/>
        <w:tab w:val="right" w:pos="9360"/>
      </w:tabs>
      <w:spacing w:line="240" w:lineRule="auto"/>
    </w:pPr>
  </w:style>
  <w:style w:type="character" w:customStyle="1" w:styleId="FooterChar">
    <w:name w:val="Footer Char"/>
    <w:basedOn w:val="DefaultParagraphFont"/>
    <w:link w:val="Footer"/>
    <w:uiPriority w:val="99"/>
    <w:rsid w:val="00FE6979"/>
    <w:rPr>
      <w:rFonts w:ascii="Arial" w:eastAsia="Arial" w:hAnsi="Arial" w:cs="Arial"/>
      <w:sz w:val="22"/>
      <w:szCs w:val="22"/>
      <w:lang w:val="en"/>
    </w:rPr>
  </w:style>
  <w:style w:type="paragraph" w:styleId="FootnoteText">
    <w:name w:val="footnote text"/>
    <w:basedOn w:val="Normal"/>
    <w:link w:val="FootnoteTextChar"/>
    <w:uiPriority w:val="99"/>
    <w:semiHidden/>
    <w:unhideWhenUsed/>
    <w:rsid w:val="00B23C25"/>
    <w:pPr>
      <w:spacing w:line="240" w:lineRule="auto"/>
    </w:pPr>
    <w:rPr>
      <w:sz w:val="20"/>
      <w:szCs w:val="20"/>
    </w:rPr>
  </w:style>
  <w:style w:type="character" w:customStyle="1" w:styleId="FootnoteTextChar">
    <w:name w:val="Footnote Text Char"/>
    <w:basedOn w:val="DefaultParagraphFont"/>
    <w:link w:val="FootnoteText"/>
    <w:uiPriority w:val="99"/>
    <w:semiHidden/>
    <w:rsid w:val="00B23C25"/>
    <w:rPr>
      <w:rFonts w:ascii="Arial" w:eastAsia="Arial" w:hAnsi="Arial" w:cs="Arial"/>
      <w:sz w:val="20"/>
      <w:szCs w:val="20"/>
      <w:lang w:val="en"/>
    </w:rPr>
  </w:style>
  <w:style w:type="character" w:styleId="FootnoteReference">
    <w:name w:val="footnote reference"/>
    <w:basedOn w:val="DefaultParagraphFont"/>
    <w:uiPriority w:val="99"/>
    <w:semiHidden/>
    <w:unhideWhenUsed/>
    <w:rsid w:val="00B23C25"/>
    <w:rPr>
      <w:vertAlign w:val="superscript"/>
    </w:rPr>
  </w:style>
  <w:style w:type="paragraph" w:styleId="NormalWeb">
    <w:name w:val="Normal (Web)"/>
    <w:basedOn w:val="Normal"/>
    <w:uiPriority w:val="99"/>
    <w:semiHidden/>
    <w:unhideWhenUsed/>
    <w:rsid w:val="00B23C2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102622">
      <w:bodyDiv w:val="1"/>
      <w:marLeft w:val="0"/>
      <w:marRight w:val="0"/>
      <w:marTop w:val="0"/>
      <w:marBottom w:val="0"/>
      <w:divBdr>
        <w:top w:val="none" w:sz="0" w:space="0" w:color="auto"/>
        <w:left w:val="none" w:sz="0" w:space="0" w:color="auto"/>
        <w:bottom w:val="none" w:sz="0" w:space="0" w:color="auto"/>
        <w:right w:val="none" w:sz="0" w:space="0" w:color="auto"/>
      </w:divBdr>
    </w:div>
    <w:div w:id="1486818060">
      <w:bodyDiv w:val="1"/>
      <w:marLeft w:val="0"/>
      <w:marRight w:val="0"/>
      <w:marTop w:val="0"/>
      <w:marBottom w:val="0"/>
      <w:divBdr>
        <w:top w:val="none" w:sz="0" w:space="0" w:color="auto"/>
        <w:left w:val="none" w:sz="0" w:space="0" w:color="auto"/>
        <w:bottom w:val="none" w:sz="0" w:space="0" w:color="auto"/>
        <w:right w:val="none" w:sz="0" w:space="0" w:color="auto"/>
      </w:divBdr>
    </w:div>
    <w:div w:id="1505974621">
      <w:bodyDiv w:val="1"/>
      <w:marLeft w:val="0"/>
      <w:marRight w:val="0"/>
      <w:marTop w:val="0"/>
      <w:marBottom w:val="0"/>
      <w:divBdr>
        <w:top w:val="none" w:sz="0" w:space="0" w:color="auto"/>
        <w:left w:val="none" w:sz="0" w:space="0" w:color="auto"/>
        <w:bottom w:val="none" w:sz="0" w:space="0" w:color="auto"/>
        <w:right w:val="none" w:sz="0" w:space="0" w:color="auto"/>
      </w:divBdr>
    </w:div>
    <w:div w:id="1563373064">
      <w:bodyDiv w:val="1"/>
      <w:marLeft w:val="0"/>
      <w:marRight w:val="0"/>
      <w:marTop w:val="0"/>
      <w:marBottom w:val="0"/>
      <w:divBdr>
        <w:top w:val="none" w:sz="0" w:space="0" w:color="auto"/>
        <w:left w:val="none" w:sz="0" w:space="0" w:color="auto"/>
        <w:bottom w:val="none" w:sz="0" w:space="0" w:color="auto"/>
        <w:right w:val="none" w:sz="0" w:space="0" w:color="auto"/>
      </w:divBdr>
    </w:div>
    <w:div w:id="1930502850">
      <w:bodyDiv w:val="1"/>
      <w:marLeft w:val="0"/>
      <w:marRight w:val="0"/>
      <w:marTop w:val="0"/>
      <w:marBottom w:val="0"/>
      <w:divBdr>
        <w:top w:val="none" w:sz="0" w:space="0" w:color="auto"/>
        <w:left w:val="none" w:sz="0" w:space="0" w:color="auto"/>
        <w:bottom w:val="none" w:sz="0" w:space="0" w:color="auto"/>
        <w:right w:val="none" w:sz="0" w:space="0" w:color="auto"/>
      </w:divBdr>
    </w:div>
    <w:div w:id="2030792883">
      <w:bodyDiv w:val="1"/>
      <w:marLeft w:val="0"/>
      <w:marRight w:val="0"/>
      <w:marTop w:val="0"/>
      <w:marBottom w:val="0"/>
      <w:divBdr>
        <w:top w:val="none" w:sz="0" w:space="0" w:color="auto"/>
        <w:left w:val="none" w:sz="0" w:space="0" w:color="auto"/>
        <w:bottom w:val="none" w:sz="0" w:space="0" w:color="auto"/>
        <w:right w:val="none" w:sz="0" w:space="0" w:color="auto"/>
      </w:divBdr>
    </w:div>
    <w:div w:id="2122534450">
      <w:bodyDiv w:val="1"/>
      <w:marLeft w:val="0"/>
      <w:marRight w:val="0"/>
      <w:marTop w:val="0"/>
      <w:marBottom w:val="0"/>
      <w:divBdr>
        <w:top w:val="none" w:sz="0" w:space="0" w:color="auto"/>
        <w:left w:val="none" w:sz="0" w:space="0" w:color="auto"/>
        <w:bottom w:val="none" w:sz="0" w:space="0" w:color="auto"/>
        <w:right w:val="none" w:sz="0" w:space="0" w:color="auto"/>
      </w:divBdr>
      <w:divsChild>
        <w:div w:id="1546791695">
          <w:marLeft w:val="720"/>
          <w:marRight w:val="0"/>
          <w:marTop w:val="0"/>
          <w:marBottom w:val="0"/>
          <w:divBdr>
            <w:top w:val="none" w:sz="0" w:space="0" w:color="auto"/>
            <w:left w:val="none" w:sz="0" w:space="0" w:color="auto"/>
            <w:bottom w:val="none" w:sz="0" w:space="0" w:color="auto"/>
            <w:right w:val="none" w:sz="0" w:space="0" w:color="auto"/>
          </w:divBdr>
        </w:div>
        <w:div w:id="449863146">
          <w:marLeft w:val="720"/>
          <w:marRight w:val="0"/>
          <w:marTop w:val="0"/>
          <w:marBottom w:val="0"/>
          <w:divBdr>
            <w:top w:val="none" w:sz="0" w:space="0" w:color="auto"/>
            <w:left w:val="none" w:sz="0" w:space="0" w:color="auto"/>
            <w:bottom w:val="none" w:sz="0" w:space="0" w:color="auto"/>
            <w:right w:val="none" w:sz="0" w:space="0" w:color="auto"/>
          </w:divBdr>
        </w:div>
        <w:div w:id="107651078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B0059F7-7E7A-4B4D-8B9E-DCC920513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Madison Johansson</dc:creator>
  <cp:keywords/>
  <dc:description/>
  <cp:lastModifiedBy>Rachel Madison Johansson</cp:lastModifiedBy>
  <cp:revision>4</cp:revision>
  <dcterms:created xsi:type="dcterms:W3CDTF">2022-02-16T01:51:00Z</dcterms:created>
  <dcterms:modified xsi:type="dcterms:W3CDTF">2022-02-16T02:26:00Z</dcterms:modified>
</cp:coreProperties>
</file>