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E08C8" w14:textId="04887396" w:rsidR="00863B94" w:rsidRDefault="00803661" w:rsidP="00803661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6671B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Prognostic value of Neutrophil-Lymphocyte ratio </w:t>
      </w:r>
      <w:r w:rsidR="00295C26" w:rsidRPr="006671B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in </w:t>
      </w:r>
      <w:r w:rsidRPr="006671BA">
        <w:rPr>
          <w:rFonts w:asciiTheme="majorBidi" w:hAnsiTheme="majorBidi" w:cstheme="majorBidi"/>
          <w:b/>
          <w:bCs/>
          <w:sz w:val="24"/>
          <w:szCs w:val="24"/>
          <w:lang w:val="en-US"/>
        </w:rPr>
        <w:t>patients with</w:t>
      </w:r>
      <w:r w:rsidR="00863B94" w:rsidRPr="006671B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FB61F1" w:rsidRPr="006671B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advanced </w:t>
      </w:r>
      <w:r w:rsidR="00863B94" w:rsidRPr="006671BA">
        <w:rPr>
          <w:rFonts w:asciiTheme="majorBidi" w:hAnsiTheme="majorBidi" w:cstheme="majorBidi"/>
          <w:b/>
          <w:bCs/>
          <w:sz w:val="24"/>
          <w:szCs w:val="24"/>
          <w:lang w:val="en-US"/>
        </w:rPr>
        <w:t>pancreatic cancer</w:t>
      </w:r>
    </w:p>
    <w:p w14:paraId="01C6F100" w14:textId="5597C170" w:rsidR="003A5296" w:rsidRDefault="003A5296" w:rsidP="00803661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3A529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Wala BEN KRIDIS, Mayssa LAJNAF, Souhir KHMIRI, Afef </w:t>
      </w:r>
      <w:r w:rsidR="00BB7199" w:rsidRPr="003A5296">
        <w:rPr>
          <w:rFonts w:asciiTheme="majorBidi" w:hAnsiTheme="majorBidi" w:cstheme="majorBidi"/>
          <w:b/>
          <w:bCs/>
          <w:sz w:val="24"/>
          <w:szCs w:val="24"/>
          <w:lang w:val="en-US"/>
        </w:rPr>
        <w:t>K</w:t>
      </w:r>
      <w:r w:rsidR="00BB7199">
        <w:rPr>
          <w:rFonts w:asciiTheme="majorBidi" w:hAnsiTheme="majorBidi" w:cstheme="majorBidi"/>
          <w:b/>
          <w:bCs/>
          <w:sz w:val="24"/>
          <w:szCs w:val="24"/>
          <w:lang w:val="en-US"/>
        </w:rPr>
        <w:t>HANFIR</w:t>
      </w:r>
    </w:p>
    <w:p w14:paraId="39E4B7E2" w14:textId="0F761D25" w:rsidR="00BB7199" w:rsidRPr="003A5296" w:rsidRDefault="00BB7199" w:rsidP="00803661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Department of medical oncology Habib Bourguiba University hospital University of Sfax</w:t>
      </w:r>
    </w:p>
    <w:p w14:paraId="04D3BCBF" w14:textId="77777777" w:rsidR="0045144B" w:rsidRPr="00684A6C" w:rsidRDefault="00863B94" w:rsidP="0045144B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684A6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Abstract </w:t>
      </w:r>
    </w:p>
    <w:p w14:paraId="49C2E162" w14:textId="59A158D5" w:rsidR="00025AE8" w:rsidRDefault="00BF7728" w:rsidP="0043076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25AE8">
        <w:rPr>
          <w:rFonts w:asciiTheme="majorBidi" w:hAnsiTheme="majorBidi" w:cstheme="majorBidi"/>
          <w:b/>
          <w:bCs/>
          <w:sz w:val="24"/>
          <w:szCs w:val="24"/>
          <w:lang w:val="en-US"/>
        </w:rPr>
        <w:t>Background:</w:t>
      </w:r>
      <w:r w:rsidR="0045144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49FCA7EE" w14:textId="1F259395" w:rsidR="0045144B" w:rsidRPr="006671BA" w:rsidRDefault="00246E97" w:rsidP="0043076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671BA">
        <w:rPr>
          <w:rFonts w:asciiTheme="majorBidi" w:hAnsiTheme="majorBidi" w:cstheme="majorBidi"/>
          <w:sz w:val="24"/>
          <w:szCs w:val="24"/>
          <w:lang w:val="en-US"/>
        </w:rPr>
        <w:t>P</w:t>
      </w:r>
      <w:r w:rsidR="0063690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ancreatic cancer is an </w:t>
      </w:r>
      <w:r w:rsidR="00BF7728" w:rsidRPr="006671BA">
        <w:rPr>
          <w:rFonts w:asciiTheme="majorBidi" w:hAnsiTheme="majorBidi" w:cstheme="majorBidi"/>
          <w:sz w:val="24"/>
          <w:szCs w:val="24"/>
          <w:lang w:val="en-US"/>
        </w:rPr>
        <w:t>aggressive</w:t>
      </w:r>
      <w:r w:rsidR="0063690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tumor with a poor progn</w:t>
      </w:r>
      <w:r w:rsidRPr="006671BA">
        <w:rPr>
          <w:rFonts w:asciiTheme="majorBidi" w:hAnsiTheme="majorBidi" w:cstheme="majorBidi"/>
          <w:sz w:val="24"/>
          <w:szCs w:val="24"/>
          <w:lang w:val="en-US"/>
        </w:rPr>
        <w:t xml:space="preserve">osis and high rate of mortality. Recently, systemic inflammation-based </w:t>
      </w:r>
      <w:r w:rsidR="00BB5C6E" w:rsidRPr="006671BA">
        <w:rPr>
          <w:rFonts w:asciiTheme="majorBidi" w:hAnsiTheme="majorBidi" w:cstheme="majorBidi"/>
          <w:sz w:val="24"/>
          <w:szCs w:val="24"/>
          <w:lang w:val="en-US"/>
        </w:rPr>
        <w:t>prognostic markers</w:t>
      </w:r>
      <w:r w:rsidRPr="006671BA">
        <w:rPr>
          <w:rFonts w:asciiTheme="majorBidi" w:hAnsiTheme="majorBidi" w:cstheme="majorBidi"/>
          <w:sz w:val="24"/>
          <w:szCs w:val="24"/>
          <w:lang w:val="en-US"/>
        </w:rPr>
        <w:t xml:space="preserve"> have been </w:t>
      </w:r>
      <w:r w:rsidR="00BB5C6E" w:rsidRPr="006671BA">
        <w:rPr>
          <w:rFonts w:asciiTheme="majorBidi" w:hAnsiTheme="majorBidi" w:cstheme="majorBidi"/>
          <w:sz w:val="24"/>
          <w:szCs w:val="24"/>
          <w:lang w:val="en-US"/>
        </w:rPr>
        <w:t>established</w:t>
      </w:r>
      <w:r w:rsidRPr="006671BA">
        <w:rPr>
          <w:rFonts w:asciiTheme="majorBidi" w:hAnsiTheme="majorBidi" w:cstheme="majorBidi"/>
          <w:sz w:val="24"/>
          <w:szCs w:val="24"/>
          <w:lang w:val="en-US"/>
        </w:rPr>
        <w:t xml:space="preserve"> to predict the prognosis in patients with pancreatic cancer.</w:t>
      </w:r>
      <w:r w:rsidR="0047470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Among those </w:t>
      </w:r>
      <w:r w:rsidR="00EA7FC1" w:rsidRPr="006671BA">
        <w:rPr>
          <w:rFonts w:asciiTheme="majorBidi" w:hAnsiTheme="majorBidi" w:cstheme="majorBidi"/>
          <w:sz w:val="24"/>
          <w:szCs w:val="24"/>
          <w:lang w:val="en-US"/>
        </w:rPr>
        <w:t>indicators,</w:t>
      </w:r>
      <w:r w:rsidR="0047470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we aimed to investigate the</w:t>
      </w:r>
      <w:r w:rsidR="00803661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utility </w:t>
      </w:r>
      <w:r w:rsidR="0047470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of </w:t>
      </w:r>
      <w:r w:rsidR="0047470B" w:rsidRPr="006671BA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 xml:space="preserve">neutrophil-to-lymphocyte ratio (NLR) </w:t>
      </w:r>
      <w:r w:rsidR="0047470B" w:rsidRPr="006671BA">
        <w:rPr>
          <w:rFonts w:asciiTheme="majorBidi" w:hAnsiTheme="majorBidi" w:cstheme="majorBidi"/>
          <w:sz w:val="24"/>
          <w:szCs w:val="24"/>
          <w:lang w:val="en-US"/>
        </w:rPr>
        <w:t>as prognos</w:t>
      </w:r>
      <w:r w:rsidR="00803661" w:rsidRPr="006671BA">
        <w:rPr>
          <w:rFonts w:asciiTheme="majorBidi" w:hAnsiTheme="majorBidi" w:cstheme="majorBidi"/>
          <w:sz w:val="24"/>
          <w:szCs w:val="24"/>
          <w:lang w:val="en-US"/>
        </w:rPr>
        <w:t xml:space="preserve">tic factors in </w:t>
      </w:r>
      <w:r w:rsidR="00B43D2C">
        <w:rPr>
          <w:rFonts w:asciiTheme="majorBidi" w:hAnsiTheme="majorBidi" w:cstheme="majorBidi"/>
          <w:sz w:val="24"/>
          <w:szCs w:val="24"/>
          <w:lang w:val="en-US"/>
        </w:rPr>
        <w:t xml:space="preserve">Tunisian </w:t>
      </w:r>
      <w:r w:rsidR="00803661" w:rsidRPr="006671BA">
        <w:rPr>
          <w:rFonts w:asciiTheme="majorBidi" w:hAnsiTheme="majorBidi" w:cstheme="majorBidi"/>
          <w:sz w:val="24"/>
          <w:szCs w:val="24"/>
          <w:lang w:val="en-US"/>
        </w:rPr>
        <w:t>advanced pancreatic cancer.</w:t>
      </w:r>
    </w:p>
    <w:p w14:paraId="3432479C" w14:textId="46289469" w:rsidR="00025AE8" w:rsidRDefault="00BF7728" w:rsidP="00430762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25AE8">
        <w:rPr>
          <w:rFonts w:asciiTheme="majorBidi" w:hAnsiTheme="majorBidi" w:cstheme="majorBidi"/>
          <w:b/>
          <w:bCs/>
          <w:sz w:val="24"/>
          <w:szCs w:val="24"/>
          <w:lang w:val="en-US"/>
        </w:rPr>
        <w:t>Methods:</w:t>
      </w:r>
      <w:r w:rsidR="0059318D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7CC3264E" w14:textId="2BA3BD81" w:rsidR="0059318D" w:rsidRPr="006671BA" w:rsidRDefault="0059318D" w:rsidP="00684A6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671BA">
        <w:rPr>
          <w:rFonts w:asciiTheme="majorBidi" w:hAnsiTheme="majorBidi" w:cstheme="majorBidi"/>
          <w:sz w:val="24"/>
          <w:szCs w:val="24"/>
          <w:lang w:val="en-US"/>
        </w:rPr>
        <w:t xml:space="preserve">A retrospective study was conducted at the department of Medical Oncology </w:t>
      </w:r>
      <w:r w:rsidR="00EA7FC1">
        <w:rPr>
          <w:rFonts w:asciiTheme="majorBidi" w:hAnsiTheme="majorBidi" w:cstheme="majorBidi"/>
          <w:sz w:val="24"/>
          <w:szCs w:val="24"/>
          <w:lang w:val="en-US"/>
        </w:rPr>
        <w:t xml:space="preserve">in </w:t>
      </w:r>
      <w:r w:rsidR="00CB252B" w:rsidRPr="006671BA">
        <w:rPr>
          <w:rFonts w:asciiTheme="majorBidi" w:hAnsiTheme="majorBidi" w:cstheme="majorBidi"/>
          <w:sz w:val="24"/>
          <w:szCs w:val="24"/>
          <w:lang w:val="en-US"/>
        </w:rPr>
        <w:t>Sfax,</w:t>
      </w:r>
      <w:r w:rsidRPr="006671BA">
        <w:rPr>
          <w:rFonts w:asciiTheme="majorBidi" w:hAnsiTheme="majorBidi" w:cstheme="majorBidi"/>
          <w:sz w:val="24"/>
          <w:szCs w:val="24"/>
          <w:lang w:val="en-US"/>
        </w:rPr>
        <w:t xml:space="preserve"> including 31 patients treated </w:t>
      </w:r>
      <w:r w:rsidR="00684A6C" w:rsidRPr="006671BA">
        <w:rPr>
          <w:rFonts w:asciiTheme="majorBidi" w:hAnsiTheme="majorBidi" w:cstheme="majorBidi"/>
          <w:sz w:val="24"/>
          <w:szCs w:val="24"/>
          <w:lang w:val="en-US"/>
        </w:rPr>
        <w:t>for a</w:t>
      </w:r>
      <w:r w:rsidRPr="006671BA">
        <w:rPr>
          <w:rFonts w:asciiTheme="majorBidi" w:hAnsiTheme="majorBidi" w:cstheme="majorBidi"/>
          <w:sz w:val="24"/>
          <w:szCs w:val="24"/>
          <w:lang w:val="en-US"/>
        </w:rPr>
        <w:t xml:space="preserve"> locally advanced or metastatic pancreatic </w:t>
      </w:r>
      <w:r w:rsidR="00CB252B" w:rsidRPr="006671BA">
        <w:rPr>
          <w:rFonts w:asciiTheme="majorBidi" w:hAnsiTheme="majorBidi" w:cstheme="majorBidi"/>
          <w:sz w:val="24"/>
          <w:szCs w:val="24"/>
          <w:lang w:val="en-US"/>
        </w:rPr>
        <w:t>cancer,</w:t>
      </w:r>
      <w:r w:rsidRPr="006671BA">
        <w:rPr>
          <w:rFonts w:asciiTheme="majorBidi" w:hAnsiTheme="majorBidi" w:cstheme="majorBidi"/>
          <w:sz w:val="24"/>
          <w:szCs w:val="24"/>
          <w:lang w:val="en-US"/>
        </w:rPr>
        <w:t xml:space="preserve"> from 2011 to 2017.</w:t>
      </w:r>
      <w:r w:rsidR="000A3DC5" w:rsidRPr="006671BA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 xml:space="preserve"> </w:t>
      </w:r>
      <w:r w:rsidR="009C1F8E" w:rsidRPr="009C1F8E">
        <w:rPr>
          <w:rFonts w:asciiTheme="majorBidi" w:hAnsiTheme="majorBidi" w:cstheme="majorBidi"/>
          <w:sz w:val="24"/>
          <w:szCs w:val="24"/>
          <w:lang w:val="en-US"/>
        </w:rPr>
        <w:t>NLR</w:t>
      </w:r>
      <w:r w:rsidR="00BF772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C1F8E" w:rsidRPr="009C1F8E">
        <w:rPr>
          <w:rFonts w:asciiTheme="majorBidi" w:hAnsiTheme="majorBidi" w:cstheme="majorBidi"/>
          <w:sz w:val="24"/>
          <w:szCs w:val="24"/>
          <w:lang w:val="en-US"/>
        </w:rPr>
        <w:t>was evaluated and correlated with survival. Value cutoffs were adopted to</w:t>
      </w:r>
      <w:r w:rsidR="009C1F8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C1F8E" w:rsidRPr="009C1F8E">
        <w:rPr>
          <w:rFonts w:asciiTheme="majorBidi" w:hAnsiTheme="majorBidi" w:cstheme="majorBidi"/>
          <w:sz w:val="24"/>
          <w:szCs w:val="24"/>
          <w:lang w:val="en-US"/>
        </w:rPr>
        <w:t>discriminate patients as follows: low NLR &lt; 3 and high NLR</w:t>
      </w:r>
      <w:r w:rsidR="009C1F8E">
        <w:rPr>
          <w:rFonts w:asciiTheme="majorBidi" w:hAnsiTheme="majorBidi" w:cstheme="majorBidi"/>
          <w:sz w:val="24"/>
          <w:szCs w:val="24"/>
          <w:lang w:val="en-US"/>
        </w:rPr>
        <w:t>≥6</w:t>
      </w:r>
      <w:r w:rsidR="00684A6C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6B401EF5" w14:textId="5A918F61" w:rsidR="00025AE8" w:rsidRDefault="00BF7728" w:rsidP="00430762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25AE8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Results:</w:t>
      </w:r>
      <w:r w:rsidR="0059318D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65A17E29" w14:textId="0E4D066B" w:rsidR="00FB61F1" w:rsidRPr="006671BA" w:rsidRDefault="0059318D" w:rsidP="00BF772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671BA">
        <w:rPr>
          <w:rFonts w:asciiTheme="majorBidi" w:hAnsiTheme="majorBidi" w:cstheme="majorBidi"/>
          <w:sz w:val="24"/>
          <w:szCs w:val="24"/>
          <w:lang w:val="en-US"/>
        </w:rPr>
        <w:t xml:space="preserve">A total 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of 31 </w:t>
      </w:r>
      <w:r w:rsidR="009C1F8E" w:rsidRPr="006671BA">
        <w:rPr>
          <w:rFonts w:asciiTheme="majorBidi" w:hAnsiTheme="majorBidi" w:cstheme="majorBidi"/>
          <w:sz w:val="24"/>
          <w:szCs w:val="24"/>
          <w:lang w:val="en-US"/>
        </w:rPr>
        <w:t>patients were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included.</w:t>
      </w:r>
      <w:r w:rsidR="00684A6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>T</w:t>
      </w:r>
      <w:r w:rsidRPr="006671BA">
        <w:rPr>
          <w:rFonts w:asciiTheme="majorBidi" w:hAnsiTheme="majorBidi" w:cstheme="majorBidi"/>
          <w:sz w:val="24"/>
          <w:szCs w:val="24"/>
          <w:lang w:val="en-US"/>
        </w:rPr>
        <w:t xml:space="preserve">he median age was 60 years [range 36-77]. </w:t>
      </w:r>
      <w:r w:rsidR="00BF7728" w:rsidRPr="006671BA">
        <w:rPr>
          <w:rFonts w:asciiTheme="majorBidi" w:hAnsiTheme="majorBidi" w:cstheme="majorBidi"/>
          <w:sz w:val="24"/>
          <w:szCs w:val="24"/>
          <w:lang w:val="en-US"/>
        </w:rPr>
        <w:t>Sixty-one</w:t>
      </w:r>
      <w:r w:rsidRPr="006671BA">
        <w:rPr>
          <w:rFonts w:asciiTheme="majorBidi" w:hAnsiTheme="majorBidi" w:cstheme="majorBidi"/>
          <w:sz w:val="24"/>
          <w:szCs w:val="24"/>
          <w:lang w:val="en-US"/>
        </w:rPr>
        <w:t xml:space="preserve"> per cent were male 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>and 29% h</w:t>
      </w:r>
      <w:r w:rsidR="00CB00C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ad </w:t>
      </w:r>
      <w:r w:rsidR="009C1F8E">
        <w:rPr>
          <w:rFonts w:asciiTheme="majorBidi" w:hAnsiTheme="majorBidi" w:cstheme="majorBidi"/>
          <w:sz w:val="24"/>
          <w:szCs w:val="24"/>
          <w:lang w:val="en-US"/>
        </w:rPr>
        <w:t xml:space="preserve">a </w:t>
      </w:r>
      <w:r w:rsidR="00BF7728">
        <w:rPr>
          <w:rFonts w:asciiTheme="majorBidi" w:hAnsiTheme="majorBidi" w:cstheme="majorBidi"/>
          <w:sz w:val="24"/>
          <w:szCs w:val="24"/>
          <w:lang w:val="en-US"/>
        </w:rPr>
        <w:t>p</w:t>
      </w:r>
      <w:r w:rsidR="00BF7728" w:rsidRPr="006671BA">
        <w:rPr>
          <w:rFonts w:asciiTheme="majorBidi" w:hAnsiTheme="majorBidi" w:cstheme="majorBidi"/>
          <w:sz w:val="24"/>
          <w:szCs w:val="24"/>
          <w:lang w:val="en-US"/>
        </w:rPr>
        <w:t>erformance</w:t>
      </w:r>
      <w:r w:rsidR="00CB00C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C1F8E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CB00CB" w:rsidRPr="006671BA">
        <w:rPr>
          <w:rFonts w:asciiTheme="majorBidi" w:hAnsiTheme="majorBidi" w:cstheme="majorBidi"/>
          <w:sz w:val="24"/>
          <w:szCs w:val="24"/>
          <w:lang w:val="en-US"/>
        </w:rPr>
        <w:t>tatus</w:t>
      </w:r>
      <w:r w:rsidR="009459BA">
        <w:rPr>
          <w:rFonts w:asciiTheme="majorBidi" w:hAnsiTheme="majorBidi" w:cstheme="majorBidi"/>
          <w:sz w:val="24"/>
          <w:szCs w:val="24"/>
          <w:lang w:val="en-US"/>
        </w:rPr>
        <w:t xml:space="preserve"> (PS)</w:t>
      </w:r>
      <w:r w:rsidR="00CB00C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B00CB" w:rsidRPr="006671BA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>≥</w:t>
      </w:r>
      <w:r w:rsidR="00931371" w:rsidRPr="006671BA">
        <w:rPr>
          <w:rFonts w:asciiTheme="majorBidi" w:hAnsiTheme="majorBidi" w:cstheme="majorBidi"/>
          <w:sz w:val="24"/>
          <w:szCs w:val="24"/>
          <w:lang w:val="en-US"/>
        </w:rPr>
        <w:t xml:space="preserve">2. The median duration to consult 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>was 2,7 months and the main symptom</w:t>
      </w:r>
      <w:r w:rsidR="00931371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B1AFF">
        <w:rPr>
          <w:rFonts w:asciiTheme="majorBidi" w:hAnsiTheme="majorBidi" w:cstheme="majorBidi"/>
          <w:sz w:val="24"/>
          <w:szCs w:val="24"/>
          <w:lang w:val="en-US"/>
        </w:rPr>
        <w:t>for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consult</w:t>
      </w:r>
      <w:r w:rsidR="00FB1AFF">
        <w:rPr>
          <w:rFonts w:asciiTheme="majorBidi" w:hAnsiTheme="majorBidi" w:cstheme="majorBidi"/>
          <w:sz w:val="24"/>
          <w:szCs w:val="24"/>
          <w:lang w:val="en-US"/>
        </w:rPr>
        <w:t>ation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was abdominal pain (87%) followed </w:t>
      </w:r>
      <w:r w:rsidR="009C1F8E" w:rsidRPr="006671BA">
        <w:rPr>
          <w:rFonts w:asciiTheme="majorBidi" w:hAnsiTheme="majorBidi" w:cstheme="majorBidi"/>
          <w:sz w:val="24"/>
          <w:szCs w:val="24"/>
          <w:lang w:val="en-US"/>
        </w:rPr>
        <w:t>by jaundice</w:t>
      </w:r>
      <w:r w:rsidR="00BF772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31371" w:rsidRPr="006671BA">
        <w:rPr>
          <w:rFonts w:asciiTheme="majorBidi" w:hAnsiTheme="majorBidi" w:cstheme="majorBidi"/>
          <w:sz w:val="24"/>
          <w:szCs w:val="24"/>
          <w:lang w:val="en-US"/>
        </w:rPr>
        <w:t>(29%) and weight loss</w:t>
      </w:r>
      <w:r w:rsidR="00CB00C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31371" w:rsidRPr="006671BA">
        <w:rPr>
          <w:rFonts w:asciiTheme="majorBidi" w:hAnsiTheme="majorBidi" w:cstheme="majorBidi"/>
          <w:sz w:val="24"/>
          <w:szCs w:val="24"/>
          <w:lang w:val="en-US"/>
        </w:rPr>
        <w:t xml:space="preserve">(26%). </w:t>
      </w:r>
      <w:r w:rsidR="00BF7728">
        <w:rPr>
          <w:rFonts w:asciiTheme="majorBidi" w:hAnsiTheme="majorBidi" w:cstheme="majorBidi"/>
          <w:sz w:val="24"/>
          <w:szCs w:val="24"/>
          <w:lang w:val="en-US"/>
        </w:rPr>
        <w:t>T</w:t>
      </w:r>
      <w:r w:rsidR="00103C29" w:rsidRPr="006671BA">
        <w:rPr>
          <w:rFonts w:asciiTheme="majorBidi" w:hAnsiTheme="majorBidi" w:cstheme="majorBidi"/>
          <w:sz w:val="24"/>
          <w:szCs w:val="24"/>
          <w:lang w:val="en-US"/>
        </w:rPr>
        <w:t>he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median size was 45 mm</w:t>
      </w:r>
      <w:r w:rsidR="009C1F8E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684A6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C1F8E">
        <w:rPr>
          <w:rFonts w:asciiTheme="majorBidi" w:hAnsiTheme="majorBidi" w:cstheme="majorBidi"/>
          <w:sz w:val="24"/>
          <w:szCs w:val="24"/>
          <w:lang w:val="en-US"/>
        </w:rPr>
        <w:t>M</w:t>
      </w:r>
      <w:r w:rsidR="00931371" w:rsidRPr="006671BA">
        <w:rPr>
          <w:rFonts w:asciiTheme="majorBidi" w:hAnsiTheme="majorBidi" w:cstheme="majorBidi"/>
          <w:sz w:val="24"/>
          <w:szCs w:val="24"/>
          <w:lang w:val="en-US"/>
        </w:rPr>
        <w:t>etastases were founded in 16 patients (51,6%)</w:t>
      </w:r>
      <w:r w:rsidR="000558F7" w:rsidRPr="006671BA">
        <w:rPr>
          <w:rFonts w:asciiTheme="majorBidi" w:hAnsiTheme="majorBidi" w:cstheme="majorBidi"/>
          <w:sz w:val="24"/>
          <w:szCs w:val="24"/>
          <w:lang w:val="en-US"/>
        </w:rPr>
        <w:t xml:space="preserve">. Chemotherapy was 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indicated in 19 </w:t>
      </w:r>
      <w:r w:rsidR="00103C29" w:rsidRPr="006671BA">
        <w:rPr>
          <w:rFonts w:asciiTheme="majorBidi" w:hAnsiTheme="majorBidi" w:cstheme="majorBidi"/>
          <w:sz w:val="24"/>
          <w:szCs w:val="24"/>
          <w:lang w:val="en-US"/>
        </w:rPr>
        <w:t>patients,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in</w:t>
      </w:r>
      <w:r w:rsidR="00BF7728">
        <w:rPr>
          <w:rFonts w:asciiTheme="majorBidi" w:hAnsiTheme="majorBidi" w:cstheme="majorBidi"/>
          <w:sz w:val="24"/>
          <w:szCs w:val="24"/>
          <w:lang w:val="en-US"/>
        </w:rPr>
        <w:t xml:space="preserve"> 38%</w:t>
      </w:r>
      <w:r w:rsidR="00BF7728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BF7728">
        <w:rPr>
          <w:rFonts w:asciiTheme="majorBidi" w:hAnsiTheme="majorBidi" w:cstheme="majorBidi"/>
          <w:sz w:val="24"/>
          <w:szCs w:val="24"/>
          <w:lang w:val="en-US"/>
        </w:rPr>
        <w:t xml:space="preserve">in case of 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>ne</w:t>
      </w:r>
      <w:r w:rsidR="00103C29" w:rsidRPr="006671BA">
        <w:rPr>
          <w:rFonts w:asciiTheme="majorBidi" w:hAnsiTheme="majorBidi" w:cstheme="majorBidi"/>
          <w:sz w:val="24"/>
          <w:szCs w:val="24"/>
          <w:lang w:val="en-US"/>
        </w:rPr>
        <w:t xml:space="preserve">oadjuvant </w:t>
      </w:r>
      <w:r w:rsidR="00BF7728" w:rsidRPr="006671BA">
        <w:rPr>
          <w:rFonts w:asciiTheme="majorBidi" w:hAnsiTheme="majorBidi" w:cstheme="majorBidi"/>
          <w:sz w:val="24"/>
          <w:szCs w:val="24"/>
          <w:lang w:val="en-US"/>
        </w:rPr>
        <w:t>situation</w:t>
      </w:r>
      <w:r w:rsidR="00BF772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BF7728" w:rsidRPr="006671BA">
        <w:rPr>
          <w:rFonts w:asciiTheme="majorBidi" w:hAnsiTheme="majorBidi" w:cstheme="majorBidi"/>
          <w:sz w:val="24"/>
          <w:szCs w:val="24"/>
          <w:lang w:val="en-US"/>
        </w:rPr>
        <w:t>and</w:t>
      </w:r>
      <w:r w:rsidR="00103C29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BF7728">
        <w:rPr>
          <w:rFonts w:asciiTheme="majorBidi" w:hAnsiTheme="majorBidi" w:cstheme="majorBidi"/>
          <w:sz w:val="24"/>
          <w:szCs w:val="24"/>
          <w:lang w:val="en-US"/>
        </w:rPr>
        <w:t>51% for</w:t>
      </w:r>
      <w:r w:rsidR="00103C29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BF7728">
        <w:rPr>
          <w:rFonts w:asciiTheme="majorBidi" w:hAnsiTheme="majorBidi" w:cstheme="majorBidi"/>
          <w:sz w:val="24"/>
          <w:szCs w:val="24"/>
          <w:lang w:val="en-US"/>
        </w:rPr>
        <w:t>metastatic cases</w:t>
      </w:r>
      <w:r w:rsidR="00CB00C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9C1F8E" w:rsidRPr="006671BA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>NLR</w:t>
      </w:r>
      <w:r w:rsidR="009C1F8E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 xml:space="preserve"> was </w:t>
      </w:r>
      <w:r w:rsidR="009C1F8E" w:rsidRPr="006671BA">
        <w:rPr>
          <w:rFonts w:asciiTheme="majorBidi" w:eastAsia="MS Mincho" w:hAnsiTheme="majorBidi" w:cstheme="majorBidi"/>
          <w:color w:val="212121"/>
          <w:sz w:val="24"/>
          <w:szCs w:val="24"/>
          <w:shd w:val="clear" w:color="auto" w:fill="FFFFFF"/>
          <w:lang w:val="en-US"/>
        </w:rPr>
        <w:t>&lt;6</w:t>
      </w:r>
      <w:r w:rsidR="009C1F8E" w:rsidRPr="006671BA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 xml:space="preserve"> </w:t>
      </w:r>
      <w:r w:rsidR="009C1F8E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 xml:space="preserve">in </w:t>
      </w:r>
      <w:r w:rsidR="009C1F8E" w:rsidRPr="006671BA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>24</w:t>
      </w:r>
      <w:r w:rsidR="009C1F8E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 xml:space="preserve"> cases</w:t>
      </w:r>
      <w:r w:rsidR="00556DCE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 xml:space="preserve"> and </w:t>
      </w:r>
      <w:r w:rsidR="009C1F8E" w:rsidRPr="006671BA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 xml:space="preserve">≥6 </w:t>
      </w:r>
      <w:r w:rsidR="009C1F8E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 xml:space="preserve">in </w:t>
      </w:r>
      <w:r w:rsidR="009C1F8E" w:rsidRPr="006671BA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>7</w:t>
      </w:r>
      <w:r w:rsidR="009C1F8E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 xml:space="preserve"> cases</w:t>
      </w:r>
      <w:r w:rsidR="009C1F8E" w:rsidRPr="006671BA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>.</w:t>
      </w:r>
      <w:r w:rsidR="00BF7728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 xml:space="preserve"> </w:t>
      </w:r>
      <w:r w:rsidR="00CB00CB" w:rsidRPr="006671BA">
        <w:rPr>
          <w:rFonts w:asciiTheme="majorBidi" w:hAnsiTheme="majorBidi" w:cstheme="majorBidi"/>
          <w:sz w:val="24"/>
          <w:szCs w:val="24"/>
          <w:lang w:val="en-US"/>
        </w:rPr>
        <w:t>The median overall survival (OS)</w:t>
      </w:r>
      <w:r w:rsidR="000558F7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was 7 months</w:t>
      </w:r>
      <w:r w:rsidR="00B60E1B" w:rsidRPr="006671BA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0558F7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56DCE">
        <w:rPr>
          <w:rFonts w:asciiTheme="majorBidi" w:hAnsiTheme="majorBidi" w:cstheme="majorBidi"/>
          <w:sz w:val="24"/>
          <w:szCs w:val="24"/>
          <w:lang w:val="en-US"/>
        </w:rPr>
        <w:t>The 1-year and 2-year OS was respectively 12.9% and 3.2%. NLR ≥6 was associated with lower OS (1-year OS</w:t>
      </w:r>
      <w:r w:rsidR="00C64ABD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56DCE">
        <w:rPr>
          <w:rFonts w:asciiTheme="majorBidi" w:hAnsiTheme="majorBidi" w:cstheme="majorBidi"/>
          <w:sz w:val="24"/>
          <w:szCs w:val="24"/>
          <w:lang w:val="en-US"/>
        </w:rPr>
        <w:t>0% vs 16.7%</w:t>
      </w:r>
      <w:r w:rsidR="00C64ABD">
        <w:rPr>
          <w:rFonts w:asciiTheme="majorBidi" w:hAnsiTheme="majorBidi" w:cstheme="majorBidi"/>
          <w:sz w:val="24"/>
          <w:szCs w:val="24"/>
          <w:lang w:val="en-US"/>
        </w:rPr>
        <w:t>, p=0.0001).</w:t>
      </w:r>
      <w:r w:rsidR="00AC782E">
        <w:rPr>
          <w:rFonts w:asciiTheme="majorBidi" w:hAnsiTheme="majorBidi" w:cstheme="majorBidi"/>
          <w:sz w:val="24"/>
          <w:szCs w:val="24"/>
          <w:lang w:val="en-US"/>
        </w:rPr>
        <w:t xml:space="preserve"> Other prognosis factors were </w:t>
      </w:r>
      <w:r w:rsidR="009459BA">
        <w:rPr>
          <w:rFonts w:asciiTheme="majorBidi" w:hAnsiTheme="majorBidi" w:cstheme="majorBidi"/>
          <w:sz w:val="24"/>
          <w:szCs w:val="24"/>
          <w:lang w:val="en-US"/>
        </w:rPr>
        <w:t xml:space="preserve">PS </w:t>
      </w:r>
      <w:r w:rsidR="009459BA" w:rsidRPr="006671BA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US"/>
        </w:rPr>
        <w:t>≥</w:t>
      </w:r>
      <w:r w:rsidR="009459BA" w:rsidRPr="006671BA">
        <w:rPr>
          <w:rFonts w:asciiTheme="majorBidi" w:hAnsiTheme="majorBidi" w:cstheme="majorBidi"/>
          <w:sz w:val="24"/>
          <w:szCs w:val="24"/>
          <w:lang w:val="en-US"/>
        </w:rPr>
        <w:t>2</w:t>
      </w:r>
      <w:r w:rsidR="009459BA">
        <w:rPr>
          <w:rFonts w:asciiTheme="majorBidi" w:hAnsiTheme="majorBidi" w:cstheme="majorBidi"/>
          <w:sz w:val="24"/>
          <w:szCs w:val="24"/>
          <w:lang w:val="en-US"/>
        </w:rPr>
        <w:t>, high rate of CA19-9</w:t>
      </w:r>
      <w:r w:rsidR="00177CA0">
        <w:rPr>
          <w:rFonts w:asciiTheme="majorBidi" w:hAnsiTheme="majorBidi" w:cstheme="majorBidi"/>
          <w:sz w:val="24"/>
          <w:szCs w:val="24"/>
          <w:lang w:val="en-US"/>
        </w:rPr>
        <w:t xml:space="preserve"> and stage IV</w:t>
      </w:r>
      <w:r w:rsidR="009459BA">
        <w:rPr>
          <w:rFonts w:asciiTheme="majorBidi" w:hAnsiTheme="majorBidi" w:cstheme="majorBidi"/>
          <w:sz w:val="24"/>
          <w:szCs w:val="24"/>
          <w:lang w:val="en-US"/>
        </w:rPr>
        <w:t xml:space="preserve"> (p= 0.001</w:t>
      </w:r>
      <w:r w:rsidR="003557B1">
        <w:rPr>
          <w:rFonts w:asciiTheme="majorBidi" w:hAnsiTheme="majorBidi" w:cstheme="majorBidi"/>
          <w:sz w:val="24"/>
          <w:szCs w:val="24"/>
          <w:lang w:val="en-US"/>
        </w:rPr>
        <w:t xml:space="preserve">, p=0.021, </w:t>
      </w:r>
      <w:r w:rsidR="00177CA0">
        <w:rPr>
          <w:rFonts w:asciiTheme="majorBidi" w:hAnsiTheme="majorBidi" w:cstheme="majorBidi"/>
          <w:sz w:val="24"/>
          <w:szCs w:val="24"/>
          <w:lang w:val="en-US"/>
        </w:rPr>
        <w:t>p=0.027)</w:t>
      </w:r>
      <w:r w:rsidR="009C7DE2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4867879F" w14:textId="2562D522" w:rsidR="00025AE8" w:rsidRDefault="00BF7728" w:rsidP="00430762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25AE8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Conclusion:</w:t>
      </w:r>
      <w:r w:rsidR="00CB00C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7F71E699" w14:textId="4DC02375" w:rsidR="00CB00CB" w:rsidRPr="006671BA" w:rsidRDefault="00177CA0" w:rsidP="00430762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lastRenderedPageBreak/>
        <w:t xml:space="preserve">Our study concluded that </w:t>
      </w:r>
      <w:r w:rsidRPr="00177CA0">
        <w:rPr>
          <w:rFonts w:asciiTheme="majorBidi" w:hAnsiTheme="majorBidi" w:cstheme="majorBidi"/>
          <w:sz w:val="24"/>
          <w:szCs w:val="24"/>
          <w:lang w:val="en-US"/>
        </w:rPr>
        <w:t>in addition to the other prognosis</w:t>
      </w:r>
      <w:r w:rsidR="00FB1AFF">
        <w:rPr>
          <w:rFonts w:asciiTheme="majorBidi" w:hAnsiTheme="majorBidi" w:cstheme="majorBidi"/>
          <w:sz w:val="24"/>
          <w:szCs w:val="24"/>
          <w:lang w:val="en-US"/>
        </w:rPr>
        <w:t xml:space="preserve"> factors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FB1AFF">
        <w:rPr>
          <w:rFonts w:asciiTheme="majorBidi" w:hAnsiTheme="majorBidi" w:cstheme="majorBidi"/>
          <w:sz w:val="24"/>
          <w:szCs w:val="24"/>
          <w:lang w:val="en-US"/>
        </w:rPr>
        <w:t>i</w:t>
      </w:r>
      <w:r w:rsidR="00FB1AFF" w:rsidRPr="006671BA">
        <w:rPr>
          <w:rFonts w:asciiTheme="majorBidi" w:hAnsiTheme="majorBidi" w:cstheme="majorBidi"/>
          <w:sz w:val="24"/>
          <w:szCs w:val="24"/>
          <w:lang w:val="en-US"/>
        </w:rPr>
        <w:t>nflammation-based</w:t>
      </w:r>
      <w:r w:rsidR="0045144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markers such as NLR</w:t>
      </w:r>
      <w:r w:rsidR="003B2F39">
        <w:rPr>
          <w:rFonts w:asciiTheme="majorBidi" w:hAnsiTheme="majorBidi" w:cstheme="majorBidi"/>
          <w:sz w:val="24"/>
          <w:szCs w:val="24"/>
          <w:lang w:val="en-US"/>
        </w:rPr>
        <w:t xml:space="preserve"> ≥6</w:t>
      </w:r>
      <w:r w:rsidR="0045144B" w:rsidRPr="006671BA">
        <w:rPr>
          <w:rFonts w:asciiTheme="majorBidi" w:hAnsiTheme="majorBidi" w:cstheme="majorBidi"/>
          <w:sz w:val="24"/>
          <w:szCs w:val="24"/>
          <w:lang w:val="en-US"/>
        </w:rPr>
        <w:t xml:space="preserve"> may be useful as prognostic factors for </w:t>
      </w:r>
      <w:r w:rsidR="000652ED">
        <w:rPr>
          <w:rFonts w:asciiTheme="majorBidi" w:hAnsiTheme="majorBidi" w:cstheme="majorBidi"/>
          <w:sz w:val="24"/>
          <w:szCs w:val="24"/>
          <w:lang w:val="en-US"/>
        </w:rPr>
        <w:t xml:space="preserve">advanced </w:t>
      </w:r>
      <w:r w:rsidR="0045144B" w:rsidRPr="006671BA">
        <w:rPr>
          <w:rFonts w:asciiTheme="majorBidi" w:hAnsiTheme="majorBidi" w:cstheme="majorBidi"/>
          <w:sz w:val="24"/>
          <w:szCs w:val="24"/>
          <w:lang w:val="en-US"/>
        </w:rPr>
        <w:t>pancreatic cancer.</w:t>
      </w:r>
    </w:p>
    <w:p w14:paraId="2ADF3F17" w14:textId="77777777" w:rsidR="006E6F2B" w:rsidRPr="006671BA" w:rsidRDefault="006E6F2B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sectPr w:rsidR="006E6F2B" w:rsidRPr="006671BA" w:rsidSect="00494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B94"/>
    <w:rsid w:val="00025AE8"/>
    <w:rsid w:val="000558F7"/>
    <w:rsid w:val="000652ED"/>
    <w:rsid w:val="000A3DC5"/>
    <w:rsid w:val="000C3F9E"/>
    <w:rsid w:val="00103C29"/>
    <w:rsid w:val="00177CA0"/>
    <w:rsid w:val="00246E97"/>
    <w:rsid w:val="00295C26"/>
    <w:rsid w:val="003557B1"/>
    <w:rsid w:val="003A5296"/>
    <w:rsid w:val="003B2F39"/>
    <w:rsid w:val="00430762"/>
    <w:rsid w:val="0045144B"/>
    <w:rsid w:val="0047470B"/>
    <w:rsid w:val="0049472D"/>
    <w:rsid w:val="0051146C"/>
    <w:rsid w:val="00556DCE"/>
    <w:rsid w:val="0059318D"/>
    <w:rsid w:val="0063690B"/>
    <w:rsid w:val="006671BA"/>
    <w:rsid w:val="00684A6C"/>
    <w:rsid w:val="006E6F2B"/>
    <w:rsid w:val="00803661"/>
    <w:rsid w:val="00810000"/>
    <w:rsid w:val="00812FF1"/>
    <w:rsid w:val="00863B94"/>
    <w:rsid w:val="00931371"/>
    <w:rsid w:val="009459BA"/>
    <w:rsid w:val="009C1F8E"/>
    <w:rsid w:val="009C7DE2"/>
    <w:rsid w:val="00AC782E"/>
    <w:rsid w:val="00B175A2"/>
    <w:rsid w:val="00B43D2C"/>
    <w:rsid w:val="00B60E1B"/>
    <w:rsid w:val="00B646E2"/>
    <w:rsid w:val="00BB5C6E"/>
    <w:rsid w:val="00BB7199"/>
    <w:rsid w:val="00BF7728"/>
    <w:rsid w:val="00C64ABD"/>
    <w:rsid w:val="00CB00CB"/>
    <w:rsid w:val="00CB252B"/>
    <w:rsid w:val="00E267C5"/>
    <w:rsid w:val="00EA7FC1"/>
    <w:rsid w:val="00FB1AFF"/>
    <w:rsid w:val="00FB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DC737"/>
  <w15:docId w15:val="{33080AEE-C9A0-48C6-AB7B-95B4838E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72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309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Wala Ben Kridis</cp:lastModifiedBy>
  <cp:revision>15</cp:revision>
  <dcterms:created xsi:type="dcterms:W3CDTF">2021-02-07T20:39:00Z</dcterms:created>
  <dcterms:modified xsi:type="dcterms:W3CDTF">2021-06-23T19:14:00Z</dcterms:modified>
</cp:coreProperties>
</file>