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D6E62" w14:textId="77777777" w:rsidR="00556971" w:rsidRPr="00D7689C" w:rsidRDefault="00556971">
      <w:pPr>
        <w:rPr>
          <w:rFonts w:cstheme="minorHAnsi"/>
          <w:color w:val="2F5496" w:themeColor="accent1" w:themeShade="BF"/>
          <w:sz w:val="28"/>
          <w:szCs w:val="28"/>
        </w:rPr>
      </w:pPr>
      <w:bookmarkStart w:id="0" w:name="_Hlk55564427"/>
      <w:r w:rsidRPr="00D7689C">
        <w:rPr>
          <w:rFonts w:cstheme="minorHAnsi"/>
          <w:color w:val="2F5496" w:themeColor="accent1" w:themeShade="BF"/>
          <w:sz w:val="28"/>
          <w:szCs w:val="28"/>
        </w:rPr>
        <w:t>Gastric carcinogenesis may now be understood by correct identification of cell of origin based on improved tumour classification and physiology</w:t>
      </w:r>
    </w:p>
    <w:bookmarkEnd w:id="0"/>
    <w:p w14:paraId="67108296" w14:textId="77777777" w:rsidR="00556971" w:rsidRPr="001C2AEE" w:rsidRDefault="00556971">
      <w:pPr>
        <w:rPr>
          <w:rFonts w:ascii="Arial" w:hAnsi="Arial" w:cs="Arial"/>
          <w:sz w:val="20"/>
          <w:szCs w:val="20"/>
        </w:rPr>
      </w:pPr>
      <w:r w:rsidRPr="001C2AEE">
        <w:rPr>
          <w:rFonts w:ascii="Arial" w:hAnsi="Arial" w:cs="Arial"/>
          <w:sz w:val="20"/>
          <w:szCs w:val="20"/>
        </w:rPr>
        <w:t>Helge L. Waldum</w:t>
      </w:r>
    </w:p>
    <w:p w14:paraId="7F6E9E4A" w14:textId="77777777" w:rsidR="00556971" w:rsidRPr="001C2AEE" w:rsidRDefault="00556971" w:rsidP="000133ED">
      <w:pPr>
        <w:rPr>
          <w:rFonts w:ascii="Arial" w:hAnsi="Arial" w:cs="Arial"/>
          <w:sz w:val="20"/>
          <w:szCs w:val="20"/>
        </w:rPr>
      </w:pPr>
      <w:r w:rsidRPr="001C2AEE">
        <w:rPr>
          <w:rFonts w:ascii="Arial" w:hAnsi="Arial" w:cs="Arial"/>
          <w:sz w:val="20"/>
          <w:szCs w:val="20"/>
        </w:rPr>
        <w:t>Department of Clinical and Molecular Medicine, Faculty of Medicine and Health Sciences, Norwegian University of Science and Technology, Trondheim, Norway</w:t>
      </w:r>
    </w:p>
    <w:p w14:paraId="51BB6901" w14:textId="77777777" w:rsidR="00556971" w:rsidRDefault="00556971" w:rsidP="000F4943">
      <w:pPr>
        <w:pStyle w:val="MDPI16affiliation"/>
      </w:pPr>
    </w:p>
    <w:p w14:paraId="3D547BCD" w14:textId="77777777" w:rsidR="000133ED" w:rsidRDefault="000133ED" w:rsidP="000F4943">
      <w:pPr>
        <w:pStyle w:val="MDPI16affiliation"/>
        <w:sectPr w:rsidR="000133ED" w:rsidSect="00895FE5">
          <w:pgSz w:w="11906" w:h="16838"/>
          <w:pgMar w:top="1440" w:right="1440" w:bottom="1440" w:left="1440" w:header="708" w:footer="708" w:gutter="0"/>
          <w:cols w:space="708"/>
          <w:docGrid w:linePitch="360"/>
        </w:sectPr>
      </w:pPr>
    </w:p>
    <w:p w14:paraId="1DB82967" w14:textId="5B404E22" w:rsidR="00556971" w:rsidRPr="001C2AEE" w:rsidRDefault="00556971" w:rsidP="000133ED">
      <w:pPr>
        <w:rPr>
          <w:rFonts w:ascii="Tw Cen MT" w:hAnsi="Tw Cen MT"/>
          <w:sz w:val="18"/>
          <w:szCs w:val="18"/>
        </w:rPr>
      </w:pPr>
      <w:r w:rsidRPr="001C2AEE">
        <w:rPr>
          <w:rFonts w:ascii="Tw Cen MT" w:hAnsi="Tw Cen MT"/>
          <w:sz w:val="18"/>
          <w:szCs w:val="18"/>
        </w:rPr>
        <w:t xml:space="preserve">The etiology of gastric cancer like for most other malignancies has been incompletely understood. In the late forties it was recognized that gastric cancer was associated to reduced acid secretion, and in the fifties that gastric cancer seldom was found without accompanying gastritis. With the description of the central role of Helicobacter pylori (Hp) in gastritis </w:t>
      </w:r>
      <w:r w:rsidRPr="001C2AEE">
        <w:rPr>
          <w:rFonts w:ascii="Tw Cen MT" w:hAnsi="Tw Cen MT"/>
          <w:noProof/>
          <w:sz w:val="18"/>
          <w:szCs w:val="18"/>
        </w:rPr>
        <w:t>[1]</w:t>
      </w:r>
      <w:r w:rsidRPr="001C2AEE">
        <w:rPr>
          <w:rFonts w:ascii="Tw Cen MT" w:hAnsi="Tw Cen MT"/>
          <w:sz w:val="18"/>
          <w:szCs w:val="18"/>
        </w:rPr>
        <w:t xml:space="preserve">, it was soon realized that Hp was the major cause of gastric cancer </w:t>
      </w:r>
      <w:r w:rsidRPr="001C2AEE">
        <w:rPr>
          <w:rFonts w:ascii="Tw Cen MT" w:hAnsi="Tw Cen MT"/>
          <w:noProof/>
          <w:sz w:val="18"/>
          <w:szCs w:val="18"/>
        </w:rPr>
        <w:t>[2]</w:t>
      </w:r>
      <w:r w:rsidRPr="001C2AEE">
        <w:rPr>
          <w:rFonts w:ascii="Tw Cen MT" w:hAnsi="Tw Cen MT"/>
          <w:sz w:val="18"/>
          <w:szCs w:val="18"/>
        </w:rPr>
        <w:t xml:space="preserve">. However, the mechanism for this carcinogenic effect was not found. A major indication of how Hp predisposes to gastric cancer was given when Uemura </w:t>
      </w:r>
      <w:r w:rsidRPr="001C2AEE">
        <w:rPr>
          <w:rFonts w:ascii="Tw Cen MT" w:hAnsi="Tw Cen MT"/>
          <w:noProof/>
          <w:sz w:val="18"/>
          <w:szCs w:val="18"/>
        </w:rPr>
        <w:t>[3]</w:t>
      </w:r>
      <w:r w:rsidRPr="001C2AEE">
        <w:rPr>
          <w:rFonts w:ascii="Tw Cen MT" w:hAnsi="Tw Cen MT"/>
          <w:sz w:val="18"/>
          <w:szCs w:val="18"/>
        </w:rPr>
        <w:t xml:space="preserve"> described that Hp gastritis predisposes to gastric cancer first after having induced oxyntic atrophy. Moreover, it became evident that the carcinogenic process did continue even after Hp eradication by drugs or loss of Hp infection due to anacidity. Thus, in patients with Hp atrophic gastritis cancer can develop decades after loss of Hp </w:t>
      </w:r>
      <w:r w:rsidRPr="001C2AEE">
        <w:rPr>
          <w:rFonts w:ascii="Tw Cen MT" w:hAnsi="Tw Cen MT"/>
          <w:noProof/>
          <w:sz w:val="18"/>
          <w:szCs w:val="18"/>
        </w:rPr>
        <w:t>[4]</w:t>
      </w:r>
      <w:r w:rsidRPr="001C2AEE">
        <w:rPr>
          <w:rFonts w:ascii="Tw Cen MT" w:hAnsi="Tw Cen MT"/>
          <w:sz w:val="18"/>
          <w:szCs w:val="18"/>
        </w:rPr>
        <w:t xml:space="preserve"> clearly indicating that the carcinogenic effect of Hp was not a direct one. Furthermore, autoimmune atrophic gastritis and another condition with anacidity due to an inborn mutation of one of the genes coding for the proton pump (ATP4) (no inflammation) </w:t>
      </w:r>
      <w:r w:rsidRPr="001C2AEE">
        <w:rPr>
          <w:rFonts w:ascii="Tw Cen MT" w:hAnsi="Tw Cen MT"/>
          <w:noProof/>
          <w:sz w:val="18"/>
          <w:szCs w:val="18"/>
        </w:rPr>
        <w:t>[5]</w:t>
      </w:r>
      <w:r w:rsidRPr="001C2AEE">
        <w:rPr>
          <w:rFonts w:ascii="Tw Cen MT" w:hAnsi="Tw Cen MT"/>
          <w:sz w:val="18"/>
          <w:szCs w:val="18"/>
        </w:rPr>
        <w:t xml:space="preserve"> both predispose to cancer. All these conditions predisposing to gastric cancer thus have one thing in common, hypoacidity which necessarily leads to hypergastrinemia. By applying all the presently available methods we have shown that an important proportion of gastric carcinomas is neuroendocrine and more specifically ECL cell derived </w:t>
      </w:r>
      <w:r w:rsidRPr="001C2AEE">
        <w:rPr>
          <w:rFonts w:ascii="Tw Cen MT" w:hAnsi="Tw Cen MT"/>
          <w:noProof/>
          <w:sz w:val="18"/>
          <w:szCs w:val="18"/>
        </w:rPr>
        <w:t>[6,7]</w:t>
      </w:r>
      <w:r w:rsidRPr="001C2AEE">
        <w:rPr>
          <w:rFonts w:ascii="Tw Cen MT" w:hAnsi="Tw Cen MT"/>
          <w:sz w:val="18"/>
          <w:szCs w:val="18"/>
        </w:rPr>
        <w:t>. The ECL cell is the target cell for gastrin. The therapeutic consequences of this knowledge are to perform Hp eradication before development of oxyntic atrophy, and in those with already established oxyntic atrophy as well as in those with autoimmune gastritis or genetic hypoacidity, treat with a gastrin antagonist. Moreover, inducing hypergastrinemia by inhibitors of gastric acid secretion should be</w:t>
      </w:r>
      <w:r w:rsidR="001C2AEE">
        <w:rPr>
          <w:rFonts w:ascii="Tw Cen MT" w:hAnsi="Tw Cen MT"/>
          <w:sz w:val="18"/>
          <w:szCs w:val="18"/>
        </w:rPr>
        <w:t xml:space="preserve"> </w:t>
      </w:r>
      <w:r w:rsidRPr="001C2AEE">
        <w:rPr>
          <w:rFonts w:ascii="Tw Cen MT" w:hAnsi="Tw Cen MT"/>
          <w:sz w:val="18"/>
          <w:szCs w:val="18"/>
        </w:rPr>
        <w:t>reduced</w:t>
      </w:r>
      <w:r w:rsidRPr="001C2AEE">
        <w:rPr>
          <w:rFonts w:ascii="Tw Cen MT" w:hAnsi="Tw Cen MT"/>
          <w:noProof/>
          <w:sz w:val="18"/>
          <w:szCs w:val="18"/>
        </w:rPr>
        <w:t>[8]</w:t>
      </w:r>
      <w:r w:rsidRPr="001C2AEE">
        <w:rPr>
          <w:rFonts w:ascii="Tw Cen MT" w:hAnsi="Tw Cen MT"/>
          <w:sz w:val="18"/>
          <w:szCs w:val="18"/>
        </w:rPr>
        <w:t>.</w:t>
      </w:r>
    </w:p>
    <w:p w14:paraId="04145095" w14:textId="77777777" w:rsidR="00556971" w:rsidRPr="001C2AEE" w:rsidRDefault="00556971" w:rsidP="000133ED">
      <w:pPr>
        <w:rPr>
          <w:rFonts w:ascii="Tw Cen MT" w:hAnsi="Tw Cen MT"/>
          <w:color w:val="C45911" w:themeColor="accent2" w:themeShade="BF"/>
        </w:rPr>
      </w:pPr>
      <w:bookmarkStart w:id="1" w:name="_GoBack"/>
      <w:bookmarkEnd w:id="1"/>
      <w:r w:rsidRPr="001C2AEE">
        <w:rPr>
          <w:rFonts w:ascii="Tw Cen MT" w:hAnsi="Tw Cen MT"/>
          <w:color w:val="C45911" w:themeColor="accent2" w:themeShade="BF"/>
        </w:rPr>
        <w:t>References</w:t>
      </w:r>
    </w:p>
    <w:p w14:paraId="0E51B6D1" w14:textId="589682B5" w:rsidR="00556971" w:rsidRPr="001C2AEE" w:rsidRDefault="00556971" w:rsidP="000133ED">
      <w:pPr>
        <w:rPr>
          <w:rFonts w:cstheme="minorHAnsi"/>
          <w:sz w:val="18"/>
          <w:szCs w:val="18"/>
        </w:rPr>
      </w:pPr>
      <w:r w:rsidRPr="001C2AEE">
        <w:rPr>
          <w:rFonts w:cstheme="minorHAnsi"/>
          <w:sz w:val="18"/>
          <w:szCs w:val="18"/>
        </w:rPr>
        <w:t xml:space="preserve">1.Marshall, B.J.; Warren, J.R. Unidentified curved bacilli in the stomach of patients with gastritis and peptic ulceration. </w:t>
      </w:r>
      <w:r w:rsidRPr="001C2AEE">
        <w:rPr>
          <w:rFonts w:cstheme="minorHAnsi"/>
          <w:i/>
          <w:sz w:val="18"/>
          <w:szCs w:val="18"/>
        </w:rPr>
        <w:t xml:space="preserve">Lancet (London, England) </w:t>
      </w:r>
      <w:r w:rsidRPr="001C2AEE">
        <w:rPr>
          <w:rFonts w:cstheme="minorHAnsi"/>
          <w:b/>
          <w:sz w:val="18"/>
          <w:szCs w:val="18"/>
        </w:rPr>
        <w:t>1984</w:t>
      </w:r>
      <w:r w:rsidRPr="001C2AEE">
        <w:rPr>
          <w:rFonts w:cstheme="minorHAnsi"/>
          <w:sz w:val="18"/>
          <w:szCs w:val="18"/>
        </w:rPr>
        <w:t xml:space="preserve">, </w:t>
      </w:r>
      <w:r w:rsidRPr="001C2AEE">
        <w:rPr>
          <w:rFonts w:cstheme="minorHAnsi"/>
          <w:i/>
          <w:sz w:val="18"/>
          <w:szCs w:val="18"/>
        </w:rPr>
        <w:t>1</w:t>
      </w:r>
      <w:r w:rsidRPr="001C2AEE">
        <w:rPr>
          <w:rFonts w:cstheme="minorHAnsi"/>
          <w:sz w:val="18"/>
          <w:szCs w:val="18"/>
        </w:rPr>
        <w:t>, 1311-1315.</w:t>
      </w:r>
    </w:p>
    <w:p w14:paraId="6FDF38E7" w14:textId="6B55CF6A" w:rsidR="00556971" w:rsidRPr="001C2AEE" w:rsidRDefault="00556971" w:rsidP="000133ED">
      <w:pPr>
        <w:rPr>
          <w:rFonts w:cstheme="minorHAnsi"/>
          <w:sz w:val="18"/>
          <w:szCs w:val="18"/>
        </w:rPr>
      </w:pPr>
      <w:r w:rsidRPr="001C2AEE">
        <w:rPr>
          <w:rFonts w:cstheme="minorHAnsi"/>
          <w:sz w:val="18"/>
          <w:szCs w:val="18"/>
        </w:rPr>
        <w:t xml:space="preserve">2.Parsonnet, J.; Friedman, G.D.; Vandersteen, D.P.; Chang, Y.; Vogelman, J.H.; Orentreich, N.; Sibley, R.K. Helicobacter pylori infection and the risk of gastric </w:t>
      </w:r>
      <w:r w:rsidRPr="001C2AEE">
        <w:rPr>
          <w:rFonts w:cstheme="minorHAnsi"/>
          <w:sz w:val="18"/>
          <w:szCs w:val="18"/>
        </w:rPr>
        <w:t xml:space="preserve">carcinoma. </w:t>
      </w:r>
      <w:r w:rsidRPr="001C2AEE">
        <w:rPr>
          <w:rFonts w:cstheme="minorHAnsi"/>
          <w:i/>
          <w:sz w:val="18"/>
          <w:szCs w:val="18"/>
        </w:rPr>
        <w:t xml:space="preserve">The New England journal of medicine </w:t>
      </w:r>
      <w:r w:rsidRPr="001C2AEE">
        <w:rPr>
          <w:rFonts w:cstheme="minorHAnsi"/>
          <w:b/>
          <w:sz w:val="18"/>
          <w:szCs w:val="18"/>
        </w:rPr>
        <w:t>1991</w:t>
      </w:r>
      <w:r w:rsidRPr="001C2AEE">
        <w:rPr>
          <w:rFonts w:cstheme="minorHAnsi"/>
          <w:sz w:val="18"/>
          <w:szCs w:val="18"/>
        </w:rPr>
        <w:t xml:space="preserve">, </w:t>
      </w:r>
      <w:r w:rsidRPr="001C2AEE">
        <w:rPr>
          <w:rFonts w:cstheme="minorHAnsi"/>
          <w:i/>
          <w:sz w:val="18"/>
          <w:szCs w:val="18"/>
        </w:rPr>
        <w:t>325</w:t>
      </w:r>
      <w:r w:rsidRPr="001C2AEE">
        <w:rPr>
          <w:rFonts w:cstheme="minorHAnsi"/>
          <w:sz w:val="18"/>
          <w:szCs w:val="18"/>
        </w:rPr>
        <w:t>, 1127-1131, doi:10.1056/nejm199110173251603.</w:t>
      </w:r>
    </w:p>
    <w:p w14:paraId="6196F2F9" w14:textId="56030839" w:rsidR="00556971" w:rsidRPr="001C2AEE" w:rsidRDefault="00556971" w:rsidP="000133ED">
      <w:pPr>
        <w:rPr>
          <w:rFonts w:cstheme="minorHAnsi"/>
          <w:sz w:val="18"/>
          <w:szCs w:val="18"/>
        </w:rPr>
      </w:pPr>
      <w:r w:rsidRPr="001C2AEE">
        <w:rPr>
          <w:rFonts w:cstheme="minorHAnsi"/>
          <w:sz w:val="18"/>
          <w:szCs w:val="18"/>
        </w:rPr>
        <w:t xml:space="preserve">3.Uemura, N.; Okamoto, S.; Yamamoto, S.; Matsumura, N.; Yamaguchi, S.; Yamakido, M.; Taniyama, K.; Sasaki, N.; Schlemper, R.J. Helicobacter pylori infection and the development of gastric cancer. </w:t>
      </w:r>
      <w:r w:rsidRPr="001C2AEE">
        <w:rPr>
          <w:rFonts w:cstheme="minorHAnsi"/>
          <w:i/>
          <w:sz w:val="18"/>
          <w:szCs w:val="18"/>
        </w:rPr>
        <w:t xml:space="preserve">The New England journal of medicine </w:t>
      </w:r>
      <w:r w:rsidRPr="001C2AEE">
        <w:rPr>
          <w:rFonts w:cstheme="minorHAnsi"/>
          <w:b/>
          <w:sz w:val="18"/>
          <w:szCs w:val="18"/>
        </w:rPr>
        <w:t>2001</w:t>
      </w:r>
      <w:r w:rsidRPr="001C2AEE">
        <w:rPr>
          <w:rFonts w:cstheme="minorHAnsi"/>
          <w:sz w:val="18"/>
          <w:szCs w:val="18"/>
        </w:rPr>
        <w:t xml:space="preserve">, </w:t>
      </w:r>
      <w:r w:rsidRPr="001C2AEE">
        <w:rPr>
          <w:rFonts w:cstheme="minorHAnsi"/>
          <w:i/>
          <w:sz w:val="18"/>
          <w:szCs w:val="18"/>
        </w:rPr>
        <w:t>345</w:t>
      </w:r>
      <w:r w:rsidRPr="001C2AEE">
        <w:rPr>
          <w:rFonts w:cstheme="minorHAnsi"/>
          <w:sz w:val="18"/>
          <w:szCs w:val="18"/>
        </w:rPr>
        <w:t>, 784-789, doi:10.1056/NEJMoa001999.</w:t>
      </w:r>
    </w:p>
    <w:p w14:paraId="76F41A70" w14:textId="4D5F5024" w:rsidR="00556971" w:rsidRPr="001C2AEE" w:rsidRDefault="00556971" w:rsidP="000133ED">
      <w:pPr>
        <w:rPr>
          <w:rFonts w:cstheme="minorHAnsi"/>
          <w:sz w:val="18"/>
          <w:szCs w:val="18"/>
        </w:rPr>
      </w:pPr>
      <w:r w:rsidRPr="001C2AEE">
        <w:rPr>
          <w:rFonts w:cstheme="minorHAnsi"/>
          <w:sz w:val="18"/>
          <w:szCs w:val="18"/>
        </w:rPr>
        <w:t xml:space="preserve">4.Take, S.; Mizuno, M.; Ishiki, K.; Kusumoto, C.; Imada, T.; Hamada, F.; Yoshida, T.; Yokota, K.; Mitsuhashi, T.; Okada, H. Risk of gastric cancer in the second decade of follow-up after Helicobacter pylori eradication. </w:t>
      </w:r>
      <w:r w:rsidRPr="001C2AEE">
        <w:rPr>
          <w:rFonts w:cstheme="minorHAnsi"/>
          <w:i/>
          <w:sz w:val="18"/>
          <w:szCs w:val="18"/>
        </w:rPr>
        <w:t xml:space="preserve">Journal of gastroenterology </w:t>
      </w:r>
      <w:r w:rsidRPr="001C2AEE">
        <w:rPr>
          <w:rFonts w:cstheme="minorHAnsi"/>
          <w:b/>
          <w:sz w:val="18"/>
          <w:szCs w:val="18"/>
        </w:rPr>
        <w:t>2020</w:t>
      </w:r>
      <w:r w:rsidRPr="001C2AEE">
        <w:rPr>
          <w:rFonts w:cstheme="minorHAnsi"/>
          <w:sz w:val="18"/>
          <w:szCs w:val="18"/>
        </w:rPr>
        <w:t xml:space="preserve">, </w:t>
      </w:r>
      <w:r w:rsidRPr="001C2AEE">
        <w:rPr>
          <w:rFonts w:cstheme="minorHAnsi"/>
          <w:i/>
          <w:sz w:val="18"/>
          <w:szCs w:val="18"/>
        </w:rPr>
        <w:t>55</w:t>
      </w:r>
      <w:r w:rsidRPr="001C2AEE">
        <w:rPr>
          <w:rFonts w:cstheme="minorHAnsi"/>
          <w:sz w:val="18"/>
          <w:szCs w:val="18"/>
        </w:rPr>
        <w:t>, 281-288, doi:10.1007/s00535-019-01639-w.</w:t>
      </w:r>
    </w:p>
    <w:p w14:paraId="0DA72EAE" w14:textId="5C926252" w:rsidR="00556971" w:rsidRPr="001C2AEE" w:rsidRDefault="00556971" w:rsidP="000133ED">
      <w:pPr>
        <w:rPr>
          <w:rFonts w:cstheme="minorHAnsi"/>
          <w:sz w:val="18"/>
          <w:szCs w:val="18"/>
        </w:rPr>
      </w:pPr>
      <w:r w:rsidRPr="001C2AEE">
        <w:rPr>
          <w:rFonts w:cstheme="minorHAnsi"/>
          <w:sz w:val="18"/>
          <w:szCs w:val="18"/>
          <w:lang w:val="es-ES"/>
        </w:rPr>
        <w:t xml:space="preserve">5.Calvete, O.; Reyes, J.; Zuniga, S.; Paumard-Hernandez, B.; Fernandez, V.; Bujanda, L.; Rodriguez-Pinilla, M.S.; Palacios, J.; Heine-Suner, D.; Banka, S., et al. </w:t>
      </w:r>
      <w:r w:rsidRPr="001C2AEE">
        <w:rPr>
          <w:rFonts w:cstheme="minorHAnsi"/>
          <w:sz w:val="18"/>
          <w:szCs w:val="18"/>
        </w:rPr>
        <w:t xml:space="preserve">Exome sequencing identifies ATP4A gene as responsible of an atypical familial type I gastric neuroendocrine tumour. </w:t>
      </w:r>
      <w:r w:rsidRPr="001C2AEE">
        <w:rPr>
          <w:rFonts w:cstheme="minorHAnsi"/>
          <w:i/>
          <w:sz w:val="18"/>
          <w:szCs w:val="18"/>
        </w:rPr>
        <w:t xml:space="preserve">Human molecular genetics </w:t>
      </w:r>
      <w:r w:rsidRPr="001C2AEE">
        <w:rPr>
          <w:rFonts w:cstheme="minorHAnsi"/>
          <w:b/>
          <w:sz w:val="18"/>
          <w:szCs w:val="18"/>
        </w:rPr>
        <w:t>2015</w:t>
      </w:r>
      <w:r w:rsidRPr="001C2AEE">
        <w:rPr>
          <w:rFonts w:cstheme="minorHAnsi"/>
          <w:sz w:val="18"/>
          <w:szCs w:val="18"/>
        </w:rPr>
        <w:t xml:space="preserve">, </w:t>
      </w:r>
      <w:r w:rsidRPr="001C2AEE">
        <w:rPr>
          <w:rFonts w:cstheme="minorHAnsi"/>
          <w:i/>
          <w:sz w:val="18"/>
          <w:szCs w:val="18"/>
        </w:rPr>
        <w:t>24</w:t>
      </w:r>
      <w:r w:rsidRPr="001C2AEE">
        <w:rPr>
          <w:rFonts w:cstheme="minorHAnsi"/>
          <w:sz w:val="18"/>
          <w:szCs w:val="18"/>
        </w:rPr>
        <w:t>, 2914-2922, doi:10.1093/hmg/ddv054.</w:t>
      </w:r>
    </w:p>
    <w:p w14:paraId="61B68394" w14:textId="76D2DD8B" w:rsidR="00556971" w:rsidRPr="001C2AEE" w:rsidRDefault="00556971" w:rsidP="000133ED">
      <w:pPr>
        <w:rPr>
          <w:rFonts w:cstheme="minorHAnsi"/>
          <w:sz w:val="18"/>
          <w:szCs w:val="18"/>
        </w:rPr>
      </w:pPr>
      <w:r w:rsidRPr="001C2AEE">
        <w:rPr>
          <w:rFonts w:cstheme="minorHAnsi"/>
          <w:sz w:val="18"/>
          <w:szCs w:val="18"/>
        </w:rPr>
        <w:t xml:space="preserve">6.Waldum, H.L.; Sordal, O.F. Classification of Epithelial Malignant Tumors-the Differentiation Between Adenocarcinomas and Neuroendocrine Carcinomas: Why Rely on Nonspecific Histochemistry and Dismiss Specific Methods Like Immunohistochemistry and In Situ Hybridization? </w:t>
      </w:r>
      <w:r w:rsidRPr="001C2AEE">
        <w:rPr>
          <w:rFonts w:cstheme="minorHAnsi"/>
          <w:i/>
          <w:sz w:val="18"/>
          <w:szCs w:val="18"/>
        </w:rPr>
        <w:t xml:space="preserve">Applied immunohistochemistry &amp; molecular morphology : AIMM </w:t>
      </w:r>
      <w:r w:rsidRPr="001C2AEE">
        <w:rPr>
          <w:rFonts w:cstheme="minorHAnsi"/>
          <w:b/>
          <w:sz w:val="18"/>
          <w:szCs w:val="18"/>
        </w:rPr>
        <w:t>2016</w:t>
      </w:r>
      <w:r w:rsidRPr="001C2AEE">
        <w:rPr>
          <w:rFonts w:cstheme="minorHAnsi"/>
          <w:sz w:val="18"/>
          <w:szCs w:val="18"/>
        </w:rPr>
        <w:t xml:space="preserve">, </w:t>
      </w:r>
      <w:r w:rsidRPr="001C2AEE">
        <w:rPr>
          <w:rFonts w:cstheme="minorHAnsi"/>
          <w:i/>
          <w:sz w:val="18"/>
          <w:szCs w:val="18"/>
        </w:rPr>
        <w:t>24</w:t>
      </w:r>
      <w:r w:rsidRPr="001C2AEE">
        <w:rPr>
          <w:rFonts w:cstheme="minorHAnsi"/>
          <w:sz w:val="18"/>
          <w:szCs w:val="18"/>
        </w:rPr>
        <w:t>, 309-312, doi:10.1097/pai.0000000000000190.</w:t>
      </w:r>
    </w:p>
    <w:p w14:paraId="31E2B1B6" w14:textId="128A2412" w:rsidR="00556971" w:rsidRPr="001C2AEE" w:rsidRDefault="00556971" w:rsidP="000133ED">
      <w:pPr>
        <w:rPr>
          <w:rFonts w:cstheme="minorHAnsi"/>
          <w:sz w:val="18"/>
          <w:szCs w:val="18"/>
        </w:rPr>
      </w:pPr>
      <w:r w:rsidRPr="001C2AEE">
        <w:rPr>
          <w:rFonts w:cstheme="minorHAnsi"/>
          <w:sz w:val="18"/>
          <w:szCs w:val="18"/>
        </w:rPr>
        <w:t xml:space="preserve">7.Mjones, P.; Nordrum, I.S.; Sordal, O.; Sagatun, L.; Fossmark, R.; Sandvik, A.; Waldum, H.L. Expression of the Cholecystokinin-B Receptor in Neoplastic Gastric Cells. </w:t>
      </w:r>
      <w:r w:rsidRPr="001C2AEE">
        <w:rPr>
          <w:rFonts w:cstheme="minorHAnsi"/>
          <w:i/>
          <w:sz w:val="18"/>
          <w:szCs w:val="18"/>
        </w:rPr>
        <w:t xml:space="preserve">Hormones &amp; cancer </w:t>
      </w:r>
      <w:r w:rsidRPr="001C2AEE">
        <w:rPr>
          <w:rFonts w:cstheme="minorHAnsi"/>
          <w:b/>
          <w:sz w:val="18"/>
          <w:szCs w:val="18"/>
        </w:rPr>
        <w:t>2018</w:t>
      </w:r>
      <w:r w:rsidRPr="001C2AEE">
        <w:rPr>
          <w:rFonts w:cstheme="minorHAnsi"/>
          <w:sz w:val="18"/>
          <w:szCs w:val="18"/>
        </w:rPr>
        <w:t xml:space="preserve">, </w:t>
      </w:r>
      <w:r w:rsidRPr="001C2AEE">
        <w:rPr>
          <w:rFonts w:cstheme="minorHAnsi"/>
          <w:i/>
          <w:sz w:val="18"/>
          <w:szCs w:val="18"/>
        </w:rPr>
        <w:t>9</w:t>
      </w:r>
      <w:r w:rsidRPr="001C2AEE">
        <w:rPr>
          <w:rFonts w:cstheme="minorHAnsi"/>
          <w:sz w:val="18"/>
          <w:szCs w:val="18"/>
        </w:rPr>
        <w:t>, 40-54, doi:10.1007/s12672-017-0311-8.</w:t>
      </w:r>
    </w:p>
    <w:p w14:paraId="60C87100" w14:textId="21212E20" w:rsidR="00556971" w:rsidRPr="001C2AEE" w:rsidRDefault="00556971" w:rsidP="000133ED">
      <w:pPr>
        <w:rPr>
          <w:rFonts w:cstheme="minorHAnsi"/>
          <w:sz w:val="18"/>
          <w:szCs w:val="18"/>
        </w:rPr>
      </w:pPr>
      <w:r w:rsidRPr="001C2AEE">
        <w:rPr>
          <w:rFonts w:cstheme="minorHAnsi"/>
          <w:sz w:val="18"/>
          <w:szCs w:val="18"/>
        </w:rPr>
        <w:t xml:space="preserve">8.Waldum, H.L.; Sordal, O.; Fossmark, R. Proton pump inhibitors (PPIs) may cause gastric cancer - clinical consequences. </w:t>
      </w:r>
      <w:r w:rsidRPr="001C2AEE">
        <w:rPr>
          <w:rFonts w:cstheme="minorHAnsi"/>
          <w:i/>
          <w:sz w:val="18"/>
          <w:szCs w:val="18"/>
        </w:rPr>
        <w:t xml:space="preserve">Scandinavian journal of gastroenterology </w:t>
      </w:r>
      <w:r w:rsidRPr="001C2AEE">
        <w:rPr>
          <w:rFonts w:cstheme="minorHAnsi"/>
          <w:b/>
          <w:sz w:val="18"/>
          <w:szCs w:val="18"/>
        </w:rPr>
        <w:t>2018</w:t>
      </w:r>
      <w:r w:rsidRPr="001C2AEE">
        <w:rPr>
          <w:rFonts w:cstheme="minorHAnsi"/>
          <w:sz w:val="18"/>
          <w:szCs w:val="18"/>
        </w:rPr>
        <w:t xml:space="preserve">, </w:t>
      </w:r>
      <w:r w:rsidRPr="001C2AEE">
        <w:rPr>
          <w:rFonts w:cstheme="minorHAnsi"/>
          <w:i/>
          <w:sz w:val="18"/>
          <w:szCs w:val="18"/>
        </w:rPr>
        <w:t>53</w:t>
      </w:r>
      <w:r w:rsidRPr="001C2AEE">
        <w:rPr>
          <w:rFonts w:cstheme="minorHAnsi"/>
          <w:sz w:val="18"/>
          <w:szCs w:val="18"/>
        </w:rPr>
        <w:t>, 639-642, doi:10.1080/00365521.2018.1450442.</w:t>
      </w:r>
    </w:p>
    <w:p w14:paraId="3CCACB17" w14:textId="77777777" w:rsidR="000133ED" w:rsidRPr="001C2AEE" w:rsidRDefault="000133ED" w:rsidP="000133ED">
      <w:pPr>
        <w:rPr>
          <w:rFonts w:ascii="Palatino Linotype" w:hAnsi="Palatino Linotype"/>
          <w:sz w:val="18"/>
          <w:szCs w:val="18"/>
        </w:rPr>
        <w:sectPr w:rsidR="000133ED" w:rsidRPr="001C2AEE" w:rsidSect="000133ED">
          <w:type w:val="continuous"/>
          <w:pgSz w:w="11906" w:h="16838"/>
          <w:pgMar w:top="1440" w:right="1440" w:bottom="1440" w:left="1440" w:header="708" w:footer="708" w:gutter="0"/>
          <w:cols w:num="2" w:space="708"/>
          <w:docGrid w:linePitch="360"/>
        </w:sectPr>
      </w:pPr>
    </w:p>
    <w:p w14:paraId="04A3FDB2" w14:textId="6D1E41AF" w:rsidR="00556971" w:rsidRPr="001C2AEE" w:rsidRDefault="00556971" w:rsidP="000133ED">
      <w:pPr>
        <w:rPr>
          <w:rFonts w:ascii="Palatino Linotype" w:hAnsi="Palatino Linotype"/>
          <w:sz w:val="18"/>
          <w:szCs w:val="18"/>
        </w:rPr>
      </w:pPr>
    </w:p>
    <w:p w14:paraId="22485056" w14:textId="1062E7C8" w:rsidR="00556971" w:rsidRPr="001C2AEE" w:rsidRDefault="009F02F8" w:rsidP="000133ED">
      <w:pPr>
        <w:rPr>
          <w:rFonts w:ascii="Palatino Linotype" w:hAnsi="Palatino Linotype"/>
          <w:sz w:val="18"/>
          <w:szCs w:val="18"/>
        </w:rPr>
      </w:pPr>
      <w:r>
        <w:rPr>
          <w:rFonts w:ascii="Calibri"/>
          <w:noProof/>
          <w:sz w:val="4"/>
          <w:lang w:val="en-IN" w:eastAsia="en-IN"/>
        </w:rPr>
        <w:lastRenderedPageBreak/>
        <mc:AlternateContent>
          <mc:Choice Requires="wpg">
            <w:drawing>
              <wp:anchor distT="0" distB="0" distL="114300" distR="114300" simplePos="0" relativeHeight="251659264" behindDoc="1" locked="0" layoutInCell="1" allowOverlap="1" wp14:anchorId="3D629D80" wp14:editId="57C11BC0">
                <wp:simplePos x="0" y="0"/>
                <wp:positionH relativeFrom="column">
                  <wp:posOffset>984250</wp:posOffset>
                </wp:positionH>
                <wp:positionV relativeFrom="paragraph">
                  <wp:posOffset>-57150</wp:posOffset>
                </wp:positionV>
                <wp:extent cx="397573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54CABE2" id="Group 4" o:spid="_x0000_s1026" style="position:absolute;margin-left:77.5pt;margin-top:-4.5pt;width:313.05pt;height:2pt;z-index:-25165721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v:group>
            </w:pict>
          </mc:Fallback>
        </mc:AlternateContent>
      </w:r>
      <w:r w:rsidR="000133ED" w:rsidRPr="001C2AEE">
        <w:rPr>
          <w:rFonts w:ascii="Palatino Linotype" w:hAnsi="Palatino Linotype"/>
          <w:sz w:val="18"/>
          <w:szCs w:val="18"/>
        </w:rPr>
        <w:drawing>
          <wp:anchor distT="0" distB="0" distL="114300" distR="114300" simplePos="0" relativeHeight="251658240" behindDoc="1" locked="0" layoutInCell="1" allowOverlap="1" wp14:anchorId="473C2482" wp14:editId="2A485421">
            <wp:simplePos x="0" y="0"/>
            <wp:positionH relativeFrom="column">
              <wp:posOffset>63500</wp:posOffset>
            </wp:positionH>
            <wp:positionV relativeFrom="paragraph">
              <wp:posOffset>71120</wp:posOffset>
            </wp:positionV>
            <wp:extent cx="707681" cy="1031766"/>
            <wp:effectExtent l="0" t="0" r="0" b="0"/>
            <wp:wrapTight wrapText="bothSides">
              <wp:wrapPolygon edited="0">
                <wp:start x="0" y="0"/>
                <wp:lineTo x="0" y="21148"/>
                <wp:lineTo x="20941" y="21148"/>
                <wp:lineTo x="20941" y="0"/>
                <wp:lineTo x="0" y="0"/>
              </wp:wrapPolygon>
            </wp:wrapTight>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ldum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7681" cy="1031766"/>
                    </a:xfrm>
                    <a:prstGeom prst="rect">
                      <a:avLst/>
                    </a:prstGeom>
                  </pic:spPr>
                </pic:pic>
              </a:graphicData>
            </a:graphic>
          </wp:anchor>
        </w:drawing>
      </w:r>
    </w:p>
    <w:p w14:paraId="4B3EAF56" w14:textId="207201D0" w:rsidR="00556971" w:rsidRPr="00F528C0" w:rsidRDefault="00556971" w:rsidP="000133ED">
      <w:pPr>
        <w:rPr>
          <w:rFonts w:ascii="Palatino Linotype" w:hAnsi="Palatino Linotype"/>
          <w:sz w:val="20"/>
          <w:szCs w:val="20"/>
        </w:rPr>
      </w:pPr>
    </w:p>
    <w:p w14:paraId="3ED943A5" w14:textId="4BB2A457" w:rsidR="00556971" w:rsidRPr="00F528C0" w:rsidRDefault="00556971" w:rsidP="000133ED">
      <w:pPr>
        <w:rPr>
          <w:rFonts w:ascii="Palatino Linotype" w:hAnsi="Palatino Linotype"/>
          <w:sz w:val="20"/>
          <w:szCs w:val="20"/>
        </w:rPr>
      </w:pPr>
    </w:p>
    <w:p w14:paraId="3004DCC5" w14:textId="496CC380" w:rsidR="00556971" w:rsidRPr="001C2AEE" w:rsidRDefault="00556971" w:rsidP="000133ED">
      <w:pPr>
        <w:rPr>
          <w:rFonts w:ascii="Arial" w:hAnsi="Arial" w:cs="Arial"/>
          <w:color w:val="C45911" w:themeColor="accent2" w:themeShade="BF"/>
          <w:sz w:val="20"/>
          <w:szCs w:val="20"/>
        </w:rPr>
      </w:pPr>
      <w:r w:rsidRPr="001C2AEE">
        <w:rPr>
          <w:rFonts w:ascii="Arial" w:hAnsi="Arial" w:cs="Arial"/>
          <w:color w:val="C45911" w:themeColor="accent2" w:themeShade="BF"/>
          <w:sz w:val="20"/>
          <w:szCs w:val="20"/>
        </w:rPr>
        <w:t>Biography.</w:t>
      </w:r>
    </w:p>
    <w:p w14:paraId="45964483" w14:textId="62113FC2" w:rsidR="00556971" w:rsidRDefault="00556971" w:rsidP="000133ED">
      <w:pPr>
        <w:rPr>
          <w:rFonts w:ascii="Arial" w:hAnsi="Arial" w:cs="Arial"/>
          <w:sz w:val="14"/>
          <w:szCs w:val="14"/>
        </w:rPr>
      </w:pPr>
      <w:r w:rsidRPr="001C2AEE">
        <w:rPr>
          <w:rFonts w:ascii="Arial" w:hAnsi="Arial" w:cs="Arial"/>
          <w:sz w:val="14"/>
          <w:szCs w:val="14"/>
        </w:rPr>
        <w:t>Helge L. Waldum has worked within clinical gastroenterology for more than 40 years.</w:t>
      </w:r>
      <w:r w:rsidR="00D7689C">
        <w:rPr>
          <w:rFonts w:ascii="Arial" w:hAnsi="Arial" w:cs="Arial"/>
          <w:sz w:val="14"/>
          <w:szCs w:val="14"/>
        </w:rPr>
        <w:t xml:space="preserve"> </w:t>
      </w:r>
      <w:r w:rsidRPr="001C2AEE">
        <w:rPr>
          <w:rFonts w:ascii="Arial" w:hAnsi="Arial" w:cs="Arial"/>
          <w:sz w:val="14"/>
          <w:szCs w:val="14"/>
        </w:rPr>
        <w:t xml:space="preserve">He was the Head of Department of Gastroenterology and Hepatology at the University Hospital of Trondheim for a period of 20 years. At Tromsø University </w:t>
      </w:r>
      <w:r w:rsidR="00D7689C" w:rsidRPr="001C2AEE">
        <w:rPr>
          <w:rFonts w:ascii="Arial" w:hAnsi="Arial" w:cs="Arial"/>
          <w:sz w:val="14"/>
          <w:szCs w:val="14"/>
        </w:rPr>
        <w:t>Hospital he</w:t>
      </w:r>
      <w:r w:rsidRPr="001C2AEE">
        <w:rPr>
          <w:rFonts w:ascii="Arial" w:hAnsi="Arial" w:cs="Arial"/>
          <w:sz w:val="14"/>
          <w:szCs w:val="14"/>
        </w:rPr>
        <w:t xml:space="preserve"> defended his first PhD degree in 1980: Studies on secretin and Group I Pepsinogens. He spent one year of research at Hôpital Bichat, Paris, and defended his second degree in 1993: La cellule ECL, une cellule clé dans la mucuese gastric. Gastrin together with its target cell, the ECL cell, have been his main topics focusing on gastric carcinogenesis. </w:t>
      </w:r>
      <w:r w:rsidR="00D7689C" w:rsidRPr="001C2AEE">
        <w:rPr>
          <w:rFonts w:ascii="Arial" w:hAnsi="Arial" w:cs="Arial"/>
          <w:sz w:val="14"/>
          <w:szCs w:val="14"/>
        </w:rPr>
        <w:t>Thus,</w:t>
      </w:r>
      <w:r w:rsidRPr="001C2AEE">
        <w:rPr>
          <w:rFonts w:ascii="Arial" w:hAnsi="Arial" w:cs="Arial"/>
          <w:sz w:val="14"/>
          <w:szCs w:val="14"/>
        </w:rPr>
        <w:t xml:space="preserve"> pathology has been of key interest. He has focused on the risk of profound acid inhibition, not only for cancer development, but also related to removal of an </w:t>
      </w:r>
      <w:r w:rsidR="009F02F8" w:rsidRPr="001C2AEE">
        <w:rPr>
          <w:rFonts w:ascii="Arial" w:hAnsi="Arial" w:cs="Arial"/>
          <w:sz w:val="14"/>
          <w:szCs w:val="14"/>
        </w:rPr>
        <w:t>important</w:t>
      </w:r>
      <w:r w:rsidRPr="001C2AEE">
        <w:rPr>
          <w:rFonts w:ascii="Arial" w:hAnsi="Arial" w:cs="Arial"/>
          <w:sz w:val="14"/>
          <w:szCs w:val="14"/>
        </w:rPr>
        <w:t xml:space="preserve"> function like killing </w:t>
      </w:r>
      <w:r w:rsidR="009F02F8" w:rsidRPr="001C2AEE">
        <w:rPr>
          <w:rFonts w:ascii="Arial" w:hAnsi="Arial" w:cs="Arial"/>
          <w:sz w:val="14"/>
          <w:szCs w:val="14"/>
        </w:rPr>
        <w:t>microorganisms</w:t>
      </w:r>
      <w:r w:rsidRPr="001C2AEE">
        <w:rPr>
          <w:rFonts w:ascii="Arial" w:hAnsi="Arial" w:cs="Arial"/>
          <w:sz w:val="14"/>
          <w:szCs w:val="14"/>
        </w:rPr>
        <w:t xml:space="preserve">. He has </w:t>
      </w:r>
      <w:r w:rsidR="009F02F8" w:rsidRPr="001C2AEE">
        <w:rPr>
          <w:rFonts w:ascii="Arial" w:hAnsi="Arial" w:cs="Arial"/>
          <w:sz w:val="14"/>
          <w:szCs w:val="14"/>
        </w:rPr>
        <w:t>published</w:t>
      </w:r>
      <w:r w:rsidRPr="001C2AEE">
        <w:rPr>
          <w:rFonts w:ascii="Arial" w:hAnsi="Arial" w:cs="Arial"/>
          <w:sz w:val="14"/>
          <w:szCs w:val="14"/>
        </w:rPr>
        <w:t xml:space="preserve"> about 400 papers and very recently a book on the influence of pharmaceutical industry.</w:t>
      </w:r>
    </w:p>
    <w:p w14:paraId="6F433D02" w14:textId="5755A774" w:rsidR="00D7689C" w:rsidRPr="009F02F8" w:rsidRDefault="00D7689C" w:rsidP="00D7689C">
      <w:pPr>
        <w:jc w:val="center"/>
        <w:rPr>
          <w:rFonts w:ascii="Arial" w:hAnsi="Arial" w:cs="Arial"/>
          <w:color w:val="1F3864" w:themeColor="accent1" w:themeShade="80"/>
          <w:sz w:val="14"/>
          <w:szCs w:val="14"/>
          <w:lang w:val="de-DE"/>
        </w:rPr>
      </w:pPr>
      <w:r w:rsidRPr="00D7689C">
        <w:rPr>
          <w:rFonts w:ascii="Arial" w:hAnsi="Arial" w:cs="Arial"/>
          <w:sz w:val="14"/>
          <w:szCs w:val="14"/>
          <w:lang w:val="de-DE"/>
        </w:rPr>
        <w:t>E-mai</w:t>
      </w:r>
      <w:r>
        <w:rPr>
          <w:rFonts w:ascii="Arial" w:hAnsi="Arial" w:cs="Arial"/>
          <w:sz w:val="14"/>
          <w:szCs w:val="14"/>
          <w:lang w:val="de-DE"/>
        </w:rPr>
        <w:t>l</w:t>
      </w:r>
      <w:r w:rsidRPr="00D7689C">
        <w:rPr>
          <w:rFonts w:ascii="Arial" w:hAnsi="Arial" w:cs="Arial"/>
          <w:sz w:val="14"/>
          <w:szCs w:val="14"/>
          <w:lang w:val="de-DE"/>
        </w:rPr>
        <w:t xml:space="preserve">: </w:t>
      </w:r>
      <w:r w:rsidRPr="009F02F8">
        <w:rPr>
          <w:rFonts w:ascii="Arial" w:hAnsi="Arial" w:cs="Arial"/>
          <w:color w:val="1F3864" w:themeColor="accent1" w:themeShade="80"/>
          <w:sz w:val="14"/>
          <w:szCs w:val="14"/>
          <w:lang w:val="de-DE"/>
        </w:rPr>
        <w:t>helge.waldum@ntnu.no</w:t>
      </w:r>
    </w:p>
    <w:p w14:paraId="762F8884" w14:textId="77777777" w:rsidR="000133ED" w:rsidRPr="00D7689C" w:rsidRDefault="000133ED" w:rsidP="000133ED">
      <w:pPr>
        <w:rPr>
          <w:rFonts w:ascii="Palatino Linotype" w:hAnsi="Palatino Linotype"/>
          <w:sz w:val="20"/>
          <w:szCs w:val="20"/>
          <w:lang w:val="de-DE"/>
        </w:rPr>
      </w:pPr>
    </w:p>
    <w:p w14:paraId="30CF325A" w14:textId="77777777" w:rsidR="00556971" w:rsidRPr="00D7689C" w:rsidRDefault="00556971" w:rsidP="000133ED">
      <w:pPr>
        <w:rPr>
          <w:rFonts w:ascii="Palatino Linotype" w:hAnsi="Palatino Linotype"/>
          <w:sz w:val="20"/>
          <w:szCs w:val="20"/>
          <w:lang w:val="de-DE"/>
        </w:rPr>
      </w:pPr>
    </w:p>
    <w:p w14:paraId="17CB7B98" w14:textId="77777777" w:rsidR="00556971" w:rsidRPr="00D7689C" w:rsidRDefault="00556971" w:rsidP="000133ED">
      <w:pPr>
        <w:rPr>
          <w:rFonts w:ascii="Palatino Linotype" w:hAnsi="Palatino Linotype"/>
          <w:sz w:val="20"/>
          <w:szCs w:val="20"/>
          <w:lang w:val="de-DE"/>
        </w:rPr>
      </w:pPr>
    </w:p>
    <w:p w14:paraId="745121F9" w14:textId="77777777" w:rsidR="00556971" w:rsidRPr="00D7689C" w:rsidRDefault="00556971" w:rsidP="000133ED">
      <w:pPr>
        <w:rPr>
          <w:rFonts w:ascii="Palatino Linotype" w:hAnsi="Palatino Linotype"/>
          <w:sz w:val="20"/>
          <w:szCs w:val="20"/>
          <w:lang w:val="de-DE"/>
        </w:rPr>
      </w:pPr>
    </w:p>
    <w:p w14:paraId="679150A8" w14:textId="77777777" w:rsidR="00556971" w:rsidRPr="00D7689C" w:rsidRDefault="00556971" w:rsidP="000133ED">
      <w:pPr>
        <w:rPr>
          <w:rFonts w:ascii="Palatino Linotype" w:hAnsi="Palatino Linotype"/>
          <w:sz w:val="20"/>
          <w:szCs w:val="20"/>
          <w:lang w:val="de-DE"/>
        </w:rPr>
      </w:pPr>
    </w:p>
    <w:p w14:paraId="4CD018F8" w14:textId="77777777" w:rsidR="00556971" w:rsidRPr="00D7689C" w:rsidRDefault="00556971" w:rsidP="000133ED">
      <w:pPr>
        <w:rPr>
          <w:rFonts w:ascii="Palatino Linotype" w:hAnsi="Palatino Linotype"/>
          <w:sz w:val="20"/>
          <w:szCs w:val="20"/>
          <w:lang w:val="de-DE"/>
        </w:rPr>
      </w:pPr>
    </w:p>
    <w:p w14:paraId="665AB70F" w14:textId="77777777" w:rsidR="00556971" w:rsidRPr="00D7689C" w:rsidRDefault="00556971" w:rsidP="000133ED">
      <w:pPr>
        <w:rPr>
          <w:rFonts w:ascii="Palatino Linotype" w:hAnsi="Palatino Linotype"/>
          <w:sz w:val="20"/>
          <w:szCs w:val="20"/>
          <w:lang w:val="de-DE"/>
        </w:rPr>
      </w:pPr>
    </w:p>
    <w:p w14:paraId="412DB9E7" w14:textId="77777777" w:rsidR="00556971" w:rsidRPr="00D7689C" w:rsidRDefault="00556971" w:rsidP="000133ED">
      <w:pPr>
        <w:rPr>
          <w:rFonts w:ascii="Palatino Linotype" w:hAnsi="Palatino Linotype"/>
          <w:sz w:val="20"/>
          <w:szCs w:val="20"/>
          <w:lang w:val="de-DE"/>
        </w:rPr>
      </w:pPr>
    </w:p>
    <w:p w14:paraId="1241ABA3" w14:textId="77777777" w:rsidR="00556971" w:rsidRPr="00D7689C" w:rsidRDefault="00556971" w:rsidP="000133ED">
      <w:pPr>
        <w:rPr>
          <w:rFonts w:ascii="Palatino Linotype" w:hAnsi="Palatino Linotype"/>
          <w:sz w:val="20"/>
          <w:szCs w:val="20"/>
          <w:lang w:val="de-DE"/>
        </w:rPr>
      </w:pPr>
    </w:p>
    <w:p w14:paraId="7C624216" w14:textId="77777777" w:rsidR="00556971" w:rsidRPr="00D7689C" w:rsidRDefault="00556971" w:rsidP="000133ED">
      <w:pPr>
        <w:rPr>
          <w:rFonts w:ascii="Palatino Linotype" w:hAnsi="Palatino Linotype"/>
          <w:sz w:val="20"/>
          <w:szCs w:val="20"/>
          <w:lang w:val="de-DE"/>
        </w:rPr>
      </w:pPr>
    </w:p>
    <w:p w14:paraId="608E36D5" w14:textId="77777777" w:rsidR="00556971" w:rsidRPr="00D7689C" w:rsidRDefault="00556971" w:rsidP="000133ED">
      <w:pPr>
        <w:rPr>
          <w:rFonts w:ascii="Palatino Linotype" w:hAnsi="Palatino Linotype"/>
          <w:sz w:val="20"/>
          <w:szCs w:val="20"/>
          <w:lang w:val="de-DE"/>
        </w:rPr>
      </w:pPr>
    </w:p>
    <w:p w14:paraId="4ADA787F" w14:textId="77777777" w:rsidR="00556971" w:rsidRPr="00D7689C" w:rsidRDefault="00556971" w:rsidP="000133ED">
      <w:pPr>
        <w:rPr>
          <w:rFonts w:ascii="Palatino Linotype" w:hAnsi="Palatino Linotype"/>
          <w:sz w:val="20"/>
          <w:szCs w:val="20"/>
          <w:lang w:val="de-DE"/>
        </w:rPr>
      </w:pPr>
    </w:p>
    <w:p w14:paraId="3A4D884A" w14:textId="77777777" w:rsidR="00556971" w:rsidRPr="00D7689C" w:rsidRDefault="00556971" w:rsidP="00AF08D4">
      <w:pPr>
        <w:pStyle w:val="EndNoteBibliography"/>
        <w:ind w:left="720" w:hanging="720"/>
        <w:rPr>
          <w:rFonts w:ascii="Palatino Linotype" w:hAnsi="Palatino Linotype"/>
          <w:sz w:val="20"/>
          <w:szCs w:val="20"/>
          <w:lang w:val="de-DE"/>
        </w:rPr>
      </w:pPr>
    </w:p>
    <w:p w14:paraId="4B7244CA" w14:textId="77777777" w:rsidR="00556971" w:rsidRPr="00D7689C" w:rsidRDefault="00556971" w:rsidP="00AF08D4">
      <w:pPr>
        <w:pStyle w:val="EndNoteBibliography"/>
        <w:ind w:left="720" w:hanging="720"/>
        <w:rPr>
          <w:rFonts w:ascii="Palatino Linotype" w:hAnsi="Palatino Linotype"/>
          <w:sz w:val="20"/>
          <w:szCs w:val="20"/>
          <w:lang w:val="de-DE"/>
        </w:rPr>
      </w:pPr>
    </w:p>
    <w:p w14:paraId="79C5E547" w14:textId="77777777" w:rsidR="00556971" w:rsidRPr="00D7689C" w:rsidRDefault="00556971" w:rsidP="00AF08D4">
      <w:pPr>
        <w:pStyle w:val="EndNoteBibliography"/>
        <w:ind w:left="720" w:hanging="720"/>
        <w:rPr>
          <w:rFonts w:ascii="Palatino Linotype" w:hAnsi="Palatino Linotype"/>
          <w:sz w:val="20"/>
          <w:szCs w:val="20"/>
          <w:lang w:val="de-DE"/>
        </w:rPr>
      </w:pPr>
    </w:p>
    <w:p w14:paraId="37F9C436" w14:textId="77777777" w:rsidR="00556971" w:rsidRPr="00D7689C" w:rsidRDefault="00556971" w:rsidP="00AF08D4">
      <w:pPr>
        <w:pStyle w:val="EndNoteBibliography"/>
        <w:ind w:left="720" w:hanging="720"/>
        <w:rPr>
          <w:rFonts w:ascii="Palatino Linotype" w:hAnsi="Palatino Linotype"/>
          <w:sz w:val="20"/>
          <w:szCs w:val="20"/>
          <w:lang w:val="de-DE"/>
        </w:rPr>
      </w:pPr>
    </w:p>
    <w:p w14:paraId="03E9295B" w14:textId="77777777" w:rsidR="00556971" w:rsidRPr="00D7689C" w:rsidRDefault="00556971">
      <w:pPr>
        <w:rPr>
          <w:rFonts w:ascii="Palatino Linotype" w:hAnsi="Palatino Linotype"/>
          <w:sz w:val="20"/>
          <w:szCs w:val="20"/>
          <w:lang w:val="de-DE"/>
        </w:rPr>
      </w:pPr>
    </w:p>
    <w:p w14:paraId="22E44474" w14:textId="77777777" w:rsidR="0069186E" w:rsidRPr="00D7689C" w:rsidRDefault="0069186E">
      <w:pPr>
        <w:rPr>
          <w:lang w:val="de-DE"/>
        </w:rPr>
      </w:pPr>
    </w:p>
    <w:sectPr w:rsidR="0069186E" w:rsidRPr="00D7689C" w:rsidSect="000133E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EB9A6" w14:textId="77777777" w:rsidR="00556971" w:rsidRDefault="00556971" w:rsidP="00556971">
      <w:pPr>
        <w:spacing w:after="0" w:line="240" w:lineRule="auto"/>
      </w:pPr>
      <w:r>
        <w:separator/>
      </w:r>
    </w:p>
  </w:endnote>
  <w:endnote w:type="continuationSeparator" w:id="0">
    <w:p w14:paraId="2B50B296" w14:textId="77777777" w:rsidR="00556971" w:rsidRDefault="00556971" w:rsidP="00556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B6154" w14:textId="77777777" w:rsidR="00556971" w:rsidRDefault="00556971" w:rsidP="00556971">
      <w:pPr>
        <w:spacing w:after="0" w:line="240" w:lineRule="auto"/>
      </w:pPr>
      <w:r>
        <w:separator/>
      </w:r>
    </w:p>
  </w:footnote>
  <w:footnote w:type="continuationSeparator" w:id="0">
    <w:p w14:paraId="107CE8B4" w14:textId="77777777" w:rsidR="00556971" w:rsidRDefault="00556971" w:rsidP="005569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56971"/>
    <w:rsid w:val="000133ED"/>
    <w:rsid w:val="00071B00"/>
    <w:rsid w:val="001C2AEE"/>
    <w:rsid w:val="003D6238"/>
    <w:rsid w:val="004614AF"/>
    <w:rsid w:val="00556971"/>
    <w:rsid w:val="0069186E"/>
    <w:rsid w:val="00895FE5"/>
    <w:rsid w:val="009F02F8"/>
    <w:rsid w:val="00D7689C"/>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6BB1C"/>
  <w15:chartTrackingRefBased/>
  <w15:docId w15:val="{5F3FE169-AF89-409F-BC94-A1106160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971"/>
  </w:style>
  <w:style w:type="character" w:default="1" w:styleId="DefaultParagraphFont">
    <w:name w:val="Default Paragraph Font"/>
    <w:uiPriority w:val="1"/>
    <w:semiHidden/>
    <w:unhideWhenUsed/>
    <w:rsid w:val="00556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971"/>
  </w:style>
  <w:style w:type="paragraph" w:styleId="BalloonText">
    <w:name w:val="Balloon Text"/>
    <w:basedOn w:val="Normal"/>
    <w:link w:val="BalloonTextChar"/>
    <w:uiPriority w:val="99"/>
    <w:semiHidden/>
    <w:unhideWhenUsed/>
    <w:rsid w:val="005569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971"/>
    <w:rPr>
      <w:rFonts w:ascii="Segoe UI" w:hAnsi="Segoe UI" w:cs="Segoe UI"/>
      <w:sz w:val="18"/>
      <w:szCs w:val="18"/>
    </w:rPr>
  </w:style>
  <w:style w:type="paragraph" w:customStyle="1" w:styleId="MDPI16affiliation">
    <w:name w:val="MDPI_1.6_affiliation"/>
    <w:link w:val="MDPI16affiliationChar"/>
    <w:qFormat/>
    <w:rsid w:val="00556971"/>
    <w:pPr>
      <w:adjustRightInd w:val="0"/>
      <w:snapToGrid w:val="0"/>
      <w:spacing w:after="0" w:line="26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EndNoteBibliographyTitle">
    <w:name w:val="EndNote Bibliography Title"/>
    <w:basedOn w:val="Normal"/>
    <w:link w:val="EndNoteBibliographyTitleChar"/>
    <w:rsid w:val="00556971"/>
    <w:pPr>
      <w:spacing w:after="0"/>
      <w:jc w:val="center"/>
    </w:pPr>
    <w:rPr>
      <w:rFonts w:ascii="Calibri" w:eastAsia="Times New Roman" w:hAnsi="Calibri" w:cs="Calibri"/>
      <w:noProof/>
      <w:color w:val="000000"/>
      <w:sz w:val="18"/>
      <w:szCs w:val="18"/>
      <w:lang w:val="en-US" w:eastAsia="de-DE" w:bidi="en-US"/>
    </w:rPr>
  </w:style>
  <w:style w:type="character" w:customStyle="1" w:styleId="MDPI16affiliationChar">
    <w:name w:val="MDPI_1.6_affiliation Char"/>
    <w:basedOn w:val="DefaultParagraphFont"/>
    <w:link w:val="MDPI16affiliation"/>
    <w:rsid w:val="00556971"/>
    <w:rPr>
      <w:rFonts w:ascii="Palatino Linotype" w:eastAsia="Times New Roman" w:hAnsi="Palatino Linotype" w:cs="Times New Roman"/>
      <w:color w:val="000000"/>
      <w:sz w:val="18"/>
      <w:szCs w:val="18"/>
      <w:lang w:val="en-US" w:eastAsia="de-DE" w:bidi="en-US"/>
    </w:rPr>
  </w:style>
  <w:style w:type="character" w:customStyle="1" w:styleId="EndNoteBibliographyTitleChar">
    <w:name w:val="EndNote Bibliography Title Char"/>
    <w:basedOn w:val="MDPI16affiliationChar"/>
    <w:link w:val="EndNoteBibliographyTitle"/>
    <w:rsid w:val="00556971"/>
    <w:rPr>
      <w:rFonts w:ascii="Calibri" w:eastAsia="Times New Roman" w:hAnsi="Calibri" w:cs="Calibri"/>
      <w:noProof/>
      <w:color w:val="000000"/>
      <w:sz w:val="18"/>
      <w:szCs w:val="18"/>
      <w:lang w:val="en-US" w:eastAsia="de-DE" w:bidi="en-US"/>
    </w:rPr>
  </w:style>
  <w:style w:type="paragraph" w:customStyle="1" w:styleId="EndNoteBibliography">
    <w:name w:val="EndNote Bibliography"/>
    <w:basedOn w:val="Normal"/>
    <w:link w:val="EndNoteBibliographyChar"/>
    <w:rsid w:val="00556971"/>
    <w:pPr>
      <w:spacing w:line="240" w:lineRule="auto"/>
    </w:pPr>
    <w:rPr>
      <w:rFonts w:ascii="Calibri" w:eastAsia="Times New Roman" w:hAnsi="Calibri" w:cs="Calibri"/>
      <w:noProof/>
      <w:color w:val="000000"/>
      <w:sz w:val="18"/>
      <w:szCs w:val="18"/>
      <w:lang w:val="en-US" w:eastAsia="de-DE" w:bidi="en-US"/>
    </w:rPr>
  </w:style>
  <w:style w:type="character" w:customStyle="1" w:styleId="EndNoteBibliographyChar">
    <w:name w:val="EndNote Bibliography Char"/>
    <w:basedOn w:val="MDPI16affiliationChar"/>
    <w:link w:val="EndNoteBibliography"/>
    <w:rsid w:val="00556971"/>
    <w:rPr>
      <w:rFonts w:ascii="Calibri" w:eastAsia="Times New Roman" w:hAnsi="Calibri" w:cs="Calibri"/>
      <w:noProof/>
      <w:color w:val="000000"/>
      <w:sz w:val="18"/>
      <w:szCs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Helge Waldum</dc:creator>
  <cp:keywords/>
  <dc:description/>
  <cp:lastModifiedBy>Helge Waldum</cp:lastModifiedBy>
  <cp:revision>3</cp:revision>
  <dcterms:created xsi:type="dcterms:W3CDTF">2020-11-06T13:07:00Z</dcterms:created>
  <dcterms:modified xsi:type="dcterms:W3CDTF">2020-11-06T13:21:00Z</dcterms:modified>
</cp:coreProperties>
</file>