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B6E" w:rsidRPr="002B4389" w:rsidRDefault="007A366F" w:rsidP="007A366F">
      <w:pPr>
        <w:pStyle w:val="Heading1"/>
        <w:spacing w:before="170" w:line="240" w:lineRule="auto"/>
        <w:ind w:left="0"/>
        <w:rPr>
          <w:color w:val="337AB7"/>
        </w:rPr>
      </w:pPr>
      <w:r>
        <w:rPr>
          <w:color w:val="337AB7"/>
        </w:rPr>
        <w:t xml:space="preserve">    </w:t>
      </w:r>
      <w:r w:rsidR="00C47B6E" w:rsidRPr="002B4389">
        <w:rPr>
          <w:color w:val="337AB7"/>
        </w:rPr>
        <w:t>Transarterial Chemoembolization in Patients with Hepatocellular</w:t>
      </w:r>
    </w:p>
    <w:p w:rsidR="00C47B6E" w:rsidRDefault="00C47B6E" w:rsidP="007A366F">
      <w:pPr>
        <w:pStyle w:val="Heading1"/>
        <w:spacing w:before="170" w:line="240" w:lineRule="auto"/>
        <w:ind w:left="0"/>
        <w:rPr>
          <w:color w:val="337AB7"/>
        </w:rPr>
      </w:pPr>
      <w:r w:rsidRPr="002B4389">
        <w:rPr>
          <w:color w:val="337AB7"/>
        </w:rPr>
        <w:t>Carcinoma: Study of Different Outcomes and Their Predictive Factors</w:t>
      </w:r>
    </w:p>
    <w:p w:rsidR="007A366F" w:rsidRPr="007A366F" w:rsidRDefault="007A366F" w:rsidP="007A366F">
      <w:pPr>
        <w:pStyle w:val="Heading1"/>
        <w:spacing w:before="170" w:line="240" w:lineRule="auto"/>
        <w:ind w:left="0"/>
        <w:rPr>
          <w:color w:val="337AB7"/>
          <w:sz w:val="14"/>
          <w:szCs w:val="14"/>
        </w:rPr>
      </w:pPr>
    </w:p>
    <w:p w:rsidR="00C47B6E" w:rsidRDefault="00C47B6E" w:rsidP="00C47B6E">
      <w:pPr>
        <w:pStyle w:val="BodyText"/>
        <w:tabs>
          <w:tab w:val="right" w:pos="5387"/>
          <w:tab w:val="right" w:pos="5670"/>
          <w:tab w:val="right" w:pos="6096"/>
          <w:tab w:val="right" w:pos="7655"/>
        </w:tabs>
        <w:spacing w:before="73" w:line="198" w:lineRule="exact"/>
        <w:ind w:left="100" w:right="3035"/>
        <w:rPr>
          <w:rFonts w:ascii="Arial"/>
        </w:rPr>
      </w:pPr>
      <w:r>
        <w:rPr>
          <w:rFonts w:ascii="Arial"/>
        </w:rPr>
        <w:t>Mahmoud Elkadeem.   PhD</w:t>
      </w:r>
      <w:r w:rsidRPr="00C47B6E">
        <w:rPr>
          <w:rFonts w:ascii="Arial"/>
        </w:rPr>
        <w:t xml:space="preserve"> </w:t>
      </w:r>
      <w:r>
        <w:rPr>
          <w:rFonts w:ascii="Arial"/>
        </w:rPr>
        <w:t xml:space="preserve">Department of Tropical </w:t>
      </w:r>
      <w:r w:rsidRPr="00C47B6E">
        <w:rPr>
          <w:rFonts w:ascii="Arial"/>
        </w:rPr>
        <w:t>Medicine, Tanta University, Tanta, Egypt.</w:t>
      </w:r>
    </w:p>
    <w:p w:rsidR="007A366F" w:rsidRPr="007A366F" w:rsidRDefault="007A366F" w:rsidP="00C47B6E">
      <w:pPr>
        <w:pStyle w:val="BodyText"/>
        <w:tabs>
          <w:tab w:val="right" w:pos="5387"/>
          <w:tab w:val="right" w:pos="5670"/>
          <w:tab w:val="right" w:pos="6096"/>
          <w:tab w:val="right" w:pos="7655"/>
        </w:tabs>
        <w:spacing w:before="73" w:line="198" w:lineRule="exact"/>
        <w:ind w:left="100" w:right="3035"/>
        <w:rPr>
          <w:rFonts w:ascii="Arial"/>
          <w:sz w:val="6"/>
          <w:szCs w:val="6"/>
        </w:rPr>
      </w:pPr>
    </w:p>
    <w:p w:rsidR="00AE3E37" w:rsidRPr="007A366F" w:rsidRDefault="00AE3E37">
      <w:pPr>
        <w:rPr>
          <w:rFonts w:ascii="Arial"/>
          <w:sz w:val="12"/>
          <w:szCs w:val="12"/>
        </w:rPr>
        <w:sectPr w:rsidR="00AE3E37" w:rsidRPr="007A366F" w:rsidSect="00C22776">
          <w:headerReference w:type="default" r:id="rId7"/>
          <w:footerReference w:type="default" r:id="rId8"/>
          <w:type w:val="continuous"/>
          <w:pgSz w:w="11910" w:h="16840"/>
          <w:pgMar w:top="709" w:right="600" w:bottom="284" w:left="620" w:header="541" w:footer="642" w:gutter="0"/>
          <w:cols w:space="720"/>
        </w:sectPr>
      </w:pPr>
    </w:p>
    <w:p w:rsidR="002B4389" w:rsidRPr="002B4389" w:rsidRDefault="007A366F" w:rsidP="007A366F">
      <w:pPr>
        <w:pStyle w:val="BodyText"/>
        <w:spacing w:before="90" w:line="348" w:lineRule="auto"/>
        <w:ind w:left="142"/>
        <w:jc w:val="both"/>
      </w:pPr>
      <w:r w:rsidRPr="00513EA8">
        <w:rPr>
          <w:b/>
          <w:bCs/>
          <w:color w:val="BF5A14"/>
        </w:rPr>
        <w:lastRenderedPageBreak/>
        <w:t>Abstract</w:t>
      </w:r>
      <w:r>
        <w:rPr>
          <w:color w:val="BF5A14"/>
        </w:rPr>
        <w:t xml:space="preserve"> </w:t>
      </w:r>
      <w:r w:rsidR="00C47B6E" w:rsidRPr="00513FA0">
        <w:rPr>
          <w:rFonts w:ascii="Times New Roman" w:hAnsi="Times New Roman" w:cs="Times New Roman"/>
          <w:b/>
          <w:i/>
          <w:iCs/>
          <w:sz w:val="26"/>
          <w:szCs w:val="26"/>
        </w:rPr>
        <w:br/>
      </w:r>
      <w:r w:rsidR="002B4389" w:rsidRPr="002B4389">
        <w:rPr>
          <w:b/>
          <w:bCs/>
        </w:rPr>
        <w:t>Background</w:t>
      </w:r>
      <w:r>
        <w:rPr>
          <w:b/>
          <w:bCs/>
        </w:rPr>
        <w:t xml:space="preserve">: </w:t>
      </w:r>
      <w:r w:rsidR="002B4389" w:rsidRPr="002B4389">
        <w:t>Hepatocellular carcioma is one of the leading causes of cancer</w:t>
      </w:r>
      <w:r>
        <w:rPr>
          <w:b/>
          <w:bCs/>
        </w:rPr>
        <w:t xml:space="preserve"> </w:t>
      </w:r>
      <w:r w:rsidR="002B4389" w:rsidRPr="002B4389">
        <w:t>deaths worldwide. Transarterial chemoembolization (TACE) is</w:t>
      </w:r>
      <w:r>
        <w:rPr>
          <w:b/>
          <w:bCs/>
        </w:rPr>
        <w:t xml:space="preserve"> </w:t>
      </w:r>
      <w:r w:rsidR="002B4389" w:rsidRPr="002B4389">
        <w:t>a standard therapy for intermediate stage of liver cancer.</w:t>
      </w:r>
      <w:r>
        <w:rPr>
          <w:b/>
          <w:bCs/>
        </w:rPr>
        <w:t xml:space="preserve"> </w:t>
      </w:r>
      <w:r w:rsidR="002B4389" w:rsidRPr="002B4389">
        <w:t>However, It may have a risk of mortality and morbidity. Many</w:t>
      </w:r>
      <w:r>
        <w:rPr>
          <w:b/>
          <w:bCs/>
        </w:rPr>
        <w:t xml:space="preserve"> </w:t>
      </w:r>
      <w:r w:rsidR="002B4389" w:rsidRPr="002B4389">
        <w:t>factors other than radiological response determine TACE</w:t>
      </w:r>
      <w:r>
        <w:rPr>
          <w:b/>
          <w:bCs/>
        </w:rPr>
        <w:t xml:space="preserve"> </w:t>
      </w:r>
      <w:r w:rsidR="002B4389" w:rsidRPr="002B4389">
        <w:t xml:space="preserve">outcomes. </w:t>
      </w:r>
    </w:p>
    <w:p w:rsidR="00C47B6E" w:rsidRPr="00C47B6E" w:rsidRDefault="00C47B6E" w:rsidP="007A366F">
      <w:pPr>
        <w:pStyle w:val="BodyText"/>
        <w:spacing w:before="90" w:line="348" w:lineRule="auto"/>
        <w:ind w:left="142"/>
        <w:jc w:val="both"/>
      </w:pPr>
      <w:r w:rsidRPr="00513EA8">
        <w:rPr>
          <w:b/>
          <w:bCs/>
        </w:rPr>
        <w:t>Aim:</w:t>
      </w:r>
      <w:r w:rsidRPr="00C47B6E">
        <w:t xml:space="preserve"> To analyze the outcomes after transarterial chemoembolizaton (TACE) including radiological response and liver decompensation, and their predictive factors.          </w:t>
      </w:r>
    </w:p>
    <w:p w:rsidR="00513EA8" w:rsidRDefault="00C47B6E" w:rsidP="007A366F">
      <w:pPr>
        <w:pStyle w:val="BodyText"/>
        <w:spacing w:before="90" w:line="348" w:lineRule="auto"/>
        <w:ind w:left="142"/>
        <w:jc w:val="both"/>
        <w:rPr>
          <w:b/>
          <w:bCs/>
        </w:rPr>
      </w:pPr>
      <w:r w:rsidRPr="00513EA8">
        <w:rPr>
          <w:b/>
          <w:bCs/>
        </w:rPr>
        <w:t>Methods:</w:t>
      </w:r>
      <w:r w:rsidRPr="00C47B6E">
        <w:t xml:space="preserve"> Sixty two hepatocellular carcinoma patients underwent transarterial chemoembolizaton. Laboratory data, tumor criteria, and Child-Pugh score were recorded baseline and at one month post-procedure. Tumor response according to Modified Response Evaluation Criteria in Solid Tumors was evaluated.                                                                                                                                                       </w:t>
      </w:r>
    </w:p>
    <w:p w:rsidR="00C47B6E" w:rsidRPr="00C47B6E" w:rsidRDefault="00C47B6E" w:rsidP="007A366F">
      <w:pPr>
        <w:pStyle w:val="BodyText"/>
        <w:spacing w:before="90" w:line="348" w:lineRule="auto"/>
        <w:ind w:left="100"/>
        <w:jc w:val="both"/>
      </w:pPr>
      <w:r w:rsidRPr="00513EA8">
        <w:rPr>
          <w:b/>
          <w:bCs/>
        </w:rPr>
        <w:t>Results:</w:t>
      </w:r>
      <w:r w:rsidRPr="00C47B6E">
        <w:t xml:space="preserve"> Twenty  five  patients  (40.3%)  showed  complete  response, 15  patients  (24.2 %)  showed  partial response,  2  patients  (3.2%)  showed  stable  disease,   and   20   patients   (32.3%) showed  progressive disease. Significant difference  was  detected  in patients with different radiological responses as regards  tumor  criteria (size, invasion of portal vein, Barcelona Clinic Liver  Cancer  stage),  and  technique  of TACE. Thirty six patients (58%) had liver decompensation after TACE. Tumor criteria, serum bilirubin, AST, INR, Model for End Stage Liver Disease, and low platelet count were detected to be predictors of as radiological response and liver decompensation after TACE.                                                                                                             </w:t>
      </w:r>
    </w:p>
    <w:p w:rsidR="00C47B6E" w:rsidRPr="00C47B6E" w:rsidRDefault="00C47B6E" w:rsidP="007A366F">
      <w:pPr>
        <w:pStyle w:val="BodyText"/>
        <w:spacing w:before="90" w:line="348" w:lineRule="auto"/>
        <w:ind w:left="100"/>
        <w:jc w:val="both"/>
      </w:pPr>
      <w:r w:rsidRPr="00513EA8">
        <w:rPr>
          <w:b/>
          <w:bCs/>
        </w:rPr>
        <w:t>Conclusion:</w:t>
      </w:r>
      <w:r w:rsidRPr="00C47B6E">
        <w:t xml:space="preserve"> Radiological response cannot be considered alone to determine the outcomes after transarterial chemoembolization. Also, tumor criteria, liver functions, and platelet count are predictors of the outcome.</w:t>
      </w:r>
    </w:p>
    <w:p w:rsidR="00C47B6E" w:rsidRPr="00C47B6E" w:rsidRDefault="00C47B6E" w:rsidP="007A366F">
      <w:pPr>
        <w:pStyle w:val="BodyText"/>
        <w:spacing w:before="90" w:line="348" w:lineRule="auto"/>
        <w:ind w:left="100"/>
        <w:jc w:val="both"/>
      </w:pPr>
      <w:r w:rsidRPr="00513EA8">
        <w:rPr>
          <w:b/>
          <w:bCs/>
        </w:rPr>
        <w:t>Keywords:</w:t>
      </w:r>
      <w:r w:rsidRPr="00C47B6E">
        <w:t xml:space="preserve"> Hepatocellular carcinoma, Modified Response Evaluation Criteria in Solid Tumors Transarterial chemoembolization. </w:t>
      </w:r>
    </w:p>
    <w:p w:rsidR="00AE3E37" w:rsidRDefault="00A9710C" w:rsidP="007A366F">
      <w:pPr>
        <w:pStyle w:val="Heading3"/>
        <w:spacing w:before="74" w:line="300" w:lineRule="auto"/>
        <w:ind w:left="142"/>
      </w:pPr>
      <w:r>
        <w:rPr>
          <w:b w:val="0"/>
        </w:rPr>
        <w:br w:type="column"/>
      </w:r>
      <w:r>
        <w:rPr>
          <w:color w:val="BF5A14"/>
        </w:rPr>
        <w:lastRenderedPageBreak/>
        <w:t>Image</w:t>
      </w:r>
    </w:p>
    <w:p w:rsidR="00AE3E37" w:rsidRDefault="002B4389" w:rsidP="002B4389">
      <w:pPr>
        <w:pStyle w:val="BodyText"/>
        <w:spacing w:before="2"/>
        <w:ind w:left="142"/>
        <w:rPr>
          <w:rFonts w:ascii="Arial"/>
          <w:b/>
          <w:sz w:val="16"/>
        </w:rPr>
      </w:pPr>
      <w:r w:rsidRPr="002B4389">
        <w:rPr>
          <w:rFonts w:ascii="Arial"/>
          <w:b/>
          <w:noProof/>
          <w:sz w:val="16"/>
        </w:rPr>
        <w:drawing>
          <wp:inline distT="0" distB="0" distL="0" distR="0">
            <wp:extent cx="3163062" cy="1411834"/>
            <wp:effectExtent l="19050" t="0" r="0" b="0"/>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srcRect/>
                    <a:stretch>
                      <a:fillRect/>
                    </a:stretch>
                  </pic:blipFill>
                  <pic:spPr bwMode="auto">
                    <a:xfrm>
                      <a:off x="0" y="0"/>
                      <a:ext cx="3165475" cy="1412911"/>
                    </a:xfrm>
                    <a:prstGeom prst="rect">
                      <a:avLst/>
                    </a:prstGeom>
                    <a:noFill/>
                    <a:ln w="9525">
                      <a:noFill/>
                      <a:miter lim="800000"/>
                      <a:headEnd/>
                      <a:tailEnd/>
                    </a:ln>
                  </pic:spPr>
                </pic:pic>
              </a:graphicData>
            </a:graphic>
          </wp:inline>
        </w:drawing>
      </w:r>
    </w:p>
    <w:p w:rsidR="002B4389" w:rsidRDefault="002B4389" w:rsidP="002B4389">
      <w:pPr>
        <w:pStyle w:val="BodyText"/>
        <w:spacing w:before="2"/>
        <w:ind w:left="142"/>
        <w:rPr>
          <w:rFonts w:ascii="Arial"/>
          <w:b/>
          <w:sz w:val="16"/>
        </w:rPr>
      </w:pPr>
    </w:p>
    <w:p w:rsidR="002B4389" w:rsidRPr="002B4389" w:rsidRDefault="002B4389" w:rsidP="002B4389">
      <w:pPr>
        <w:autoSpaceDE w:val="0"/>
        <w:autoSpaceDN w:val="0"/>
        <w:adjustRightInd w:val="0"/>
        <w:ind w:left="142"/>
        <w:jc w:val="both"/>
        <w:rPr>
          <w:rFonts w:ascii="Myriad Pro" w:eastAsia="Batang" w:hAnsi="Myriad Pro"/>
          <w:sz w:val="17"/>
          <w:szCs w:val="17"/>
          <w:lang w:eastAsia="ko-KR"/>
        </w:rPr>
      </w:pPr>
      <w:r w:rsidRPr="00304C4D">
        <w:rPr>
          <w:rFonts w:ascii="Myriad Pro" w:eastAsia="Batang" w:hAnsi="Myriad Pro"/>
          <w:sz w:val="17"/>
          <w:szCs w:val="17"/>
          <w:lang w:eastAsia="ko-KR"/>
        </w:rPr>
        <w:t>Conventional transcatheter arterial chemoembolization. (A) Following superselective catheterization of the hepatic arterial branch</w:t>
      </w:r>
      <w:r>
        <w:rPr>
          <w:rFonts w:ascii="Myriad Pro" w:eastAsia="Batang" w:hAnsi="Myriad Pro"/>
          <w:sz w:val="17"/>
          <w:szCs w:val="17"/>
          <w:lang w:eastAsia="ko-KR"/>
        </w:rPr>
        <w:t xml:space="preserve"> </w:t>
      </w:r>
      <w:r w:rsidRPr="00304C4D">
        <w:rPr>
          <w:rFonts w:ascii="Myriad Pro" w:eastAsia="Batang" w:hAnsi="Myriad Pro"/>
          <w:sz w:val="17"/>
          <w:szCs w:val="17"/>
          <w:lang w:eastAsia="ko-KR"/>
        </w:rPr>
        <w:t>feeding the tumor, doxorubicin-in-oil emulsion is administered, followed by gelatin sponge particles. (B) Angiographic image obtained after the</w:t>
      </w:r>
      <w:r>
        <w:rPr>
          <w:rFonts w:ascii="Myriad Pro" w:eastAsia="Batang" w:hAnsi="Myriad Pro"/>
          <w:sz w:val="17"/>
          <w:szCs w:val="17"/>
          <w:lang w:eastAsia="ko-KR"/>
        </w:rPr>
        <w:t xml:space="preserve"> </w:t>
      </w:r>
      <w:r w:rsidRPr="00304C4D">
        <w:rPr>
          <w:rFonts w:ascii="Myriad Pro" w:eastAsia="Batang" w:hAnsi="Myriad Pro"/>
          <w:sz w:val="17"/>
          <w:szCs w:val="17"/>
          <w:lang w:eastAsia="ko-KR"/>
        </w:rPr>
        <w:t>procedure shows absence of residual tumor vascularity</w:t>
      </w:r>
    </w:p>
    <w:p w:rsidR="005973B9" w:rsidRDefault="005973B9" w:rsidP="00904A4C">
      <w:pPr>
        <w:spacing w:line="204" w:lineRule="exact"/>
        <w:ind w:left="142"/>
        <w:rPr>
          <w:rFonts w:ascii="Arial"/>
          <w:b/>
          <w:color w:val="BF5A14"/>
          <w:sz w:val="20"/>
        </w:rPr>
      </w:pPr>
      <w:r>
        <w:rPr>
          <w:rFonts w:ascii="Arial"/>
          <w:b/>
          <w:color w:val="BF5A14"/>
          <w:sz w:val="20"/>
        </w:rPr>
        <w:br/>
      </w:r>
      <w:r w:rsidR="00904A4C">
        <w:rPr>
          <w:rFonts w:ascii="Arial"/>
          <w:b/>
          <w:color w:val="BF5A14"/>
          <w:sz w:val="20"/>
        </w:rPr>
        <w:t xml:space="preserve">  </w:t>
      </w:r>
      <w:r>
        <w:rPr>
          <w:rFonts w:ascii="Arial"/>
          <w:b/>
          <w:color w:val="BF5A14"/>
          <w:sz w:val="20"/>
        </w:rPr>
        <w:t xml:space="preserve">Recent Publications </w:t>
      </w:r>
    </w:p>
    <w:p w:rsidR="00904A4C" w:rsidRPr="00904A4C" w:rsidRDefault="00904A4C" w:rsidP="00904A4C">
      <w:pPr>
        <w:tabs>
          <w:tab w:val="left" w:pos="384"/>
        </w:tabs>
        <w:spacing w:before="103" w:line="216" w:lineRule="exact"/>
        <w:ind w:left="142" w:right="138"/>
        <w:rPr>
          <w:sz w:val="18"/>
        </w:rPr>
      </w:pPr>
      <w:r>
        <w:rPr>
          <w:sz w:val="18"/>
        </w:rPr>
        <w:t xml:space="preserve"> </w:t>
      </w:r>
      <w:r w:rsidR="00513EA8" w:rsidRPr="00904A4C">
        <w:rPr>
          <w:sz w:val="18"/>
        </w:rPr>
        <w:t xml:space="preserve">[1] Omata M, Lesmana L A, Tateishi R, </w:t>
      </w:r>
      <w:hyperlink r:id="rId10" w:history="1">
        <w:r w:rsidR="00513EA8" w:rsidRPr="00904A4C">
          <w:rPr>
            <w:sz w:val="18"/>
          </w:rPr>
          <w:t>Chen</w:t>
        </w:r>
      </w:hyperlink>
      <w:r w:rsidR="00513EA8" w:rsidRPr="00904A4C">
        <w:rPr>
          <w:sz w:val="18"/>
        </w:rPr>
        <w:t xml:space="preserve"> PJ, </w:t>
      </w:r>
      <w:hyperlink r:id="rId11" w:history="1">
        <w:r w:rsidR="00513EA8" w:rsidRPr="00904A4C">
          <w:rPr>
            <w:sz w:val="18"/>
          </w:rPr>
          <w:t xml:space="preserve"> Lin</w:t>
        </w:r>
      </w:hyperlink>
      <w:r w:rsidR="00513EA8" w:rsidRPr="00904A4C">
        <w:rPr>
          <w:sz w:val="18"/>
        </w:rPr>
        <w:t xml:space="preserve"> SM, </w:t>
      </w:r>
      <w:hyperlink r:id="rId12" w:history="1">
        <w:r w:rsidR="00513EA8" w:rsidRPr="00904A4C">
          <w:rPr>
            <w:sz w:val="18"/>
          </w:rPr>
          <w:t>Yoshida</w:t>
        </w:r>
      </w:hyperlink>
      <w:r w:rsidRPr="00904A4C">
        <w:rPr>
          <w:sz w:val="18"/>
        </w:rPr>
        <w:t xml:space="preserve"> H</w:t>
      </w:r>
      <w:r w:rsidR="00513EA8" w:rsidRPr="00904A4C">
        <w:rPr>
          <w:sz w:val="18"/>
        </w:rPr>
        <w:t>, et al</w:t>
      </w:r>
      <w:r w:rsidRPr="00904A4C">
        <w:rPr>
          <w:sz w:val="18"/>
        </w:rPr>
        <w:t xml:space="preserve"> (2010):</w:t>
      </w:r>
      <w:r w:rsidR="00513EA8" w:rsidRPr="00904A4C">
        <w:rPr>
          <w:sz w:val="18"/>
        </w:rPr>
        <w:t xml:space="preserve"> Asian Pacific Association for the Study of the Liver consensus recommendations on hepatocellular carcinoma</w:t>
      </w:r>
      <w:r w:rsidRPr="00904A4C">
        <w:rPr>
          <w:sz w:val="18"/>
        </w:rPr>
        <w:t>.</w:t>
      </w:r>
      <w:r w:rsidR="00513EA8" w:rsidRPr="00904A4C">
        <w:rPr>
          <w:sz w:val="18"/>
        </w:rPr>
        <w:t xml:space="preserve"> Hepatol Int</w:t>
      </w:r>
      <w:r>
        <w:rPr>
          <w:sz w:val="18"/>
        </w:rPr>
        <w:t>;</w:t>
      </w:r>
      <w:r w:rsidR="00513EA8" w:rsidRPr="00904A4C">
        <w:rPr>
          <w:sz w:val="18"/>
        </w:rPr>
        <w:t xml:space="preserve"> </w:t>
      </w:r>
      <w:r w:rsidRPr="00904A4C">
        <w:rPr>
          <w:sz w:val="18"/>
        </w:rPr>
        <w:t xml:space="preserve">4 (2): </w:t>
      </w:r>
      <w:r w:rsidR="00513EA8" w:rsidRPr="00904A4C">
        <w:rPr>
          <w:sz w:val="18"/>
        </w:rPr>
        <w:t>439-474</w:t>
      </w:r>
      <w:r w:rsidRPr="00904A4C">
        <w:rPr>
          <w:sz w:val="18"/>
        </w:rPr>
        <w:t>.</w:t>
      </w:r>
      <w:r w:rsidR="00513EA8" w:rsidRPr="00904A4C">
        <w:rPr>
          <w:sz w:val="18"/>
        </w:rPr>
        <w:t xml:space="preserve"> </w:t>
      </w:r>
    </w:p>
    <w:p w:rsidR="00513EA8" w:rsidRPr="00904A4C" w:rsidRDefault="00513EA8" w:rsidP="00904A4C">
      <w:pPr>
        <w:tabs>
          <w:tab w:val="left" w:pos="384"/>
        </w:tabs>
        <w:spacing w:before="103" w:line="216" w:lineRule="exact"/>
        <w:ind w:left="142" w:right="138"/>
        <w:jc w:val="both"/>
        <w:rPr>
          <w:sz w:val="18"/>
          <w:rtl/>
        </w:rPr>
      </w:pPr>
      <w:r w:rsidRPr="00904A4C">
        <w:rPr>
          <w:sz w:val="18"/>
        </w:rPr>
        <w:t>[2] Raoul</w:t>
      </w:r>
      <w:r w:rsidR="00904A4C">
        <w:rPr>
          <w:sz w:val="18"/>
        </w:rPr>
        <w:t xml:space="preserve"> JL</w:t>
      </w:r>
      <w:r w:rsidRPr="00904A4C">
        <w:rPr>
          <w:sz w:val="18"/>
        </w:rPr>
        <w:t>, Sangro</w:t>
      </w:r>
      <w:r w:rsidR="00904A4C">
        <w:rPr>
          <w:sz w:val="18"/>
        </w:rPr>
        <w:t xml:space="preserve"> B</w:t>
      </w:r>
      <w:r w:rsidRPr="00904A4C">
        <w:rPr>
          <w:sz w:val="18"/>
        </w:rPr>
        <w:t>, Forner</w:t>
      </w:r>
      <w:r w:rsidR="00904A4C">
        <w:rPr>
          <w:sz w:val="18"/>
        </w:rPr>
        <w:t xml:space="preserve"> A</w:t>
      </w:r>
      <w:r w:rsidRPr="00904A4C">
        <w:rPr>
          <w:sz w:val="18"/>
        </w:rPr>
        <w:t>, Mazzaferro</w:t>
      </w:r>
      <w:r w:rsidR="00904A4C">
        <w:rPr>
          <w:sz w:val="18"/>
        </w:rPr>
        <w:t xml:space="preserve"> V</w:t>
      </w:r>
      <w:r w:rsidRPr="00904A4C">
        <w:rPr>
          <w:sz w:val="18"/>
        </w:rPr>
        <w:t>, Piscaglia</w:t>
      </w:r>
      <w:r w:rsidR="00904A4C">
        <w:rPr>
          <w:sz w:val="18"/>
        </w:rPr>
        <w:t xml:space="preserve"> F</w:t>
      </w:r>
      <w:r w:rsidRPr="00904A4C">
        <w:rPr>
          <w:sz w:val="18"/>
        </w:rPr>
        <w:t>, Bolondi</w:t>
      </w:r>
      <w:r w:rsidR="00904A4C">
        <w:rPr>
          <w:sz w:val="18"/>
        </w:rPr>
        <w:t xml:space="preserve"> L</w:t>
      </w:r>
      <w:r w:rsidRPr="00904A4C">
        <w:rPr>
          <w:sz w:val="18"/>
        </w:rPr>
        <w:t>, et al</w:t>
      </w:r>
      <w:r w:rsidR="00904A4C">
        <w:rPr>
          <w:sz w:val="18"/>
        </w:rPr>
        <w:t xml:space="preserve"> (2011):</w:t>
      </w:r>
      <w:r w:rsidRPr="00904A4C">
        <w:rPr>
          <w:sz w:val="18"/>
        </w:rPr>
        <w:t xml:space="preserve"> Evolving strategies for the management of Intermediate-stage hepatocellular carcinoma: available evidence and expert opinion on the use of trans-arterial chemoembolization</w:t>
      </w:r>
      <w:r w:rsidR="00904A4C">
        <w:rPr>
          <w:sz w:val="18"/>
        </w:rPr>
        <w:t>.</w:t>
      </w:r>
      <w:r w:rsidRPr="00904A4C">
        <w:rPr>
          <w:sz w:val="18"/>
        </w:rPr>
        <w:t xml:space="preserve"> Cancer Treatment Reviews</w:t>
      </w:r>
      <w:r w:rsidR="00904A4C">
        <w:rPr>
          <w:sz w:val="18"/>
        </w:rPr>
        <w:t>;</w:t>
      </w:r>
      <w:r w:rsidRPr="00904A4C">
        <w:rPr>
          <w:sz w:val="18"/>
        </w:rPr>
        <w:t xml:space="preserve"> 37</w:t>
      </w:r>
      <w:r w:rsidR="00904A4C">
        <w:rPr>
          <w:sz w:val="18"/>
        </w:rPr>
        <w:t xml:space="preserve"> (3):</w:t>
      </w:r>
      <w:r w:rsidRPr="00904A4C">
        <w:rPr>
          <w:sz w:val="18"/>
        </w:rPr>
        <w:t xml:space="preserve"> 212-220.                                                                                                                             </w:t>
      </w:r>
    </w:p>
    <w:p w:rsidR="00904A4C" w:rsidRPr="00904A4C" w:rsidRDefault="00513EA8" w:rsidP="00904A4C">
      <w:pPr>
        <w:tabs>
          <w:tab w:val="left" w:pos="384"/>
        </w:tabs>
        <w:spacing w:before="103" w:line="216" w:lineRule="exact"/>
        <w:ind w:left="142" w:right="138"/>
        <w:jc w:val="both"/>
      </w:pPr>
      <w:r w:rsidRPr="00904A4C">
        <w:rPr>
          <w:sz w:val="18"/>
        </w:rPr>
        <w:t>[3] Garwood</w:t>
      </w:r>
      <w:r w:rsidR="00904A4C" w:rsidRPr="00904A4C">
        <w:rPr>
          <w:sz w:val="18"/>
        </w:rPr>
        <w:t xml:space="preserve"> ER</w:t>
      </w:r>
      <w:r w:rsidRPr="00904A4C">
        <w:rPr>
          <w:sz w:val="18"/>
        </w:rPr>
        <w:t>, Fidelman</w:t>
      </w:r>
      <w:r w:rsidR="00904A4C" w:rsidRPr="00904A4C">
        <w:rPr>
          <w:sz w:val="18"/>
        </w:rPr>
        <w:t xml:space="preserve"> N</w:t>
      </w:r>
      <w:r w:rsidRPr="00904A4C">
        <w:rPr>
          <w:sz w:val="18"/>
        </w:rPr>
        <w:t>, Hoch</w:t>
      </w:r>
      <w:r w:rsidR="00904A4C" w:rsidRPr="00904A4C">
        <w:rPr>
          <w:sz w:val="18"/>
        </w:rPr>
        <w:t xml:space="preserve"> SE</w:t>
      </w:r>
      <w:r w:rsidRPr="00904A4C">
        <w:rPr>
          <w:sz w:val="18"/>
        </w:rPr>
        <w:t>, Jr. Kerlan</w:t>
      </w:r>
      <w:r w:rsidR="00904A4C" w:rsidRPr="00904A4C">
        <w:rPr>
          <w:sz w:val="18"/>
        </w:rPr>
        <w:t xml:space="preserve"> RK</w:t>
      </w:r>
      <w:r w:rsidRPr="00904A4C">
        <w:rPr>
          <w:sz w:val="18"/>
        </w:rPr>
        <w:t>, and Yao</w:t>
      </w:r>
      <w:r w:rsidR="00904A4C" w:rsidRPr="00904A4C">
        <w:rPr>
          <w:sz w:val="18"/>
        </w:rPr>
        <w:t xml:space="preserve"> FY (2013):</w:t>
      </w:r>
      <w:r w:rsidRPr="00904A4C">
        <w:rPr>
          <w:sz w:val="18"/>
        </w:rPr>
        <w:t xml:space="preserve"> Morbidity and mortality following transarterial liver chemoembolization in patients with hepatocellular carcinoma and synthetic hepatic dysfunction</w:t>
      </w:r>
      <w:r w:rsidR="00904A4C" w:rsidRPr="00904A4C">
        <w:rPr>
          <w:sz w:val="18"/>
        </w:rPr>
        <w:t>.</w:t>
      </w:r>
      <w:r w:rsidRPr="00904A4C">
        <w:rPr>
          <w:sz w:val="18"/>
        </w:rPr>
        <w:t xml:space="preserve"> Liver Transplantation</w:t>
      </w:r>
      <w:r w:rsidR="00904A4C" w:rsidRPr="00904A4C">
        <w:rPr>
          <w:sz w:val="18"/>
        </w:rPr>
        <w:t>;</w:t>
      </w:r>
      <w:r w:rsidRPr="00904A4C">
        <w:rPr>
          <w:sz w:val="18"/>
        </w:rPr>
        <w:t xml:space="preserve"> </w:t>
      </w:r>
      <w:r w:rsidR="00904A4C" w:rsidRPr="00904A4C">
        <w:rPr>
          <w:sz w:val="18"/>
        </w:rPr>
        <w:t>19 (2):</w:t>
      </w:r>
      <w:r w:rsidRPr="00904A4C">
        <w:rPr>
          <w:sz w:val="18"/>
        </w:rPr>
        <w:t xml:space="preserve"> 164-173 </w:t>
      </w:r>
    </w:p>
    <w:p w:rsidR="00904A4C" w:rsidRDefault="00513EA8" w:rsidP="00904A4C">
      <w:pPr>
        <w:tabs>
          <w:tab w:val="left" w:pos="384"/>
        </w:tabs>
        <w:spacing w:before="103" w:line="216" w:lineRule="exact"/>
        <w:ind w:left="142" w:right="138"/>
        <w:jc w:val="both"/>
        <w:rPr>
          <w:sz w:val="18"/>
        </w:rPr>
      </w:pPr>
      <w:r w:rsidRPr="00904A4C">
        <w:rPr>
          <w:sz w:val="18"/>
        </w:rPr>
        <w:t>[4] Chan</w:t>
      </w:r>
      <w:r w:rsidR="00904A4C">
        <w:rPr>
          <w:sz w:val="18"/>
        </w:rPr>
        <w:t xml:space="preserve"> AO</w:t>
      </w:r>
      <w:r w:rsidRPr="00904A4C">
        <w:rPr>
          <w:sz w:val="18"/>
        </w:rPr>
        <w:t>, Yuen</w:t>
      </w:r>
      <w:r w:rsidR="00904A4C">
        <w:rPr>
          <w:sz w:val="18"/>
        </w:rPr>
        <w:t xml:space="preserve"> MF</w:t>
      </w:r>
      <w:r w:rsidRPr="00904A4C">
        <w:rPr>
          <w:sz w:val="18"/>
        </w:rPr>
        <w:t>, Hui</w:t>
      </w:r>
      <w:r w:rsidR="00904A4C">
        <w:rPr>
          <w:sz w:val="18"/>
        </w:rPr>
        <w:t xml:space="preserve"> CK</w:t>
      </w:r>
      <w:r w:rsidRPr="00904A4C">
        <w:rPr>
          <w:sz w:val="18"/>
        </w:rPr>
        <w:t>, Tso</w:t>
      </w:r>
      <w:r w:rsidR="00904A4C">
        <w:rPr>
          <w:sz w:val="18"/>
        </w:rPr>
        <w:t xml:space="preserve"> WK</w:t>
      </w:r>
      <w:r w:rsidRPr="00904A4C">
        <w:rPr>
          <w:sz w:val="18"/>
        </w:rPr>
        <w:t>, and Lai</w:t>
      </w:r>
      <w:r w:rsidR="00904A4C">
        <w:rPr>
          <w:sz w:val="18"/>
        </w:rPr>
        <w:t xml:space="preserve"> CL (2002):</w:t>
      </w:r>
      <w:r w:rsidRPr="00904A4C">
        <w:rPr>
          <w:sz w:val="18"/>
        </w:rPr>
        <w:t xml:space="preserve"> A prospective study regarding the complications of transcatheter intraarterial lipiodol chemoembolization in patients with hepatocellular carcinoma</w:t>
      </w:r>
      <w:r w:rsidR="00904A4C">
        <w:rPr>
          <w:sz w:val="18"/>
        </w:rPr>
        <w:t>.</w:t>
      </w:r>
      <w:r w:rsidRPr="00904A4C">
        <w:rPr>
          <w:sz w:val="18"/>
        </w:rPr>
        <w:t xml:space="preserve"> Cancer</w:t>
      </w:r>
      <w:r w:rsidR="00904A4C">
        <w:rPr>
          <w:sz w:val="18"/>
        </w:rPr>
        <w:t>;</w:t>
      </w:r>
      <w:r w:rsidRPr="00904A4C">
        <w:rPr>
          <w:sz w:val="18"/>
        </w:rPr>
        <w:t xml:space="preserve"> </w:t>
      </w:r>
      <w:r w:rsidR="00904A4C">
        <w:rPr>
          <w:sz w:val="18"/>
        </w:rPr>
        <w:t>94 (6):</w:t>
      </w:r>
      <w:r w:rsidRPr="00904A4C">
        <w:rPr>
          <w:sz w:val="18"/>
        </w:rPr>
        <w:t xml:space="preserve"> 1747-1752</w:t>
      </w:r>
      <w:r w:rsidR="00904A4C">
        <w:rPr>
          <w:sz w:val="18"/>
        </w:rPr>
        <w:t>.</w:t>
      </w:r>
      <w:r w:rsidRPr="00904A4C">
        <w:rPr>
          <w:sz w:val="18"/>
        </w:rPr>
        <w:t xml:space="preserve"> </w:t>
      </w:r>
    </w:p>
    <w:p w:rsidR="00AE3E37" w:rsidRDefault="00904A4C" w:rsidP="002B4389">
      <w:pPr>
        <w:tabs>
          <w:tab w:val="left" w:pos="384"/>
        </w:tabs>
        <w:spacing w:before="103" w:line="216" w:lineRule="exact"/>
        <w:ind w:left="142" w:right="138"/>
        <w:jc w:val="both"/>
        <w:rPr>
          <w:sz w:val="18"/>
        </w:rPr>
      </w:pPr>
      <w:r>
        <w:rPr>
          <w:sz w:val="18"/>
        </w:rPr>
        <w:t>[</w:t>
      </w:r>
      <w:r w:rsidR="00513EA8" w:rsidRPr="00904A4C">
        <w:rPr>
          <w:sz w:val="18"/>
        </w:rPr>
        <w:t xml:space="preserve">5] </w:t>
      </w:r>
      <w:r w:rsidRPr="00904A4C">
        <w:rPr>
          <w:sz w:val="18"/>
        </w:rPr>
        <w:t>Vogl</w:t>
      </w:r>
      <w:r>
        <w:rPr>
          <w:sz w:val="18"/>
        </w:rPr>
        <w:t xml:space="preserve"> TJ</w:t>
      </w:r>
      <w:r w:rsidRPr="00904A4C">
        <w:rPr>
          <w:sz w:val="18"/>
        </w:rPr>
        <w:t>, Naguib</w:t>
      </w:r>
      <w:r>
        <w:rPr>
          <w:sz w:val="18"/>
        </w:rPr>
        <w:t xml:space="preserve"> NN</w:t>
      </w:r>
      <w:r w:rsidRPr="00904A4C">
        <w:rPr>
          <w:sz w:val="18"/>
        </w:rPr>
        <w:t>, Nour-Eldin</w:t>
      </w:r>
      <w:r>
        <w:rPr>
          <w:sz w:val="18"/>
        </w:rPr>
        <w:t xml:space="preserve"> NE</w:t>
      </w:r>
      <w:r w:rsidRPr="00904A4C">
        <w:rPr>
          <w:sz w:val="18"/>
        </w:rPr>
        <w:t>, Rao</w:t>
      </w:r>
      <w:r>
        <w:rPr>
          <w:sz w:val="18"/>
        </w:rPr>
        <w:t xml:space="preserve"> P</w:t>
      </w:r>
      <w:r w:rsidRPr="00904A4C">
        <w:rPr>
          <w:sz w:val="18"/>
        </w:rPr>
        <w:t>, Emami</w:t>
      </w:r>
      <w:r>
        <w:rPr>
          <w:sz w:val="18"/>
        </w:rPr>
        <w:t xml:space="preserve"> AH</w:t>
      </w:r>
      <w:r w:rsidRPr="00904A4C">
        <w:rPr>
          <w:sz w:val="18"/>
        </w:rPr>
        <w:t>, Zangos</w:t>
      </w:r>
      <w:r>
        <w:rPr>
          <w:sz w:val="18"/>
        </w:rPr>
        <w:t xml:space="preserve"> S</w:t>
      </w:r>
      <w:r w:rsidRPr="00904A4C">
        <w:rPr>
          <w:sz w:val="18"/>
        </w:rPr>
        <w:t>, et al</w:t>
      </w:r>
      <w:r w:rsidR="002B4389">
        <w:rPr>
          <w:sz w:val="18"/>
        </w:rPr>
        <w:t xml:space="preserve"> (2009):</w:t>
      </w:r>
      <w:r w:rsidRPr="00904A4C">
        <w:rPr>
          <w:sz w:val="18"/>
        </w:rPr>
        <w:t xml:space="preserve"> Review on transarterial chemoembolization in hepatocellular carcinoma: palliative,combined, neoadjuvant, bridging, and symptomatic indications</w:t>
      </w:r>
      <w:r w:rsidR="002B4389">
        <w:rPr>
          <w:sz w:val="18"/>
        </w:rPr>
        <w:t>.</w:t>
      </w:r>
      <w:r w:rsidRPr="00904A4C">
        <w:rPr>
          <w:sz w:val="18"/>
        </w:rPr>
        <w:t xml:space="preserve"> Eur J Radiol</w:t>
      </w:r>
      <w:r w:rsidR="002B4389">
        <w:rPr>
          <w:sz w:val="18"/>
        </w:rPr>
        <w:t>;</w:t>
      </w:r>
      <w:r w:rsidRPr="00904A4C">
        <w:rPr>
          <w:sz w:val="18"/>
        </w:rPr>
        <w:t xml:space="preserve"> </w:t>
      </w:r>
      <w:r w:rsidR="002B4389">
        <w:rPr>
          <w:sz w:val="18"/>
        </w:rPr>
        <w:t xml:space="preserve"> 72 (3):</w:t>
      </w:r>
      <w:r w:rsidRPr="00904A4C">
        <w:rPr>
          <w:sz w:val="18"/>
        </w:rPr>
        <w:t xml:space="preserve"> 505-516</w:t>
      </w:r>
      <w:r w:rsidR="002B4389">
        <w:rPr>
          <w:sz w:val="18"/>
        </w:rPr>
        <w:t>.</w:t>
      </w:r>
      <w:r w:rsidRPr="00904A4C">
        <w:rPr>
          <w:sz w:val="18"/>
        </w:rPr>
        <w:t xml:space="preserve"> </w:t>
      </w:r>
    </w:p>
    <w:p w:rsidR="007A366F" w:rsidRPr="00904A4C" w:rsidRDefault="007A366F" w:rsidP="002B4389">
      <w:pPr>
        <w:tabs>
          <w:tab w:val="left" w:pos="384"/>
        </w:tabs>
        <w:spacing w:before="103" w:line="216" w:lineRule="exact"/>
        <w:ind w:left="142" w:right="138"/>
        <w:jc w:val="both"/>
        <w:rPr>
          <w:sz w:val="18"/>
        </w:rPr>
      </w:pPr>
    </w:p>
    <w:p w:rsidR="00AE3E37" w:rsidRDefault="00AE3E37">
      <w:pPr>
        <w:spacing w:line="200" w:lineRule="exact"/>
        <w:jc w:val="both"/>
        <w:rPr>
          <w:rFonts w:ascii="Calibri" w:hAnsi="Calibri"/>
        </w:rPr>
        <w:sectPr w:rsidR="00AE3E37" w:rsidSect="007A366F">
          <w:type w:val="continuous"/>
          <w:pgSz w:w="11910" w:h="16840"/>
          <w:pgMar w:top="993" w:right="600" w:bottom="142" w:left="620" w:header="720" w:footer="720" w:gutter="0"/>
          <w:cols w:num="2" w:space="720" w:equalWidth="0">
            <w:col w:w="5214" w:space="138"/>
            <w:col w:w="5338"/>
          </w:cols>
        </w:sectPr>
      </w:pPr>
    </w:p>
    <w:p w:rsidR="00AE3E37" w:rsidRDefault="00C75321">
      <w:pPr>
        <w:pStyle w:val="BodyText"/>
        <w:spacing w:line="40" w:lineRule="exact"/>
        <w:ind w:left="2202"/>
        <w:rPr>
          <w:rFonts w:ascii="Calibri"/>
          <w:sz w:val="4"/>
        </w:rPr>
      </w:pPr>
      <w:r w:rsidRPr="00C75321">
        <w:rPr>
          <w:rFonts w:ascii="Calibri"/>
          <w:noProof/>
          <w:sz w:val="4"/>
          <w:lang w:val="en-IN" w:eastAsia="en-IN"/>
        </w:rPr>
      </w:r>
      <w:r w:rsidRPr="00C7532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13EA8" w:rsidRDefault="00513EA8" w:rsidP="00513EA8">
      <w:pPr>
        <w:spacing w:before="92"/>
        <w:ind w:right="4234"/>
        <w:rPr>
          <w:rFonts w:ascii="Arial"/>
          <w:color w:val="BF5A14"/>
        </w:rPr>
      </w:pPr>
      <w:r w:rsidRPr="00513EA8">
        <w:rPr>
          <w:noProof/>
        </w:rPr>
        <w:drawing>
          <wp:inline distT="0" distB="0" distL="0" distR="0">
            <wp:extent cx="1027023" cy="1009497"/>
            <wp:effectExtent l="19050" t="0" r="1677" b="0"/>
            <wp:docPr id="2" name="Picture 1" descr="New 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Picture (4)"/>
                    <pic:cNvPicPr>
                      <a:picLocks noChangeAspect="1" noChangeArrowheads="1"/>
                    </pic:cNvPicPr>
                  </pic:nvPicPr>
                  <pic:blipFill>
                    <a:blip r:embed="rId13"/>
                    <a:srcRect t="-3085"/>
                    <a:stretch>
                      <a:fillRect/>
                    </a:stretch>
                  </pic:blipFill>
                  <pic:spPr bwMode="auto">
                    <a:xfrm>
                      <a:off x="0" y="0"/>
                      <a:ext cx="1026903" cy="1009379"/>
                    </a:xfrm>
                    <a:prstGeom prst="rect">
                      <a:avLst/>
                    </a:prstGeom>
                    <a:noFill/>
                    <a:ln w="9525">
                      <a:noFill/>
                      <a:miter lim="800000"/>
                      <a:headEnd/>
                      <a:tailEnd/>
                    </a:ln>
                  </pic:spPr>
                </pic:pic>
              </a:graphicData>
            </a:graphic>
          </wp:inline>
        </w:drawing>
      </w:r>
    </w:p>
    <w:p w:rsidR="00AE3E37" w:rsidRDefault="00A9710C" w:rsidP="007A366F">
      <w:pPr>
        <w:spacing w:before="92" w:line="276" w:lineRule="auto"/>
        <w:ind w:right="4234"/>
        <w:rPr>
          <w:rFonts w:ascii="Arial"/>
        </w:rPr>
      </w:pPr>
      <w:r>
        <w:rPr>
          <w:rFonts w:ascii="Arial"/>
          <w:color w:val="BF5A14"/>
        </w:rPr>
        <w:t>Biography</w:t>
      </w:r>
      <w:r w:rsidR="00513EA8">
        <w:rPr>
          <w:rFonts w:ascii="Arial"/>
          <w:color w:val="BF5A14"/>
        </w:rPr>
        <w:t>:</w:t>
      </w:r>
      <w:r w:rsidR="00404E5B">
        <w:rPr>
          <w:rFonts w:ascii="Arial"/>
          <w:color w:val="BF5A14"/>
        </w:rPr>
        <w:t xml:space="preserve"> </w:t>
      </w:r>
    </w:p>
    <w:p w:rsidR="00513EA8" w:rsidRPr="007A366F" w:rsidRDefault="00513EA8" w:rsidP="007A366F">
      <w:pPr>
        <w:pStyle w:val="BodyText"/>
        <w:spacing w:before="90" w:line="348" w:lineRule="auto"/>
        <w:ind w:left="100"/>
        <w:jc w:val="both"/>
      </w:pPr>
      <w:r w:rsidRPr="007A366F">
        <w:t>Mahmoud Elkadeem. Lecturer of Tropical Medicine &amp; Infectious Diseases, Faculty of Medicine, Tanta University, Tanta, Egypt since 30/4/2017. Birth date 21/11/1984. Married. Egyptian. M.B.,B.Ch.B: November 2007, Excellent With Honor Degree. Master: of Tropical Medicine &amp; Hygiene, 11/7/2012. Very good. Ph.D.: of Tropical Medicine &amp; Hygiene, 26/3/2017. Has experience in the field of gastroenterology and hepatology. Tel: +20-1123657915</w:t>
      </w:r>
    </w:p>
    <w:p w:rsidR="00AE3E37" w:rsidRDefault="00513EA8" w:rsidP="00CC76B9">
      <w:pPr>
        <w:spacing w:before="62"/>
        <w:ind w:left="4217" w:right="3460"/>
        <w:rPr>
          <w:rFonts w:ascii="Minion Pro"/>
          <w:sz w:val="24"/>
        </w:rPr>
      </w:pPr>
      <w:r w:rsidRPr="00513EA8">
        <w:rPr>
          <w:rFonts w:ascii="Arial"/>
          <w:sz w:val="14"/>
        </w:rPr>
        <w:t>Email:</w:t>
      </w:r>
      <w:r w:rsidRPr="00CC76B9">
        <w:rPr>
          <w:rFonts w:ascii="Arial"/>
          <w:sz w:val="14"/>
        </w:rPr>
        <w:t>mahmoud.elkadeem@med.tanta.edu.e</w:t>
      </w:r>
      <w:r w:rsidR="00CC76B9">
        <w:rPr>
          <w:rFonts w:ascii="Arial"/>
          <w:sz w:val="14"/>
        </w:rPr>
        <w:t>g</w:t>
      </w:r>
    </w:p>
    <w:p w:rsidR="00CC76B9" w:rsidRDefault="00CC76B9" w:rsidP="00CC76B9">
      <w:pPr>
        <w:pStyle w:val="Heading1"/>
        <w:spacing w:before="170" w:line="240" w:lineRule="auto"/>
        <w:ind w:left="0"/>
        <w:rPr>
          <w:sz w:val="24"/>
        </w:rPr>
        <w:sectPr w:rsidR="00CC76B9" w:rsidSect="00CC76B9">
          <w:headerReference w:type="default" r:id="rId14"/>
          <w:footerReference w:type="default" r:id="rId15"/>
          <w:type w:val="continuous"/>
          <w:pgSz w:w="11910" w:h="16840"/>
          <w:pgMar w:top="426" w:right="600" w:bottom="840" w:left="620" w:header="720" w:footer="720" w:gutter="0"/>
          <w:cols w:space="720"/>
        </w:sectPr>
      </w:pPr>
      <w:r>
        <w:rPr>
          <w:rFonts w:eastAsia="Tw Cen MT" w:hAnsi="Tw Cen MT" w:cs="Tw Cen MT"/>
          <w:b w:val="0"/>
          <w:bCs w:val="0"/>
          <w:sz w:val="24"/>
          <w:szCs w:val="22"/>
        </w:rPr>
        <w:lastRenderedPageBreak/>
        <w:t xml:space="preserve">     </w:t>
      </w:r>
    </w:p>
    <w:p w:rsidR="00CC76B9" w:rsidRDefault="00CC76B9">
      <w:pPr>
        <w:pStyle w:val="BodyText"/>
        <w:spacing w:before="3"/>
        <w:rPr>
          <w:rFonts w:ascii="Minion Pro"/>
          <w:sz w:val="26"/>
        </w:rPr>
      </w:pPr>
    </w:p>
    <w:sectPr w:rsidR="00CC76B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B0E" w:rsidRDefault="00D33B0E">
      <w:r>
        <w:separator/>
      </w:r>
    </w:p>
  </w:endnote>
  <w:endnote w:type="continuationSeparator" w:id="1">
    <w:p w:rsidR="00D33B0E" w:rsidRDefault="00D33B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75321">
    <w:pPr>
      <w:pStyle w:val="BodyText"/>
      <w:spacing w:line="14" w:lineRule="auto"/>
      <w:rPr>
        <w:sz w:val="20"/>
      </w:rPr>
    </w:pPr>
    <w:r w:rsidRPr="00C7532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7532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7532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B9" w:rsidRDefault="00CC76B9">
    <w:pPr>
      <w:pStyle w:val="BodyText"/>
      <w:spacing w:line="14" w:lineRule="auto"/>
      <w:rPr>
        <w:sz w:val="20"/>
      </w:rPr>
    </w:pPr>
    <w:r w:rsidRPr="00C75321">
      <w:rPr>
        <w:noProof/>
        <w:lang w:val="en-IN" w:eastAsia="en-IN"/>
      </w:rPr>
      <w:pict>
        <v:shapetype id="_x0000_t202" coordsize="21600,21600" o:spt="202" path="m,l,21600r21600,l21600,xe">
          <v:stroke joinstyle="miter"/>
          <v:path gradientshapeok="t" o:connecttype="rect"/>
        </v:shapetype>
        <v:shape id="_x0000_s4106" type="#_x0000_t202" style="position:absolute;margin-left:35pt;margin-top:798.8pt;width:168.2pt;height:19.6pt;z-index:-174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C76B9" w:rsidRPr="005B3A56" w:rsidRDefault="00CC76B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C76B9" w:rsidRPr="005B3A56" w:rsidRDefault="00CC76B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75321">
      <w:rPr>
        <w:noProof/>
        <w:lang w:val="en-IN" w:eastAsia="en-IN"/>
      </w:rPr>
      <w:pict>
        <v:shape id="_x0000_s4107" type="#_x0000_t202" style="position:absolute;margin-left:252.1pt;margin-top:799.05pt;width:91.9pt;height:24.95pt;z-index:-11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C76B9" w:rsidRPr="005B3A56" w:rsidRDefault="00CC76B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C76B9" w:rsidRPr="005B3A56" w:rsidRDefault="00CC76B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75321">
      <w:rPr>
        <w:noProof/>
        <w:lang w:val="en-IN" w:eastAsia="en-IN"/>
      </w:rPr>
      <w:pict>
        <v:shape id="_x0000_s4108" type="#_x0000_t202" style="position:absolute;margin-left:468.9pt;margin-top:798.8pt;width:91.4pt;height:26.05pt;z-index:-58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C76B9" w:rsidRPr="005B3A56" w:rsidRDefault="00CC76B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CC76B9" w:rsidRPr="005B3A56" w:rsidRDefault="00CC76B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B0E" w:rsidRDefault="00D33B0E">
      <w:r>
        <w:separator/>
      </w:r>
    </w:p>
  </w:footnote>
  <w:footnote w:type="continuationSeparator" w:id="1">
    <w:p w:rsidR="00D33B0E" w:rsidRDefault="00D33B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75321">
    <w:pPr>
      <w:pStyle w:val="BodyText"/>
      <w:spacing w:line="14" w:lineRule="auto"/>
      <w:rPr>
        <w:sz w:val="20"/>
      </w:rPr>
    </w:pPr>
    <w:r w:rsidRPr="00C7532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7532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B9" w:rsidRDefault="00CC76B9">
    <w:pPr>
      <w:pStyle w:val="BodyText"/>
      <w:spacing w:line="14" w:lineRule="auto"/>
      <w:rPr>
        <w:sz w:val="20"/>
      </w:rPr>
    </w:pPr>
    <w:r w:rsidRPr="00C75321">
      <w:rPr>
        <w:noProof/>
        <w:lang w:val="en-IN" w:eastAsia="en-IN"/>
      </w:rPr>
      <w:pict>
        <v:shapetype id="_x0000_t202" coordsize="21600,21600" o:spt="202" path="m,l,21600r21600,l21600,xe">
          <v:stroke joinstyle="miter"/>
          <v:path gradientshapeok="t" o:connecttype="rect"/>
        </v:shapetype>
        <v:shape id="_x0000_s4104" type="#_x0000_t202" style="position:absolute;margin-left:416pt;margin-top:26.05pt;width:144.3pt;height:17.4pt;z-index:-290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C76B9" w:rsidRPr="005B3A56" w:rsidRDefault="00CC76B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75321">
      <w:rPr>
        <w:noProof/>
        <w:lang w:val="en-IN" w:eastAsia="en-IN"/>
      </w:rPr>
      <w:pict>
        <v:shape id="_x0000_s4105" type="#_x0000_t202" style="position:absolute;margin-left:35pt;margin-top:48.3pt;width:515.95pt;height:40.1pt;z-index:-232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C76B9" w:rsidRPr="005B3A56" w:rsidRDefault="00CC76B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C76B9" w:rsidRPr="005B3A56" w:rsidRDefault="00CC76B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33627"/>
    <w:rsid w:val="002455EC"/>
    <w:rsid w:val="00252C0A"/>
    <w:rsid w:val="0026485A"/>
    <w:rsid w:val="00292ED9"/>
    <w:rsid w:val="002B4389"/>
    <w:rsid w:val="00404E5B"/>
    <w:rsid w:val="00414F7B"/>
    <w:rsid w:val="004355DC"/>
    <w:rsid w:val="004749B4"/>
    <w:rsid w:val="00494130"/>
    <w:rsid w:val="004F3523"/>
    <w:rsid w:val="00513EA8"/>
    <w:rsid w:val="005973B9"/>
    <w:rsid w:val="005B3A56"/>
    <w:rsid w:val="006060CE"/>
    <w:rsid w:val="0063497F"/>
    <w:rsid w:val="007713BC"/>
    <w:rsid w:val="007A366F"/>
    <w:rsid w:val="00873DF0"/>
    <w:rsid w:val="008756E6"/>
    <w:rsid w:val="008A08B6"/>
    <w:rsid w:val="00904A4C"/>
    <w:rsid w:val="009B2D44"/>
    <w:rsid w:val="00A07E82"/>
    <w:rsid w:val="00A9710C"/>
    <w:rsid w:val="00AE3E37"/>
    <w:rsid w:val="00B21A57"/>
    <w:rsid w:val="00BD6F76"/>
    <w:rsid w:val="00C22776"/>
    <w:rsid w:val="00C33602"/>
    <w:rsid w:val="00C47B6E"/>
    <w:rsid w:val="00C75321"/>
    <w:rsid w:val="00CC76B9"/>
    <w:rsid w:val="00CD6F55"/>
    <w:rsid w:val="00D139D2"/>
    <w:rsid w:val="00D33B0E"/>
    <w:rsid w:val="00D6291C"/>
    <w:rsid w:val="00DE3104"/>
    <w:rsid w:val="00E26B10"/>
    <w:rsid w:val="00E363B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rsid w:val="002B4389"/>
    <w:pPr>
      <w:widowControl/>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Yoshida%20H%5BAuthor%5D&amp;cauthor=true&amp;cauthor_uid=2082740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Lin%20SM%5BAuthor%5D&amp;cauthor=true&amp;cauthor_uid=2082740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ncbi.nlm.nih.gov/pubmed/?term=Chen%20PJ%5BAuthor%5D&amp;cauthor=true&amp;cauthor_uid=20827404"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click</cp:lastModifiedBy>
  <cp:revision>6</cp:revision>
  <dcterms:created xsi:type="dcterms:W3CDTF">2018-09-10T11:37:00Z</dcterms:created>
  <dcterms:modified xsi:type="dcterms:W3CDTF">2018-09-10T15:45:00Z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