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53EC2" w14:textId="41D24FB5" w:rsidR="00C67FE7" w:rsidRPr="00C67FE7" w:rsidRDefault="00164917" w:rsidP="00C67FE7">
      <w:pPr>
        <w:rPr>
          <w:rFonts w:ascii="Verdana" w:eastAsia="Times New Roman" w:hAnsi="Verdana" w:cs="Arial"/>
        </w:rPr>
      </w:pPr>
      <w:r>
        <w:rPr>
          <w:color w:val="181512"/>
          <w:sz w:val="24"/>
          <w:szCs w:val="24"/>
          <w:lang w:eastAsia="zh-CN"/>
        </w:rPr>
        <w:t xml:space="preserve"> </w:t>
      </w:r>
    </w:p>
    <w:p w14:paraId="744C312D" w14:textId="77777777" w:rsidR="00112418" w:rsidRDefault="00394247" w:rsidP="00112418">
      <w:pPr>
        <w:pStyle w:val="NoSpacing"/>
        <w:contextualSpacing/>
        <w:rPr>
          <w:rFonts w:ascii="Times New Roman" w:hAnsi="Times New Roman"/>
          <w:b/>
          <w:sz w:val="28"/>
          <w:szCs w:val="24"/>
        </w:rPr>
      </w:pPr>
      <w:r w:rsidRPr="00112418">
        <w:rPr>
          <w:rFonts w:ascii="Times New Roman" w:hAnsi="Times New Roman"/>
          <w:b/>
          <w:sz w:val="28"/>
          <w:szCs w:val="24"/>
        </w:rPr>
        <w:t>The Efficacy of Bile Acids in the treatment of Non-alcoholic Steatohepatitis: A 10-year Systematic Review</w:t>
      </w:r>
    </w:p>
    <w:p w14:paraId="1361448C" w14:textId="7CAF8347" w:rsidR="00164917" w:rsidRPr="00112418" w:rsidRDefault="00164917" w:rsidP="00112418">
      <w:pPr>
        <w:pStyle w:val="NoSpacing"/>
        <w:contextualSpacing/>
        <w:rPr>
          <w:rFonts w:ascii="Times New Roman" w:hAnsi="Times New Roman"/>
          <w:b/>
          <w:sz w:val="28"/>
          <w:szCs w:val="24"/>
        </w:rPr>
      </w:pPr>
      <w:r w:rsidRPr="00112418">
        <w:rPr>
          <w:rFonts w:ascii="Times New Roman" w:hAnsi="Times New Roman"/>
          <w:b/>
          <w:sz w:val="28"/>
          <w:szCs w:val="24"/>
        </w:rPr>
        <w:t>Professor Higinio T. Mappala, MD, FPCP, FPSG, DPBCN</w:t>
      </w:r>
    </w:p>
    <w:p w14:paraId="2F14DB85" w14:textId="17E65CAB" w:rsidR="00394247" w:rsidRPr="00164917" w:rsidRDefault="00164917" w:rsidP="00112418">
      <w:pPr>
        <w:pStyle w:val="NoSpacing"/>
        <w:contextualSpacing/>
        <w:rPr>
          <w:rFonts w:ascii="Times New Roman" w:hAnsi="Times New Roman"/>
          <w:b/>
          <w:sz w:val="24"/>
          <w:szCs w:val="24"/>
        </w:rPr>
      </w:pPr>
      <w:r w:rsidRPr="00112418">
        <w:rPr>
          <w:rFonts w:ascii="Times New Roman" w:hAnsi="Times New Roman"/>
          <w:b/>
          <w:sz w:val="28"/>
          <w:szCs w:val="24"/>
        </w:rPr>
        <w:t>Jose Reyes Mem. Medical Center, Manila, Philippines</w:t>
      </w:r>
    </w:p>
    <w:p w14:paraId="4E3637E9" w14:textId="77777777" w:rsidR="00394247" w:rsidRPr="00681AB3" w:rsidRDefault="00394247" w:rsidP="00394247">
      <w:pPr>
        <w:pStyle w:val="NoSpacing"/>
        <w:ind w:firstLine="720"/>
        <w:jc w:val="both"/>
        <w:rPr>
          <w:rFonts w:ascii="Times New Roman" w:hAnsi="Times New Roman"/>
          <w:sz w:val="24"/>
          <w:szCs w:val="24"/>
        </w:rPr>
      </w:pPr>
    </w:p>
    <w:p w14:paraId="231217E9" w14:textId="72B2B7AD" w:rsidR="00D103C4" w:rsidRPr="00D103C4" w:rsidRDefault="00D103C4" w:rsidP="00D103C4">
      <w:pPr>
        <w:pStyle w:val="NoSpacing"/>
        <w:rPr>
          <w:rFonts w:ascii="Times New Roman" w:hAnsi="Times New Roman"/>
          <w:b/>
          <w:sz w:val="24"/>
          <w:szCs w:val="24"/>
        </w:rPr>
      </w:pPr>
      <w:r w:rsidRPr="00D103C4">
        <w:rPr>
          <w:rFonts w:ascii="Times New Roman" w:hAnsi="Times New Roman"/>
          <w:b/>
          <w:sz w:val="24"/>
          <w:szCs w:val="24"/>
        </w:rPr>
        <w:t>Abstract:</w:t>
      </w:r>
    </w:p>
    <w:p w14:paraId="110BC123" w14:textId="7B7DC596" w:rsidR="00394247" w:rsidRPr="00112418" w:rsidRDefault="00394247" w:rsidP="00394247">
      <w:pPr>
        <w:pStyle w:val="NoSpacing"/>
        <w:ind w:firstLine="720"/>
        <w:rPr>
          <w:rFonts w:asciiTheme="minorHAnsi" w:hAnsiTheme="minorHAnsi" w:cstheme="minorHAnsi"/>
          <w:sz w:val="24"/>
          <w:szCs w:val="24"/>
        </w:rPr>
      </w:pPr>
      <w:r w:rsidRPr="00112418">
        <w:rPr>
          <w:rFonts w:asciiTheme="minorHAnsi" w:hAnsiTheme="minorHAnsi" w:cstheme="minorHAnsi"/>
          <w:sz w:val="24"/>
          <w:szCs w:val="24"/>
        </w:rPr>
        <w:t xml:space="preserve">Non-alcoholic fatty liver disease (NAFLD) is one of the most common forms of chronic liver disease which may progress to non-alcoholic steatohepatitis (NASH). Currently there are no therapeutic strategies for such disease. Only lifestyle modification through diet and exercise were proven to afford some benefit in patients with NAFLD. No pharmacologic agents have so far been approved for the treatment of NAFLD or NASH. Therefore, most clinical efforts have been directed at treating the components of metabolic syndrome, namely obesity, diabetes, hypertension and </w:t>
      </w:r>
      <w:proofErr w:type="spellStart"/>
      <w:r w:rsidRPr="00112418">
        <w:rPr>
          <w:rFonts w:asciiTheme="minorHAnsi" w:hAnsiTheme="minorHAnsi" w:cstheme="minorHAnsi"/>
          <w:sz w:val="24"/>
          <w:szCs w:val="24"/>
        </w:rPr>
        <w:t>dyslipedemias</w:t>
      </w:r>
      <w:proofErr w:type="spellEnd"/>
      <w:r w:rsidRPr="00112418">
        <w:rPr>
          <w:rFonts w:asciiTheme="minorHAnsi" w:hAnsiTheme="minorHAnsi" w:cstheme="minorHAnsi"/>
          <w:sz w:val="24"/>
          <w:szCs w:val="24"/>
        </w:rPr>
        <w:t>. Other interventions are directed at specific pathways potentially involved in the pathogenesis of NAFLD, such as insulin resistance, oxidative stress, proinflammatory cytokines, apoptosis, bacterial overgrowth, and angiotensin pathway.</w:t>
      </w:r>
    </w:p>
    <w:p w14:paraId="31C9DBBF" w14:textId="55EDEDEF" w:rsidR="00E46F55" w:rsidRPr="00112418" w:rsidRDefault="00394247" w:rsidP="00164917">
      <w:pPr>
        <w:pStyle w:val="NoSpacing"/>
        <w:ind w:firstLine="720"/>
        <w:rPr>
          <w:rFonts w:asciiTheme="minorHAnsi" w:hAnsiTheme="minorHAnsi" w:cstheme="minorHAnsi"/>
          <w:sz w:val="24"/>
          <w:szCs w:val="24"/>
        </w:rPr>
      </w:pPr>
      <w:r w:rsidRPr="00112418">
        <w:rPr>
          <w:rFonts w:asciiTheme="minorHAnsi" w:hAnsiTheme="minorHAnsi" w:cstheme="minorHAnsi"/>
          <w:sz w:val="24"/>
          <w:szCs w:val="24"/>
        </w:rPr>
        <w:t xml:space="preserve">This lecture aims to show the potential of Bile acids as a promising therapeutic option for NAFLD. This is a 10-year Systematic Review of the effects of Bile Acids on Non-Alcoholic Fatty Liver Disease. (NAFLD). </w:t>
      </w:r>
      <w:r w:rsidR="00681AB3" w:rsidRPr="00112418">
        <w:rPr>
          <w:rFonts w:asciiTheme="minorHAnsi" w:hAnsiTheme="minorHAnsi" w:cstheme="minorHAnsi"/>
          <w:sz w:val="24"/>
          <w:szCs w:val="24"/>
        </w:rPr>
        <w:t>Bile Acids may yet prove to be an effective targeted treatment for Non-Alcoholic Fatty Liver Disease.</w:t>
      </w:r>
    </w:p>
    <w:p w14:paraId="27FFF4D2" w14:textId="77777777" w:rsidR="005C7573" w:rsidRPr="00164917" w:rsidRDefault="005C7573" w:rsidP="00147F9C">
      <w:pPr>
        <w:spacing w:line="200" w:lineRule="exact"/>
        <w:jc w:val="both"/>
        <w:rPr>
          <w:sz w:val="24"/>
          <w:szCs w:val="24"/>
          <w:lang w:val="en-GB" w:eastAsia="zh-CN"/>
        </w:rPr>
      </w:pPr>
    </w:p>
    <w:p w14:paraId="53D3E149" w14:textId="5F08DA8E" w:rsidR="00D103C4" w:rsidRDefault="00D103C4" w:rsidP="0041228B">
      <w:pPr>
        <w:autoSpaceDE w:val="0"/>
        <w:autoSpaceDN w:val="0"/>
        <w:adjustRightInd w:val="0"/>
        <w:spacing w:line="200" w:lineRule="exact"/>
        <w:ind w:right="-1"/>
        <w:jc w:val="both"/>
        <w:rPr>
          <w:rFonts w:eastAsia="Times New Roman"/>
          <w:b/>
          <w:color w:val="181512"/>
          <w:sz w:val="24"/>
          <w:szCs w:val="24"/>
        </w:rPr>
      </w:pPr>
    </w:p>
    <w:p w14:paraId="71B56302" w14:textId="12A9C7F7" w:rsidR="00D103C4" w:rsidRPr="00112418" w:rsidRDefault="00D103C4" w:rsidP="0041228B">
      <w:pPr>
        <w:autoSpaceDE w:val="0"/>
        <w:autoSpaceDN w:val="0"/>
        <w:adjustRightInd w:val="0"/>
        <w:spacing w:line="200" w:lineRule="exact"/>
        <w:ind w:right="-1"/>
        <w:jc w:val="both"/>
        <w:rPr>
          <w:rFonts w:asciiTheme="minorHAnsi" w:eastAsia="Times New Roman" w:hAnsiTheme="minorHAnsi" w:cstheme="minorHAnsi"/>
          <w:b/>
          <w:color w:val="181512"/>
          <w:sz w:val="24"/>
          <w:szCs w:val="24"/>
        </w:rPr>
      </w:pPr>
      <w:r w:rsidRPr="00112418">
        <w:rPr>
          <w:rFonts w:asciiTheme="minorHAnsi" w:eastAsia="Times New Roman" w:hAnsiTheme="minorHAnsi" w:cstheme="minorHAnsi"/>
          <w:b/>
          <w:color w:val="181512"/>
          <w:sz w:val="24"/>
          <w:szCs w:val="24"/>
        </w:rPr>
        <w:t>Publications:</w:t>
      </w:r>
    </w:p>
    <w:p w14:paraId="6834A3A5" w14:textId="555A12A7" w:rsidR="00D103C4" w:rsidRPr="00112418" w:rsidRDefault="00D103C4" w:rsidP="00D103C4">
      <w:pPr>
        <w:pStyle w:val="ListParagraph"/>
        <w:numPr>
          <w:ilvl w:val="0"/>
          <w:numId w:val="1"/>
        </w:numPr>
        <w:spacing w:after="0"/>
        <w:ind w:left="288" w:hanging="216"/>
        <w:contextualSpacing w:val="0"/>
        <w:jc w:val="left"/>
        <w:rPr>
          <w:rFonts w:asciiTheme="minorHAnsi" w:hAnsiTheme="minorHAnsi" w:cstheme="minorHAnsi"/>
          <w:sz w:val="24"/>
          <w:szCs w:val="24"/>
        </w:rPr>
      </w:pPr>
      <w:r w:rsidRPr="00112418">
        <w:rPr>
          <w:rFonts w:asciiTheme="minorHAnsi" w:hAnsiTheme="minorHAnsi" w:cstheme="minorHAnsi"/>
          <w:sz w:val="24"/>
          <w:szCs w:val="24"/>
        </w:rPr>
        <w:t>The Effectiveness of Probiotics versus Lactulose in lowering Serum Ammonia among patients with Hepatic Encephalopathy: A Meta-Analysis. Mappala HT, Carmelo L, Torres MK. 2013.</w:t>
      </w:r>
    </w:p>
    <w:p w14:paraId="599E262D" w14:textId="466B7C98" w:rsidR="00D103C4" w:rsidRPr="00112418" w:rsidRDefault="00D103C4" w:rsidP="00D103C4">
      <w:pPr>
        <w:pStyle w:val="ListParagraph"/>
        <w:numPr>
          <w:ilvl w:val="0"/>
          <w:numId w:val="1"/>
        </w:numPr>
        <w:spacing w:after="0"/>
        <w:ind w:left="288" w:hanging="216"/>
        <w:contextualSpacing w:val="0"/>
        <w:jc w:val="left"/>
        <w:rPr>
          <w:rFonts w:asciiTheme="minorHAnsi" w:hAnsiTheme="minorHAnsi" w:cstheme="minorHAnsi"/>
          <w:sz w:val="24"/>
          <w:szCs w:val="24"/>
        </w:rPr>
      </w:pPr>
      <w:r w:rsidRPr="00112418">
        <w:rPr>
          <w:rFonts w:asciiTheme="minorHAnsi" w:hAnsiTheme="minorHAnsi" w:cstheme="minorHAnsi"/>
          <w:sz w:val="24"/>
          <w:szCs w:val="24"/>
        </w:rPr>
        <w:t xml:space="preserve">Hemodynamic effect of Carvedilol vs Propranolol in cirrhotic patients: A Meta-analysis. </w:t>
      </w:r>
      <w:proofErr w:type="spellStart"/>
      <w:r w:rsidRPr="00112418">
        <w:rPr>
          <w:rFonts w:asciiTheme="minorHAnsi" w:hAnsiTheme="minorHAnsi" w:cstheme="minorHAnsi"/>
          <w:sz w:val="24"/>
          <w:szCs w:val="24"/>
        </w:rPr>
        <w:t>Durung</w:t>
      </w:r>
      <w:proofErr w:type="spellEnd"/>
      <w:r w:rsidRPr="00112418">
        <w:rPr>
          <w:rFonts w:asciiTheme="minorHAnsi" w:hAnsiTheme="minorHAnsi" w:cstheme="minorHAnsi"/>
          <w:sz w:val="24"/>
          <w:szCs w:val="24"/>
        </w:rPr>
        <w:t xml:space="preserve"> D, Mappala HT. December 2014. Award of Merit. IDDF 2016, Hongkong, China. CGH supplement 2016. E-Online.</w:t>
      </w:r>
    </w:p>
    <w:p w14:paraId="54B3DD52" w14:textId="1D4CAD2A" w:rsidR="00D103C4" w:rsidRPr="00112418" w:rsidRDefault="00D103C4" w:rsidP="00D103C4">
      <w:pPr>
        <w:pStyle w:val="ListParagraph"/>
        <w:numPr>
          <w:ilvl w:val="0"/>
          <w:numId w:val="1"/>
        </w:numPr>
        <w:spacing w:after="0"/>
        <w:ind w:left="288" w:hanging="216"/>
        <w:contextualSpacing w:val="0"/>
        <w:jc w:val="left"/>
        <w:rPr>
          <w:rFonts w:asciiTheme="minorHAnsi" w:hAnsiTheme="minorHAnsi" w:cstheme="minorHAnsi"/>
          <w:sz w:val="24"/>
          <w:szCs w:val="24"/>
        </w:rPr>
      </w:pPr>
      <w:r w:rsidRPr="00112418">
        <w:rPr>
          <w:rFonts w:asciiTheme="minorHAnsi" w:hAnsiTheme="minorHAnsi" w:cstheme="minorHAnsi"/>
          <w:sz w:val="24"/>
          <w:szCs w:val="24"/>
        </w:rPr>
        <w:t xml:space="preserve">A Meta-analysis on the use of Probiotics as an adjunct in the treatment of </w:t>
      </w:r>
      <w:r w:rsidRPr="00112418">
        <w:rPr>
          <w:rFonts w:asciiTheme="minorHAnsi" w:hAnsiTheme="minorHAnsi" w:cstheme="minorHAnsi"/>
          <w:i/>
          <w:sz w:val="24"/>
          <w:szCs w:val="24"/>
        </w:rPr>
        <w:t>Helicobacter pylori</w:t>
      </w:r>
      <w:r w:rsidRPr="00112418">
        <w:rPr>
          <w:rFonts w:asciiTheme="minorHAnsi" w:hAnsiTheme="minorHAnsi" w:cstheme="minorHAnsi"/>
          <w:sz w:val="24"/>
          <w:szCs w:val="24"/>
        </w:rPr>
        <w:t xml:space="preserve"> infection. </w:t>
      </w:r>
      <w:proofErr w:type="spellStart"/>
      <w:r w:rsidRPr="00112418">
        <w:rPr>
          <w:rFonts w:asciiTheme="minorHAnsi" w:hAnsiTheme="minorHAnsi" w:cstheme="minorHAnsi"/>
          <w:sz w:val="24"/>
          <w:szCs w:val="24"/>
        </w:rPr>
        <w:t>Ulip</w:t>
      </w:r>
      <w:proofErr w:type="spellEnd"/>
      <w:r w:rsidRPr="00112418">
        <w:rPr>
          <w:rFonts w:asciiTheme="minorHAnsi" w:hAnsiTheme="minorHAnsi" w:cstheme="minorHAnsi"/>
          <w:sz w:val="24"/>
          <w:szCs w:val="24"/>
        </w:rPr>
        <w:t xml:space="preserve"> JE, Mappala HT. December 2015. E-poster, IDDF, Hongkong, China, June 2016. CGH e-Online. Oct Issue.</w:t>
      </w:r>
    </w:p>
    <w:p w14:paraId="6007A98F" w14:textId="10DEFB44" w:rsidR="00D103C4" w:rsidRPr="00112418" w:rsidRDefault="00D103C4" w:rsidP="00D103C4">
      <w:pPr>
        <w:pStyle w:val="ListParagraph"/>
        <w:numPr>
          <w:ilvl w:val="0"/>
          <w:numId w:val="2"/>
        </w:numPr>
        <w:spacing w:after="0" w:line="240" w:lineRule="auto"/>
        <w:ind w:left="288" w:hanging="216"/>
        <w:rPr>
          <w:rFonts w:asciiTheme="minorHAnsi" w:hAnsiTheme="minorHAnsi" w:cstheme="minorHAnsi"/>
          <w:sz w:val="24"/>
          <w:szCs w:val="24"/>
        </w:rPr>
      </w:pPr>
      <w:r w:rsidRPr="00112418">
        <w:rPr>
          <w:rFonts w:asciiTheme="minorHAnsi" w:hAnsiTheme="minorHAnsi" w:cstheme="minorHAnsi"/>
          <w:sz w:val="24"/>
          <w:szCs w:val="24"/>
          <w:lang w:eastAsia="en-PH"/>
        </w:rPr>
        <w:t xml:space="preserve">A Scoring Scale for Predicting Intra-Hospital Mortality in Patients with Liver Cirrhosis. </w:t>
      </w:r>
      <w:r w:rsidRPr="00112418">
        <w:rPr>
          <w:rFonts w:asciiTheme="minorHAnsi" w:hAnsiTheme="minorHAnsi" w:cstheme="minorHAnsi"/>
          <w:sz w:val="24"/>
          <w:szCs w:val="24"/>
        </w:rPr>
        <w:t xml:space="preserve">MK. G. Torres, M.D.; H. T. Mappala M.D. (Award of </w:t>
      </w:r>
      <w:proofErr w:type="spellStart"/>
      <w:r w:rsidRPr="00112418">
        <w:rPr>
          <w:rFonts w:asciiTheme="minorHAnsi" w:hAnsiTheme="minorHAnsi" w:cstheme="minorHAnsi"/>
          <w:sz w:val="24"/>
          <w:szCs w:val="24"/>
        </w:rPr>
        <w:t>Recogntion</w:t>
      </w:r>
      <w:proofErr w:type="spellEnd"/>
      <w:r w:rsidRPr="00112418">
        <w:rPr>
          <w:rFonts w:asciiTheme="minorHAnsi" w:hAnsiTheme="minorHAnsi" w:cstheme="minorHAnsi"/>
          <w:sz w:val="24"/>
          <w:szCs w:val="24"/>
        </w:rPr>
        <w:t>, e-poster at IDDF, Hong Kong, June 2016;  CGH Supplement e-online, Oct. 2016.</w:t>
      </w:r>
    </w:p>
    <w:p w14:paraId="625E4BF7" w14:textId="5B3D6164" w:rsidR="00112418" w:rsidRPr="00112418" w:rsidRDefault="00D103C4" w:rsidP="00112418">
      <w:pPr>
        <w:pStyle w:val="ListParagraph"/>
        <w:numPr>
          <w:ilvl w:val="0"/>
          <w:numId w:val="2"/>
        </w:numPr>
        <w:spacing w:after="0" w:line="240" w:lineRule="auto"/>
        <w:ind w:left="288" w:hanging="216"/>
        <w:rPr>
          <w:rFonts w:asciiTheme="minorHAnsi" w:hAnsiTheme="minorHAnsi" w:cstheme="minorHAnsi"/>
          <w:sz w:val="24"/>
          <w:szCs w:val="24"/>
        </w:rPr>
      </w:pPr>
      <w:r w:rsidRPr="00112418">
        <w:rPr>
          <w:rFonts w:asciiTheme="minorHAnsi" w:hAnsiTheme="minorHAnsi" w:cstheme="minorHAnsi"/>
          <w:sz w:val="24"/>
          <w:szCs w:val="24"/>
        </w:rPr>
        <w:t xml:space="preserve">The Efficacy of </w:t>
      </w:r>
      <w:proofErr w:type="spellStart"/>
      <w:r w:rsidRPr="00112418">
        <w:rPr>
          <w:rFonts w:asciiTheme="minorHAnsi" w:hAnsiTheme="minorHAnsi" w:cstheme="minorHAnsi"/>
          <w:sz w:val="24"/>
          <w:szCs w:val="24"/>
        </w:rPr>
        <w:t>Ursodeoxycholic</w:t>
      </w:r>
      <w:proofErr w:type="spellEnd"/>
      <w:r w:rsidRPr="00112418">
        <w:rPr>
          <w:rFonts w:asciiTheme="minorHAnsi" w:hAnsiTheme="minorHAnsi" w:cstheme="minorHAnsi"/>
          <w:sz w:val="24"/>
          <w:szCs w:val="24"/>
        </w:rPr>
        <w:t xml:space="preserve"> Acid in the treatment of Non-alcoholic Steatohepatitis among Obese Patients: A Randomized Controlled Trial. HT Mappala.  E-poster at IDDF, Hong Kong, June 2016; Hepatitis 2016. CGH online. Oct 2016 Issue.</w:t>
      </w:r>
    </w:p>
    <w:p w14:paraId="035D5A0A" w14:textId="20530D6A" w:rsidR="00112418" w:rsidRDefault="00112418" w:rsidP="0041228B">
      <w:pPr>
        <w:autoSpaceDE w:val="0"/>
        <w:autoSpaceDN w:val="0"/>
        <w:adjustRightInd w:val="0"/>
        <w:spacing w:line="200" w:lineRule="exact"/>
        <w:ind w:right="-1"/>
        <w:jc w:val="both"/>
        <w:rPr>
          <w:rFonts w:eastAsia="Times New Roman"/>
          <w:b/>
          <w:color w:val="181512"/>
          <w:sz w:val="24"/>
          <w:szCs w:val="24"/>
        </w:rPr>
      </w:pPr>
    </w:p>
    <w:p w14:paraId="1FB75B83" w14:textId="77777777" w:rsidR="00D103C4" w:rsidRDefault="00D103C4" w:rsidP="0041228B">
      <w:pPr>
        <w:autoSpaceDE w:val="0"/>
        <w:autoSpaceDN w:val="0"/>
        <w:adjustRightInd w:val="0"/>
        <w:spacing w:line="200" w:lineRule="exact"/>
        <w:ind w:right="-1"/>
        <w:jc w:val="both"/>
        <w:rPr>
          <w:rFonts w:eastAsia="Times New Roman"/>
          <w:b/>
          <w:color w:val="181512"/>
          <w:sz w:val="24"/>
          <w:szCs w:val="24"/>
        </w:rPr>
      </w:pPr>
    </w:p>
    <w:p w14:paraId="215FEC3D" w14:textId="6180A7EF" w:rsidR="00BA38DB" w:rsidRPr="00164917" w:rsidRDefault="005C7573" w:rsidP="0041228B">
      <w:pPr>
        <w:autoSpaceDE w:val="0"/>
        <w:autoSpaceDN w:val="0"/>
        <w:adjustRightInd w:val="0"/>
        <w:spacing w:line="200" w:lineRule="exact"/>
        <w:ind w:right="-1"/>
        <w:jc w:val="both"/>
        <w:rPr>
          <w:rFonts w:eastAsia="Times New Roman"/>
          <w:b/>
          <w:color w:val="181512"/>
          <w:sz w:val="24"/>
          <w:szCs w:val="24"/>
        </w:rPr>
      </w:pPr>
      <w:r w:rsidRPr="00164917">
        <w:rPr>
          <w:rFonts w:eastAsia="Times New Roman" w:hint="eastAsia"/>
          <w:b/>
          <w:color w:val="181512"/>
          <w:sz w:val="24"/>
          <w:szCs w:val="24"/>
        </w:rPr>
        <w:t xml:space="preserve">Biography </w:t>
      </w:r>
    </w:p>
    <w:p w14:paraId="206CDF72" w14:textId="0BBE161B" w:rsidR="00681AB3" w:rsidRPr="00112418" w:rsidRDefault="00545033" w:rsidP="00681AB3">
      <w:pPr>
        <w:pStyle w:val="Body"/>
        <w:contextualSpacing/>
        <w:rPr>
          <w:rFonts w:asciiTheme="minorHAnsi" w:hAnsiTheme="minorHAnsi" w:cstheme="minorHAnsi"/>
          <w:sz w:val="24"/>
          <w:szCs w:val="24"/>
        </w:rPr>
      </w:pPr>
      <w:r w:rsidRPr="00112418">
        <w:rPr>
          <w:rFonts w:asciiTheme="minorHAnsi" w:hAnsiTheme="minorHAnsi" w:cstheme="minorHAnsi"/>
          <w:sz w:val="24"/>
          <w:szCs w:val="24"/>
        </w:rPr>
        <w:t xml:space="preserve">Professor </w:t>
      </w:r>
      <w:r w:rsidR="00681AB3" w:rsidRPr="00112418">
        <w:rPr>
          <w:rFonts w:asciiTheme="minorHAnsi" w:hAnsiTheme="minorHAnsi" w:cstheme="minorHAnsi"/>
          <w:sz w:val="24"/>
          <w:szCs w:val="24"/>
        </w:rPr>
        <w:t xml:space="preserve">Higinio T. Mappala is a Cum Laude graduate of University of Santo Tomas, College of Medicine, Manila, Philippines, A Board-certified Internist, Gastroenterologist, </w:t>
      </w:r>
      <w:proofErr w:type="spellStart"/>
      <w:r w:rsidR="00681AB3" w:rsidRPr="00112418">
        <w:rPr>
          <w:rFonts w:asciiTheme="minorHAnsi" w:hAnsiTheme="minorHAnsi" w:cstheme="minorHAnsi"/>
          <w:sz w:val="24"/>
          <w:szCs w:val="24"/>
        </w:rPr>
        <w:t>Endoscopist</w:t>
      </w:r>
      <w:proofErr w:type="spellEnd"/>
      <w:r w:rsidR="00681AB3" w:rsidRPr="00112418">
        <w:rPr>
          <w:rFonts w:asciiTheme="minorHAnsi" w:hAnsiTheme="minorHAnsi" w:cstheme="minorHAnsi"/>
          <w:sz w:val="24"/>
          <w:szCs w:val="24"/>
        </w:rPr>
        <w:t xml:space="preserve">, Clinical </w:t>
      </w:r>
      <w:r w:rsidR="00681AB3" w:rsidRPr="00112418">
        <w:rPr>
          <w:rFonts w:asciiTheme="minorHAnsi" w:hAnsiTheme="minorHAnsi" w:cstheme="minorHAnsi"/>
          <w:sz w:val="24"/>
          <w:szCs w:val="24"/>
        </w:rPr>
        <w:lastRenderedPageBreak/>
        <w:t xml:space="preserve">Nutritionist and Clinical Toxicologist; has served as a University Professor and Dean of 2 Medical Schools; a highly-regarded Researcher, with more than </w:t>
      </w:r>
      <w:r w:rsidR="00D103C4" w:rsidRPr="00112418">
        <w:rPr>
          <w:rFonts w:asciiTheme="minorHAnsi" w:hAnsiTheme="minorHAnsi" w:cstheme="minorHAnsi"/>
          <w:sz w:val="24"/>
          <w:szCs w:val="24"/>
        </w:rPr>
        <w:t>7</w:t>
      </w:r>
      <w:r w:rsidR="00681AB3" w:rsidRPr="00112418">
        <w:rPr>
          <w:rFonts w:asciiTheme="minorHAnsi" w:hAnsiTheme="minorHAnsi" w:cstheme="minorHAnsi"/>
          <w:sz w:val="24"/>
          <w:szCs w:val="24"/>
        </w:rPr>
        <w:t xml:space="preserve">0 scientific papers, and more than </w:t>
      </w:r>
      <w:r w:rsidR="00D103C4" w:rsidRPr="00112418">
        <w:rPr>
          <w:rFonts w:asciiTheme="minorHAnsi" w:hAnsiTheme="minorHAnsi" w:cstheme="minorHAnsi"/>
          <w:sz w:val="24"/>
          <w:szCs w:val="24"/>
        </w:rPr>
        <w:t>3</w:t>
      </w:r>
      <w:r w:rsidR="00681AB3" w:rsidRPr="00112418">
        <w:rPr>
          <w:rFonts w:asciiTheme="minorHAnsi" w:hAnsiTheme="minorHAnsi" w:cstheme="minorHAnsi"/>
          <w:sz w:val="24"/>
          <w:szCs w:val="24"/>
        </w:rPr>
        <w:t xml:space="preserve">0 publications. A former Board Director of the Philippine Societies of Gastroenterology and Digestive Endoscopy; an online Research rater of McMaster, Canada and Online </w:t>
      </w:r>
      <w:proofErr w:type="spellStart"/>
      <w:r w:rsidR="00681AB3" w:rsidRPr="00112418">
        <w:rPr>
          <w:rFonts w:asciiTheme="minorHAnsi" w:hAnsiTheme="minorHAnsi" w:cstheme="minorHAnsi"/>
          <w:sz w:val="24"/>
          <w:szCs w:val="24"/>
        </w:rPr>
        <w:t>Dynamed</w:t>
      </w:r>
      <w:proofErr w:type="spellEnd"/>
      <w:r w:rsidR="00681AB3" w:rsidRPr="00112418">
        <w:rPr>
          <w:rFonts w:asciiTheme="minorHAnsi" w:hAnsiTheme="minorHAnsi" w:cstheme="minorHAnsi"/>
          <w:sz w:val="24"/>
          <w:szCs w:val="24"/>
        </w:rPr>
        <w:t xml:space="preserve"> Research peer-</w:t>
      </w:r>
      <w:proofErr w:type="spellStart"/>
      <w:r w:rsidR="00681AB3" w:rsidRPr="00112418">
        <w:rPr>
          <w:rFonts w:asciiTheme="minorHAnsi" w:hAnsiTheme="minorHAnsi" w:cstheme="minorHAnsi"/>
          <w:sz w:val="24"/>
          <w:szCs w:val="24"/>
        </w:rPr>
        <w:t>reviewer</w:t>
      </w:r>
      <w:proofErr w:type="spellEnd"/>
      <w:r w:rsidR="00681AB3" w:rsidRPr="00112418">
        <w:rPr>
          <w:rFonts w:asciiTheme="minorHAnsi" w:hAnsiTheme="minorHAnsi" w:cstheme="minorHAnsi"/>
          <w:sz w:val="24"/>
          <w:szCs w:val="24"/>
        </w:rPr>
        <w:t xml:space="preserve">; a Young Investigator’s Awardee at the World Congress and Asia-Pacific Congress of Gastroenterology; has attended the 3-level training courses on Leadership and Management by the World Gastroenterology Organization held in Florida, USA, </w:t>
      </w:r>
      <w:proofErr w:type="spellStart"/>
      <w:r w:rsidR="00681AB3" w:rsidRPr="00112418">
        <w:rPr>
          <w:rFonts w:asciiTheme="minorHAnsi" w:hAnsiTheme="minorHAnsi" w:cstheme="minorHAnsi"/>
          <w:sz w:val="24"/>
          <w:szCs w:val="24"/>
        </w:rPr>
        <w:t>Dubrovnic</w:t>
      </w:r>
      <w:proofErr w:type="spellEnd"/>
      <w:r w:rsidR="00681AB3" w:rsidRPr="00112418">
        <w:rPr>
          <w:rFonts w:asciiTheme="minorHAnsi" w:hAnsiTheme="minorHAnsi" w:cstheme="minorHAnsi"/>
          <w:sz w:val="24"/>
          <w:szCs w:val="24"/>
        </w:rPr>
        <w:t>, Croatia and Porto, Portugal. He is a focused lecturer on NAFLD in local and international c</w:t>
      </w:r>
      <w:r w:rsidR="00164917" w:rsidRPr="00112418">
        <w:rPr>
          <w:rFonts w:asciiTheme="minorHAnsi" w:hAnsiTheme="minorHAnsi" w:cstheme="minorHAnsi"/>
          <w:sz w:val="24"/>
          <w:szCs w:val="24"/>
        </w:rPr>
        <w:t>onventions</w:t>
      </w:r>
      <w:r w:rsidR="00D103C4" w:rsidRPr="00112418">
        <w:rPr>
          <w:rFonts w:asciiTheme="minorHAnsi" w:hAnsiTheme="minorHAnsi" w:cstheme="minorHAnsi"/>
          <w:sz w:val="24"/>
          <w:szCs w:val="24"/>
        </w:rPr>
        <w:t>, with 18 invites as Keynote Speaker for 2018.</w:t>
      </w:r>
    </w:p>
    <w:p w14:paraId="2B30778E" w14:textId="26DF1BB6" w:rsidR="004D65BF" w:rsidRPr="00112418" w:rsidRDefault="00D103C4" w:rsidP="00112418">
      <w:pPr>
        <w:pStyle w:val="Heading8"/>
        <w:rPr>
          <w:rFonts w:asciiTheme="minorHAnsi" w:eastAsia="SimSun" w:hAnsiTheme="minorHAnsi" w:cstheme="minorHAnsi"/>
          <w:sz w:val="24"/>
          <w:szCs w:val="24"/>
          <w:lang w:val="en-NZ"/>
        </w:rPr>
      </w:pPr>
      <w:r w:rsidRPr="00112418">
        <w:rPr>
          <w:rFonts w:asciiTheme="minorHAnsi" w:eastAsia="Arial Unicode MS" w:hAnsiTheme="minorHAnsi" w:cstheme="minorHAnsi"/>
          <w:color w:val="000000"/>
          <w:sz w:val="24"/>
          <w:szCs w:val="24"/>
          <w:u w:color="000000"/>
          <w:bdr w:val="nil"/>
        </w:rPr>
        <w:t>Email: genemapmd@yahoo.com</w:t>
      </w:r>
      <w:bookmarkStart w:id="0" w:name="_GoBack"/>
      <w:bookmarkEnd w:id="0"/>
    </w:p>
    <w:sectPr w:rsidR="004D65BF" w:rsidRPr="00112418" w:rsidSect="008E4089">
      <w:headerReference w:type="default" r:id="rId8"/>
      <w:pgSz w:w="11906" w:h="16838"/>
      <w:pgMar w:top="1843" w:right="1134" w:bottom="731" w:left="1134" w:header="993" w:footer="84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82479" w14:textId="77777777" w:rsidR="00032B44" w:rsidRDefault="00032B44">
      <w:r>
        <w:separator/>
      </w:r>
    </w:p>
  </w:endnote>
  <w:endnote w:type="continuationSeparator" w:id="0">
    <w:p w14:paraId="150FB276" w14:textId="77777777" w:rsidR="00032B44" w:rsidRDefault="0003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F5357" w14:textId="77777777" w:rsidR="00032B44" w:rsidRDefault="00032B44">
      <w:r>
        <w:separator/>
      </w:r>
    </w:p>
  </w:footnote>
  <w:footnote w:type="continuationSeparator" w:id="0">
    <w:p w14:paraId="628C1910" w14:textId="77777777" w:rsidR="00032B44" w:rsidRDefault="00032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7F30A" w14:textId="77777777" w:rsidR="005D76F2" w:rsidRPr="002747F2" w:rsidRDefault="005D76F2">
    <w:pPr>
      <w:pStyle w:val="Header"/>
      <w:jc w:val="left"/>
      <w:rPr>
        <w:rFonts w:ascii="Verdana" w:hAnsi="Verdana"/>
        <w:b/>
        <w:sz w:val="21"/>
        <w:szCs w:val="21"/>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749B5"/>
    <w:multiLevelType w:val="hybridMultilevel"/>
    <w:tmpl w:val="EE2A4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2E5776"/>
    <w:multiLevelType w:val="hybridMultilevel"/>
    <w:tmpl w:val="35404B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outlin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E5F"/>
    <w:rsid w:val="00016B5A"/>
    <w:rsid w:val="00032B44"/>
    <w:rsid w:val="0006013B"/>
    <w:rsid w:val="00066165"/>
    <w:rsid w:val="00067F78"/>
    <w:rsid w:val="00073513"/>
    <w:rsid w:val="0009651F"/>
    <w:rsid w:val="000A426F"/>
    <w:rsid w:val="000B0923"/>
    <w:rsid w:val="000B22B5"/>
    <w:rsid w:val="000C7EA9"/>
    <w:rsid w:val="000F054F"/>
    <w:rsid w:val="00112418"/>
    <w:rsid w:val="00115A18"/>
    <w:rsid w:val="00147F9C"/>
    <w:rsid w:val="00164917"/>
    <w:rsid w:val="00180BBC"/>
    <w:rsid w:val="001F6E8C"/>
    <w:rsid w:val="00232006"/>
    <w:rsid w:val="00232CAE"/>
    <w:rsid w:val="0027181C"/>
    <w:rsid w:val="002747F2"/>
    <w:rsid w:val="002A2B6D"/>
    <w:rsid w:val="002A6F73"/>
    <w:rsid w:val="002A751A"/>
    <w:rsid w:val="002C352D"/>
    <w:rsid w:val="002D683F"/>
    <w:rsid w:val="002F31FD"/>
    <w:rsid w:val="003041BF"/>
    <w:rsid w:val="003408CF"/>
    <w:rsid w:val="0036504E"/>
    <w:rsid w:val="00394247"/>
    <w:rsid w:val="003C4EB4"/>
    <w:rsid w:val="003E6943"/>
    <w:rsid w:val="0041228B"/>
    <w:rsid w:val="00415CA1"/>
    <w:rsid w:val="00462934"/>
    <w:rsid w:val="004D65BF"/>
    <w:rsid w:val="004E0EFD"/>
    <w:rsid w:val="004F2EFB"/>
    <w:rsid w:val="005311F0"/>
    <w:rsid w:val="0053386D"/>
    <w:rsid w:val="00545033"/>
    <w:rsid w:val="00556BFC"/>
    <w:rsid w:val="00562037"/>
    <w:rsid w:val="00570F73"/>
    <w:rsid w:val="00580DB7"/>
    <w:rsid w:val="005A227D"/>
    <w:rsid w:val="005C44F3"/>
    <w:rsid w:val="005C7573"/>
    <w:rsid w:val="005D76F2"/>
    <w:rsid w:val="005E1CDC"/>
    <w:rsid w:val="005F1E3F"/>
    <w:rsid w:val="00610786"/>
    <w:rsid w:val="006261AE"/>
    <w:rsid w:val="00627523"/>
    <w:rsid w:val="006330DC"/>
    <w:rsid w:val="00633E0E"/>
    <w:rsid w:val="00681AB3"/>
    <w:rsid w:val="00681C0E"/>
    <w:rsid w:val="006952B4"/>
    <w:rsid w:val="006A0435"/>
    <w:rsid w:val="006C08C6"/>
    <w:rsid w:val="006C27DB"/>
    <w:rsid w:val="006C2C9D"/>
    <w:rsid w:val="006E1568"/>
    <w:rsid w:val="007229D2"/>
    <w:rsid w:val="00735764"/>
    <w:rsid w:val="007437CA"/>
    <w:rsid w:val="007439DF"/>
    <w:rsid w:val="00780AAF"/>
    <w:rsid w:val="00784436"/>
    <w:rsid w:val="007916EC"/>
    <w:rsid w:val="007A5C9B"/>
    <w:rsid w:val="007B1D50"/>
    <w:rsid w:val="007B65D4"/>
    <w:rsid w:val="007D1E19"/>
    <w:rsid w:val="007D47CF"/>
    <w:rsid w:val="007E0339"/>
    <w:rsid w:val="007E37A4"/>
    <w:rsid w:val="007E7119"/>
    <w:rsid w:val="007F232B"/>
    <w:rsid w:val="007F71AA"/>
    <w:rsid w:val="00815E5F"/>
    <w:rsid w:val="0082098C"/>
    <w:rsid w:val="008224A5"/>
    <w:rsid w:val="00830BE6"/>
    <w:rsid w:val="0083741F"/>
    <w:rsid w:val="008609CB"/>
    <w:rsid w:val="00860E9C"/>
    <w:rsid w:val="00865823"/>
    <w:rsid w:val="00880CC4"/>
    <w:rsid w:val="008955CB"/>
    <w:rsid w:val="008B2BFB"/>
    <w:rsid w:val="008B593B"/>
    <w:rsid w:val="008D1A55"/>
    <w:rsid w:val="008E4089"/>
    <w:rsid w:val="0091346F"/>
    <w:rsid w:val="00952E04"/>
    <w:rsid w:val="00954FF6"/>
    <w:rsid w:val="009777D5"/>
    <w:rsid w:val="00995A6F"/>
    <w:rsid w:val="009F710B"/>
    <w:rsid w:val="00A150FE"/>
    <w:rsid w:val="00A24A83"/>
    <w:rsid w:val="00A435CE"/>
    <w:rsid w:val="00A43C0E"/>
    <w:rsid w:val="00A47177"/>
    <w:rsid w:val="00A5135B"/>
    <w:rsid w:val="00A60894"/>
    <w:rsid w:val="00A667BF"/>
    <w:rsid w:val="00A702B7"/>
    <w:rsid w:val="00AA3AA6"/>
    <w:rsid w:val="00AB0C6C"/>
    <w:rsid w:val="00AB35A2"/>
    <w:rsid w:val="00AF46AF"/>
    <w:rsid w:val="00AF638F"/>
    <w:rsid w:val="00AF7112"/>
    <w:rsid w:val="00AF76D6"/>
    <w:rsid w:val="00B16B5C"/>
    <w:rsid w:val="00B21F93"/>
    <w:rsid w:val="00B31DE6"/>
    <w:rsid w:val="00B47530"/>
    <w:rsid w:val="00BA33E9"/>
    <w:rsid w:val="00BA38DB"/>
    <w:rsid w:val="00BA5680"/>
    <w:rsid w:val="00BF45FE"/>
    <w:rsid w:val="00BF4A92"/>
    <w:rsid w:val="00C001C8"/>
    <w:rsid w:val="00C0116D"/>
    <w:rsid w:val="00C25BDF"/>
    <w:rsid w:val="00C26D8C"/>
    <w:rsid w:val="00C57790"/>
    <w:rsid w:val="00C67FE7"/>
    <w:rsid w:val="00C7191B"/>
    <w:rsid w:val="00CA46FD"/>
    <w:rsid w:val="00CA7263"/>
    <w:rsid w:val="00CD5066"/>
    <w:rsid w:val="00D02BE7"/>
    <w:rsid w:val="00D103C4"/>
    <w:rsid w:val="00D13930"/>
    <w:rsid w:val="00D50214"/>
    <w:rsid w:val="00D5413E"/>
    <w:rsid w:val="00D74C2D"/>
    <w:rsid w:val="00D97305"/>
    <w:rsid w:val="00DA30C6"/>
    <w:rsid w:val="00DB641F"/>
    <w:rsid w:val="00E07C68"/>
    <w:rsid w:val="00E12010"/>
    <w:rsid w:val="00E15BC7"/>
    <w:rsid w:val="00E31139"/>
    <w:rsid w:val="00E41E7C"/>
    <w:rsid w:val="00E46F55"/>
    <w:rsid w:val="00E52980"/>
    <w:rsid w:val="00E53D16"/>
    <w:rsid w:val="00E82166"/>
    <w:rsid w:val="00E9003C"/>
    <w:rsid w:val="00EB6A7B"/>
    <w:rsid w:val="00EE003A"/>
    <w:rsid w:val="00EE41E1"/>
    <w:rsid w:val="00F049E3"/>
    <w:rsid w:val="00F15FB3"/>
    <w:rsid w:val="00F43E2B"/>
    <w:rsid w:val="00FA1744"/>
    <w:rsid w:val="00FA6255"/>
    <w:rsid w:val="00FE3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9C92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31139"/>
  </w:style>
  <w:style w:type="paragraph" w:styleId="Heading1">
    <w:name w:val="heading 1"/>
    <w:basedOn w:val="Normal"/>
    <w:next w:val="Normal"/>
    <w:qFormat/>
    <w:rsid w:val="005C7573"/>
    <w:pPr>
      <w:keepNext/>
      <w:keepLines/>
      <w:spacing w:before="340" w:after="330" w:line="578" w:lineRule="auto"/>
      <w:outlineLvl w:val="0"/>
    </w:pPr>
    <w:rPr>
      <w:b/>
      <w:bCs/>
      <w:kern w:val="44"/>
      <w:sz w:val="44"/>
      <w:szCs w:val="44"/>
    </w:rPr>
  </w:style>
  <w:style w:type="paragraph" w:styleId="Heading2">
    <w:name w:val="heading 2"/>
    <w:basedOn w:val="Normal"/>
    <w:next w:val="Normal"/>
    <w:qFormat/>
    <w:rsid w:val="00A60894"/>
    <w:pPr>
      <w:keepNext/>
      <w:spacing w:before="240" w:after="60"/>
      <w:jc w:val="both"/>
      <w:outlineLvl w:val="1"/>
    </w:pPr>
    <w:rPr>
      <w:rFonts w:ascii="Arial" w:eastAsia="Times New Roman" w:hAnsi="Arial" w:cs="Arial"/>
      <w:b/>
      <w:bCs/>
      <w:i/>
      <w:iCs/>
      <w:sz w:val="28"/>
      <w:szCs w:val="28"/>
      <w:lang w:bidi="he-IL"/>
    </w:rPr>
  </w:style>
  <w:style w:type="paragraph" w:styleId="Heading3">
    <w:name w:val="heading 3"/>
    <w:basedOn w:val="Normal"/>
    <w:next w:val="Normal"/>
    <w:qFormat/>
    <w:rsid w:val="005C7573"/>
    <w:pPr>
      <w:keepNext/>
      <w:keepLines/>
      <w:spacing w:before="260" w:after="260" w:line="416" w:lineRule="auto"/>
      <w:outlineLvl w:val="2"/>
    </w:pPr>
    <w:rPr>
      <w:b/>
      <w:bCs/>
      <w:sz w:val="32"/>
      <w:szCs w:val="32"/>
    </w:rPr>
  </w:style>
  <w:style w:type="paragraph" w:styleId="Heading4">
    <w:name w:val="heading 4"/>
    <w:basedOn w:val="Normal"/>
    <w:next w:val="Normal"/>
    <w:qFormat/>
    <w:rsid w:val="005C7573"/>
    <w:pPr>
      <w:keepNext/>
      <w:keepLines/>
      <w:spacing w:before="280" w:after="290" w:line="376" w:lineRule="auto"/>
      <w:outlineLvl w:val="3"/>
    </w:pPr>
    <w:rPr>
      <w:rFonts w:ascii="Arial" w:eastAsia="SimHei" w:hAnsi="Arial"/>
      <w:b/>
      <w:bCs/>
      <w:sz w:val="28"/>
      <w:szCs w:val="28"/>
    </w:rPr>
  </w:style>
  <w:style w:type="paragraph" w:styleId="Heading5">
    <w:name w:val="heading 5"/>
    <w:basedOn w:val="Normal"/>
    <w:next w:val="Normal"/>
    <w:link w:val="Heading5Char"/>
    <w:unhideWhenUsed/>
    <w:qFormat/>
    <w:rsid w:val="0011241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qFormat/>
    <w:rsid w:val="005C7573"/>
    <w:pPr>
      <w:keepNext/>
      <w:keepLines/>
      <w:spacing w:before="240" w:after="64" w:line="320" w:lineRule="auto"/>
      <w:outlineLvl w:val="5"/>
    </w:pPr>
    <w:rPr>
      <w:rFonts w:ascii="Arial" w:eastAsia="SimHei" w:hAnsi="Arial"/>
      <w:b/>
      <w:bCs/>
      <w:sz w:val="24"/>
      <w:szCs w:val="24"/>
    </w:rPr>
  </w:style>
  <w:style w:type="paragraph" w:styleId="Heading7">
    <w:name w:val="heading 7"/>
    <w:basedOn w:val="Normal"/>
    <w:next w:val="Normal"/>
    <w:qFormat/>
    <w:rsid w:val="005C7573"/>
    <w:pPr>
      <w:keepNext/>
      <w:keepLines/>
      <w:spacing w:before="240" w:after="64" w:line="320" w:lineRule="auto"/>
      <w:outlineLvl w:val="6"/>
    </w:pPr>
    <w:rPr>
      <w:b/>
      <w:bCs/>
      <w:sz w:val="24"/>
      <w:szCs w:val="24"/>
    </w:rPr>
  </w:style>
  <w:style w:type="paragraph" w:styleId="Heading8">
    <w:name w:val="heading 8"/>
    <w:basedOn w:val="Normal"/>
    <w:next w:val="Normal"/>
    <w:link w:val="Heading8Char"/>
    <w:unhideWhenUsed/>
    <w:qFormat/>
    <w:rsid w:val="0011241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31139"/>
    <w:pPr>
      <w:spacing w:line="240" w:lineRule="exact"/>
    </w:pPr>
    <w:rPr>
      <w:sz w:val="28"/>
    </w:rPr>
  </w:style>
  <w:style w:type="paragraph" w:styleId="Header">
    <w:name w:val="header"/>
    <w:basedOn w:val="Normal"/>
    <w:rsid w:val="00E3113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FooterChar"/>
    <w:uiPriority w:val="99"/>
    <w:rsid w:val="00E31139"/>
    <w:pPr>
      <w:tabs>
        <w:tab w:val="center" w:pos="4153"/>
        <w:tab w:val="right" w:pos="8306"/>
      </w:tabs>
      <w:snapToGrid w:val="0"/>
    </w:pPr>
    <w:rPr>
      <w:sz w:val="18"/>
      <w:szCs w:val="18"/>
    </w:rPr>
  </w:style>
  <w:style w:type="character" w:styleId="Hyperlink">
    <w:name w:val="Hyperlink"/>
    <w:rsid w:val="00D5413E"/>
    <w:rPr>
      <w:color w:val="0000FF"/>
      <w:u w:val="single"/>
    </w:rPr>
  </w:style>
  <w:style w:type="paragraph" w:styleId="BalloonText">
    <w:name w:val="Balloon Text"/>
    <w:basedOn w:val="Normal"/>
    <w:link w:val="BalloonTextChar"/>
    <w:rsid w:val="007E7119"/>
    <w:rPr>
      <w:rFonts w:ascii="Tahoma" w:hAnsi="Tahoma" w:cs="Tahoma"/>
      <w:sz w:val="16"/>
      <w:szCs w:val="16"/>
    </w:rPr>
  </w:style>
  <w:style w:type="character" w:customStyle="1" w:styleId="BalloonTextChar">
    <w:name w:val="Balloon Text Char"/>
    <w:link w:val="BalloonText"/>
    <w:rsid w:val="007E7119"/>
    <w:rPr>
      <w:rFonts w:ascii="Tahoma" w:hAnsi="Tahoma" w:cs="Tahoma"/>
      <w:sz w:val="16"/>
      <w:szCs w:val="16"/>
      <w:lang w:bidi="ar-SA"/>
    </w:rPr>
  </w:style>
  <w:style w:type="character" w:styleId="CommentReference">
    <w:name w:val="annotation reference"/>
    <w:rsid w:val="00860E9C"/>
    <w:rPr>
      <w:sz w:val="21"/>
      <w:szCs w:val="21"/>
    </w:rPr>
  </w:style>
  <w:style w:type="paragraph" w:styleId="CommentText">
    <w:name w:val="annotation text"/>
    <w:basedOn w:val="Normal"/>
    <w:link w:val="CommentTextChar"/>
    <w:rsid w:val="00860E9C"/>
  </w:style>
  <w:style w:type="character" w:customStyle="1" w:styleId="CommentTextChar">
    <w:name w:val="Comment Text Char"/>
    <w:link w:val="CommentText"/>
    <w:rsid w:val="00860E9C"/>
    <w:rPr>
      <w:lang w:eastAsia="en-US"/>
    </w:rPr>
  </w:style>
  <w:style w:type="paragraph" w:styleId="CommentSubject">
    <w:name w:val="annotation subject"/>
    <w:basedOn w:val="CommentText"/>
    <w:next w:val="CommentText"/>
    <w:link w:val="CommentSubjectChar"/>
    <w:rsid w:val="00860E9C"/>
    <w:rPr>
      <w:b/>
      <w:bCs/>
    </w:rPr>
  </w:style>
  <w:style w:type="character" w:customStyle="1" w:styleId="CommentSubjectChar">
    <w:name w:val="Comment Subject Char"/>
    <w:link w:val="CommentSubject"/>
    <w:rsid w:val="00860E9C"/>
    <w:rPr>
      <w:b/>
      <w:bCs/>
      <w:lang w:eastAsia="en-US"/>
    </w:rPr>
  </w:style>
  <w:style w:type="character" w:customStyle="1" w:styleId="FooterChar">
    <w:name w:val="Footer Char"/>
    <w:link w:val="Footer"/>
    <w:uiPriority w:val="99"/>
    <w:rsid w:val="00415CA1"/>
    <w:rPr>
      <w:sz w:val="18"/>
      <w:szCs w:val="18"/>
      <w:lang w:eastAsia="en-US"/>
    </w:rPr>
  </w:style>
  <w:style w:type="paragraph" w:styleId="FootnoteText">
    <w:name w:val="footnote text"/>
    <w:basedOn w:val="Normal"/>
    <w:link w:val="FootnoteTextChar"/>
    <w:rsid w:val="00A43C0E"/>
    <w:pPr>
      <w:snapToGrid w:val="0"/>
    </w:pPr>
    <w:rPr>
      <w:sz w:val="18"/>
      <w:szCs w:val="18"/>
    </w:rPr>
  </w:style>
  <w:style w:type="character" w:customStyle="1" w:styleId="FootnoteTextChar">
    <w:name w:val="Footnote Text Char"/>
    <w:link w:val="FootnoteText"/>
    <w:rsid w:val="00A43C0E"/>
    <w:rPr>
      <w:sz w:val="18"/>
      <w:szCs w:val="18"/>
      <w:lang w:eastAsia="en-US"/>
    </w:rPr>
  </w:style>
  <w:style w:type="character" w:styleId="FootnoteReference">
    <w:name w:val="footnote reference"/>
    <w:rsid w:val="00A43C0E"/>
    <w:rPr>
      <w:vertAlign w:val="superscript"/>
    </w:rPr>
  </w:style>
  <w:style w:type="paragraph" w:styleId="EndnoteText">
    <w:name w:val="endnote text"/>
    <w:basedOn w:val="Normal"/>
    <w:link w:val="EndnoteTextChar"/>
    <w:rsid w:val="00147F9C"/>
    <w:pPr>
      <w:snapToGrid w:val="0"/>
    </w:pPr>
  </w:style>
  <w:style w:type="character" w:customStyle="1" w:styleId="EndnoteTextChar">
    <w:name w:val="Endnote Text Char"/>
    <w:link w:val="EndnoteText"/>
    <w:rsid w:val="00147F9C"/>
    <w:rPr>
      <w:lang w:eastAsia="en-US"/>
    </w:rPr>
  </w:style>
  <w:style w:type="character" w:styleId="EndnoteReference">
    <w:name w:val="endnote reference"/>
    <w:rsid w:val="00147F9C"/>
    <w:rPr>
      <w:vertAlign w:val="superscript"/>
    </w:rPr>
  </w:style>
  <w:style w:type="paragraph" w:customStyle="1" w:styleId="Body">
    <w:name w:val="Body"/>
    <w:rsid w:val="0041228B"/>
    <w:pPr>
      <w:pBdr>
        <w:top w:val="nil"/>
        <w:left w:val="nil"/>
        <w:bottom w:val="nil"/>
        <w:right w:val="nil"/>
        <w:between w:val="nil"/>
        <w:bar w:val="nil"/>
      </w:pBdr>
    </w:pPr>
    <w:rPr>
      <w:rFonts w:eastAsia="Arial Unicode MS" w:cs="Arial Unicode MS"/>
      <w:color w:val="000000"/>
      <w:u w:color="000000"/>
      <w:bdr w:val="nil"/>
    </w:rPr>
  </w:style>
  <w:style w:type="paragraph" w:styleId="NoSpacing">
    <w:name w:val="No Spacing"/>
    <w:uiPriority w:val="1"/>
    <w:qFormat/>
    <w:rsid w:val="00394247"/>
    <w:rPr>
      <w:rFonts w:ascii="Calibri" w:eastAsia="Calibri" w:hAnsi="Calibri"/>
      <w:sz w:val="22"/>
      <w:szCs w:val="22"/>
    </w:rPr>
  </w:style>
  <w:style w:type="paragraph" w:styleId="ListParagraph">
    <w:name w:val="List Paragraph"/>
    <w:basedOn w:val="Normal"/>
    <w:link w:val="ListParagraphChar"/>
    <w:uiPriority w:val="34"/>
    <w:qFormat/>
    <w:rsid w:val="00D103C4"/>
    <w:pPr>
      <w:spacing w:after="200" w:line="276" w:lineRule="auto"/>
      <w:ind w:left="720"/>
      <w:contextualSpacing/>
      <w:jc w:val="both"/>
    </w:pPr>
    <w:rPr>
      <w:rFonts w:ascii="Cambria" w:eastAsia="Times New Roman" w:hAnsi="Cambria"/>
      <w:lang w:val="en-GB" w:bidi="en-US"/>
    </w:rPr>
  </w:style>
  <w:style w:type="character" w:customStyle="1" w:styleId="ListParagraphChar">
    <w:name w:val="List Paragraph Char"/>
    <w:link w:val="ListParagraph"/>
    <w:uiPriority w:val="34"/>
    <w:rsid w:val="00D103C4"/>
    <w:rPr>
      <w:rFonts w:ascii="Cambria" w:eastAsia="Times New Roman" w:hAnsi="Cambria"/>
      <w:lang w:val="en-GB" w:bidi="en-US"/>
    </w:rPr>
  </w:style>
  <w:style w:type="character" w:customStyle="1" w:styleId="Heading5Char">
    <w:name w:val="Heading 5 Char"/>
    <w:basedOn w:val="DefaultParagraphFont"/>
    <w:link w:val="Heading5"/>
    <w:rsid w:val="00112418"/>
    <w:rPr>
      <w:rFonts w:asciiTheme="majorHAnsi" w:eastAsiaTheme="majorEastAsia" w:hAnsiTheme="majorHAnsi" w:cstheme="majorBidi"/>
      <w:color w:val="2F5496" w:themeColor="accent1" w:themeShade="BF"/>
    </w:rPr>
  </w:style>
  <w:style w:type="character" w:customStyle="1" w:styleId="Heading8Char">
    <w:name w:val="Heading 8 Char"/>
    <w:basedOn w:val="DefaultParagraphFont"/>
    <w:link w:val="Heading8"/>
    <w:rsid w:val="00112418"/>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429141">
      <w:bodyDiv w:val="1"/>
      <w:marLeft w:val="0"/>
      <w:marRight w:val="0"/>
      <w:marTop w:val="0"/>
      <w:marBottom w:val="0"/>
      <w:divBdr>
        <w:top w:val="none" w:sz="0" w:space="0" w:color="auto"/>
        <w:left w:val="none" w:sz="0" w:space="0" w:color="auto"/>
        <w:bottom w:val="none" w:sz="0" w:space="0" w:color="auto"/>
        <w:right w:val="none" w:sz="0" w:space="0" w:color="auto"/>
      </w:divBdr>
      <w:divsChild>
        <w:div w:id="984819317">
          <w:blockQuote w:val="1"/>
          <w:marLeft w:val="480"/>
          <w:marRight w:val="720"/>
          <w:marTop w:val="0"/>
          <w:marBottom w:val="0"/>
          <w:divBdr>
            <w:top w:val="none" w:sz="0" w:space="0" w:color="auto"/>
            <w:left w:val="none" w:sz="0" w:space="0" w:color="auto"/>
            <w:bottom w:val="none" w:sz="0" w:space="0" w:color="auto"/>
            <w:right w:val="none" w:sz="0" w:space="0" w:color="auto"/>
          </w:divBdr>
          <w:divsChild>
            <w:div w:id="32582100">
              <w:marLeft w:val="0"/>
              <w:marRight w:val="0"/>
              <w:marTop w:val="0"/>
              <w:marBottom w:val="0"/>
              <w:divBdr>
                <w:top w:val="none" w:sz="0" w:space="0" w:color="auto"/>
                <w:left w:val="none" w:sz="0" w:space="0" w:color="auto"/>
                <w:bottom w:val="none" w:sz="0" w:space="0" w:color="auto"/>
                <w:right w:val="none" w:sz="0" w:space="0" w:color="auto"/>
              </w:divBdr>
              <w:divsChild>
                <w:div w:id="1927811243">
                  <w:marLeft w:val="150"/>
                  <w:marRight w:val="150"/>
                  <w:marTop w:val="150"/>
                  <w:marBottom w:val="150"/>
                  <w:divBdr>
                    <w:top w:val="none" w:sz="0" w:space="0" w:color="auto"/>
                    <w:left w:val="none" w:sz="0" w:space="0" w:color="auto"/>
                    <w:bottom w:val="none" w:sz="0" w:space="0" w:color="auto"/>
                    <w:right w:val="none" w:sz="0" w:space="0" w:color="auto"/>
                  </w:divBdr>
                  <w:divsChild>
                    <w:div w:id="1914508429">
                      <w:marLeft w:val="0"/>
                      <w:marRight w:val="0"/>
                      <w:marTop w:val="0"/>
                      <w:marBottom w:val="0"/>
                      <w:divBdr>
                        <w:top w:val="none" w:sz="0" w:space="0" w:color="auto"/>
                        <w:left w:val="none" w:sz="0" w:space="0" w:color="auto"/>
                        <w:bottom w:val="none" w:sz="0" w:space="0" w:color="auto"/>
                        <w:right w:val="none" w:sz="0" w:space="0" w:color="auto"/>
                      </w:divBdr>
                      <w:divsChild>
                        <w:div w:id="50736441">
                          <w:blockQuote w:val="1"/>
                          <w:marLeft w:val="480"/>
                          <w:marRight w:val="720"/>
                          <w:marTop w:val="0"/>
                          <w:marBottom w:val="0"/>
                          <w:divBdr>
                            <w:top w:val="none" w:sz="0" w:space="0" w:color="auto"/>
                            <w:left w:val="none" w:sz="0" w:space="0" w:color="auto"/>
                            <w:bottom w:val="none" w:sz="0" w:space="0" w:color="auto"/>
                            <w:right w:val="none" w:sz="0" w:space="0" w:color="auto"/>
                          </w:divBdr>
                          <w:divsChild>
                            <w:div w:id="242493866">
                              <w:marLeft w:val="0"/>
                              <w:marRight w:val="0"/>
                              <w:marTop w:val="0"/>
                              <w:marBottom w:val="0"/>
                              <w:divBdr>
                                <w:top w:val="none" w:sz="0" w:space="0" w:color="auto"/>
                                <w:left w:val="none" w:sz="0" w:space="0" w:color="auto"/>
                                <w:bottom w:val="none" w:sz="0" w:space="0" w:color="auto"/>
                                <w:right w:val="none" w:sz="0" w:space="0" w:color="auto"/>
                              </w:divBdr>
                              <w:divsChild>
                                <w:div w:id="546991903">
                                  <w:marLeft w:val="0"/>
                                  <w:marRight w:val="0"/>
                                  <w:marTop w:val="0"/>
                                  <w:marBottom w:val="0"/>
                                  <w:divBdr>
                                    <w:top w:val="none" w:sz="0" w:space="0" w:color="auto"/>
                                    <w:left w:val="none" w:sz="0" w:space="0" w:color="auto"/>
                                    <w:bottom w:val="none" w:sz="0" w:space="0" w:color="auto"/>
                                    <w:right w:val="none" w:sz="0" w:space="0" w:color="auto"/>
                                  </w:divBdr>
                                  <w:divsChild>
                                    <w:div w:id="1643774683">
                                      <w:marLeft w:val="0"/>
                                      <w:marRight w:val="0"/>
                                      <w:marTop w:val="0"/>
                                      <w:marBottom w:val="0"/>
                                      <w:divBdr>
                                        <w:top w:val="none" w:sz="0" w:space="0" w:color="auto"/>
                                        <w:left w:val="none" w:sz="0" w:space="0" w:color="auto"/>
                                        <w:bottom w:val="none" w:sz="0" w:space="0" w:color="auto"/>
                                        <w:right w:val="none" w:sz="0" w:space="0" w:color="auto"/>
                                      </w:divBdr>
                                      <w:divsChild>
                                        <w:div w:id="496656560">
                                          <w:marLeft w:val="0"/>
                                          <w:marRight w:val="0"/>
                                          <w:marTop w:val="0"/>
                                          <w:marBottom w:val="0"/>
                                          <w:divBdr>
                                            <w:top w:val="none" w:sz="0" w:space="0" w:color="auto"/>
                                            <w:left w:val="none" w:sz="0" w:space="0" w:color="auto"/>
                                            <w:bottom w:val="none" w:sz="0" w:space="0" w:color="auto"/>
                                            <w:right w:val="none" w:sz="0" w:space="0" w:color="auto"/>
                                          </w:divBdr>
                                          <w:divsChild>
                                            <w:div w:id="1495609775">
                                              <w:marLeft w:val="0"/>
                                              <w:marRight w:val="0"/>
                                              <w:marTop w:val="0"/>
                                              <w:marBottom w:val="0"/>
                                              <w:divBdr>
                                                <w:top w:val="none" w:sz="0" w:space="0" w:color="auto"/>
                                                <w:left w:val="none" w:sz="0" w:space="0" w:color="auto"/>
                                                <w:bottom w:val="none" w:sz="0" w:space="0" w:color="auto"/>
                                                <w:right w:val="none" w:sz="0" w:space="0" w:color="auto"/>
                                              </w:divBdr>
                                              <w:divsChild>
                                                <w:div w:id="1380859867">
                                                  <w:blockQuote w:val="1"/>
                                                  <w:marLeft w:val="480"/>
                                                  <w:marRight w:val="720"/>
                                                  <w:marTop w:val="0"/>
                                                  <w:marBottom w:val="0"/>
                                                  <w:divBdr>
                                                    <w:top w:val="none" w:sz="0" w:space="0" w:color="auto"/>
                                                    <w:left w:val="none" w:sz="0" w:space="0" w:color="auto"/>
                                                    <w:bottom w:val="none" w:sz="0" w:space="0" w:color="auto"/>
                                                    <w:right w:val="none" w:sz="0" w:space="0" w:color="auto"/>
                                                  </w:divBdr>
                                                  <w:divsChild>
                                                    <w:div w:id="484056475">
                                                      <w:marLeft w:val="0"/>
                                                      <w:marRight w:val="0"/>
                                                      <w:marTop w:val="0"/>
                                                      <w:marBottom w:val="0"/>
                                                      <w:divBdr>
                                                        <w:top w:val="none" w:sz="0" w:space="0" w:color="auto"/>
                                                        <w:left w:val="none" w:sz="0" w:space="0" w:color="auto"/>
                                                        <w:bottom w:val="none" w:sz="0" w:space="0" w:color="auto"/>
                                                        <w:right w:val="none" w:sz="0" w:space="0" w:color="auto"/>
                                                      </w:divBdr>
                                                      <w:divsChild>
                                                        <w:div w:id="1590235054">
                                                          <w:marLeft w:val="0"/>
                                                          <w:marRight w:val="0"/>
                                                          <w:marTop w:val="0"/>
                                                          <w:marBottom w:val="0"/>
                                                          <w:divBdr>
                                                            <w:top w:val="none" w:sz="0" w:space="0" w:color="auto"/>
                                                            <w:left w:val="none" w:sz="0" w:space="0" w:color="auto"/>
                                                            <w:bottom w:val="none" w:sz="0" w:space="0" w:color="auto"/>
                                                            <w:right w:val="none" w:sz="0" w:space="0" w:color="auto"/>
                                                          </w:divBdr>
                                                          <w:divsChild>
                                                            <w:div w:id="737361543">
                                                              <w:marLeft w:val="0"/>
                                                              <w:marRight w:val="0"/>
                                                              <w:marTop w:val="0"/>
                                                              <w:marBottom w:val="0"/>
                                                              <w:divBdr>
                                                                <w:top w:val="none" w:sz="0" w:space="0" w:color="auto"/>
                                                                <w:left w:val="none" w:sz="0" w:space="0" w:color="auto"/>
                                                                <w:bottom w:val="none" w:sz="0" w:space="0" w:color="auto"/>
                                                                <w:right w:val="none" w:sz="0" w:space="0" w:color="auto"/>
                                                              </w:divBdr>
                                                              <w:divsChild>
                                                                <w:div w:id="140851889">
                                                                  <w:marLeft w:val="0"/>
                                                                  <w:marRight w:val="0"/>
                                                                  <w:marTop w:val="0"/>
                                                                  <w:marBottom w:val="0"/>
                                                                  <w:divBdr>
                                                                    <w:top w:val="none" w:sz="0" w:space="0" w:color="auto"/>
                                                                    <w:left w:val="none" w:sz="0" w:space="0" w:color="auto"/>
                                                                    <w:bottom w:val="none" w:sz="0" w:space="0" w:color="auto"/>
                                                                    <w:right w:val="none" w:sz="0" w:space="0" w:color="auto"/>
                                                                  </w:divBdr>
                                                                  <w:divsChild>
                                                                    <w:div w:id="1866168475">
                                                                      <w:blockQuote w:val="1"/>
                                                                      <w:marLeft w:val="480"/>
                                                                      <w:marRight w:val="720"/>
                                                                      <w:marTop w:val="0"/>
                                                                      <w:marBottom w:val="0"/>
                                                                      <w:divBdr>
                                                                        <w:top w:val="none" w:sz="0" w:space="0" w:color="auto"/>
                                                                        <w:left w:val="none" w:sz="0" w:space="0" w:color="auto"/>
                                                                        <w:bottom w:val="none" w:sz="0" w:space="0" w:color="auto"/>
                                                                        <w:right w:val="none" w:sz="0" w:space="0" w:color="auto"/>
                                                                      </w:divBdr>
                                                                      <w:divsChild>
                                                                        <w:div w:id="1614248184">
                                                                          <w:marLeft w:val="0"/>
                                                                          <w:marRight w:val="0"/>
                                                                          <w:marTop w:val="0"/>
                                                                          <w:marBottom w:val="0"/>
                                                                          <w:divBdr>
                                                                            <w:top w:val="none" w:sz="0" w:space="0" w:color="auto"/>
                                                                            <w:left w:val="none" w:sz="0" w:space="0" w:color="auto"/>
                                                                            <w:bottom w:val="none" w:sz="0" w:space="0" w:color="auto"/>
                                                                            <w:right w:val="none" w:sz="0" w:space="0" w:color="auto"/>
                                                                          </w:divBdr>
                                                                          <w:divsChild>
                                                                            <w:div w:id="269364036">
                                                                              <w:marLeft w:val="0"/>
                                                                              <w:marRight w:val="0"/>
                                                                              <w:marTop w:val="0"/>
                                                                              <w:marBottom w:val="0"/>
                                                                              <w:divBdr>
                                                                                <w:top w:val="none" w:sz="0" w:space="0" w:color="auto"/>
                                                                                <w:left w:val="none" w:sz="0" w:space="0" w:color="auto"/>
                                                                                <w:bottom w:val="none" w:sz="0" w:space="0" w:color="auto"/>
                                                                                <w:right w:val="none" w:sz="0" w:space="0" w:color="auto"/>
                                                                              </w:divBdr>
                                                                              <w:divsChild>
                                                                                <w:div w:id="7328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285F7-98E2-F648-8B65-991C9F728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 A Human Tumor Genome Project: From Sequence to Structure, Function And Possibly Drug Targets</vt:lpstr>
    </vt:vector>
  </TitlesOfParts>
  <Company>MC SYSTEM</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 Human Tumor Genome Project: From Sequence to Structure, Function And Possibly Drug Targets</dc:title>
  <dc:subject/>
  <dc:creator>MC SYSTEM</dc:creator>
  <cp:keywords/>
  <cp:lastModifiedBy>Higinio Mappala</cp:lastModifiedBy>
  <cp:revision>2</cp:revision>
  <dcterms:created xsi:type="dcterms:W3CDTF">2018-09-07T17:53:00Z</dcterms:created>
  <dcterms:modified xsi:type="dcterms:W3CDTF">2018-09-07T17:53:00Z</dcterms:modified>
</cp:coreProperties>
</file>