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21E" w:rsidRPr="00BC60FF" w:rsidRDefault="0029121E" w:rsidP="0029121E">
      <w:pPr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</w:pP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Type 1</w:t>
      </w:r>
      <w:r w:rsidR="00843A8D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(T1D)</w:t>
      </w: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, type 2</w:t>
      </w:r>
      <w:r w:rsidR="00843A8D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(T2D)</w:t>
      </w: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, and latent autoimmune diabetes</w:t>
      </w:r>
      <w:r w:rsidR="00843A8D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</w:t>
      </w: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in adults</w:t>
      </w:r>
      <w:r w:rsidR="00EE7C1C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(LADA) </w:t>
      </w:r>
      <w:r w:rsidR="00886AD2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a</w:t>
      </w:r>
      <w:r w:rsidR="00827952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s a</w:t>
      </w:r>
      <w:r w:rsidR="00886AD2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single</w:t>
      </w: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fecal-oral transmitted </w:t>
      </w:r>
      <w:r w:rsidR="00EE7C1C"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polymicrobial </w:t>
      </w:r>
      <w:r w:rsidR="00892839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infection in</w:t>
      </w:r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BC60FF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gene</w:t>
      </w:r>
      <w:r w:rsidR="00827952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tically susceptible individuals</w:t>
      </w:r>
    </w:p>
    <w:p w:rsidR="0029121E" w:rsidRDefault="0029121E" w:rsidP="0029121E">
      <w:pPr>
        <w:pStyle w:val="Corpodetexto"/>
        <w:spacing w:before="73" w:line="198" w:lineRule="exact"/>
        <w:ind w:right="5987"/>
        <w:rPr>
          <w:rFonts w:ascii="Minion Pro" w:eastAsia="Minion Pro" w:hAnsi="Minion Pro" w:cs="Minion Pro"/>
          <w:b/>
          <w:bCs/>
          <w:sz w:val="36"/>
          <w:szCs w:val="36"/>
        </w:rPr>
      </w:pPr>
    </w:p>
    <w:p w:rsidR="005973B9" w:rsidRPr="005F7408" w:rsidRDefault="005F7408" w:rsidP="005F7408">
      <w:pPr>
        <w:spacing w:after="200"/>
        <w:rPr>
          <w:rFonts w:ascii="Times New Roman" w:hAnsi="Times New Roman"/>
          <w:b/>
          <w:sz w:val="18"/>
          <w:szCs w:val="18"/>
          <w:shd w:val="clear" w:color="auto" w:fill="FFFFFF"/>
          <w:lang w:val="pt-BR"/>
        </w:rPr>
      </w:pPr>
      <w:r w:rsidRPr="005F7408">
        <w:rPr>
          <w:rFonts w:ascii="Times New Roman" w:hAnsi="Times New Roman"/>
          <w:b/>
          <w:sz w:val="18"/>
          <w:szCs w:val="18"/>
          <w:shd w:val="clear" w:color="auto" w:fill="FFFFFF"/>
          <w:lang w:val="pt-BR"/>
        </w:rPr>
        <w:t xml:space="preserve">Ivanildo C de Medeiros, MD – </w:t>
      </w:r>
      <w:r w:rsidR="00BE4709">
        <w:rPr>
          <w:rFonts w:ascii="Times New Roman" w:hAnsi="Times New Roman"/>
          <w:b/>
          <w:sz w:val="18"/>
          <w:szCs w:val="18"/>
          <w:shd w:val="clear" w:color="auto" w:fill="FFFFFF"/>
          <w:lang w:val="pt-BR"/>
        </w:rPr>
        <w:t xml:space="preserve">Federal University of Rio Grande do Norte, HUOL, </w:t>
      </w:r>
      <w:r w:rsidRPr="005F7408">
        <w:rPr>
          <w:rFonts w:ascii="Times New Roman" w:hAnsi="Times New Roman"/>
          <w:b/>
          <w:sz w:val="18"/>
          <w:szCs w:val="18"/>
          <w:lang w:val="pt-BR"/>
        </w:rPr>
        <w:t xml:space="preserve">Brazil </w:t>
      </w:r>
    </w:p>
    <w:p w:rsidR="00AE3E37" w:rsidRPr="005F7408" w:rsidRDefault="00AE3E37">
      <w:pPr>
        <w:pStyle w:val="Corpodetexto"/>
        <w:rPr>
          <w:rFonts w:ascii="Arial"/>
          <w:sz w:val="20"/>
          <w:lang w:val="pt-BR"/>
        </w:rPr>
      </w:pPr>
    </w:p>
    <w:p w:rsidR="00AE3E37" w:rsidRPr="005F7408" w:rsidRDefault="00AE3E37">
      <w:pPr>
        <w:pStyle w:val="Corpodetexto"/>
        <w:spacing w:before="3"/>
        <w:rPr>
          <w:rFonts w:ascii="Arial"/>
          <w:sz w:val="21"/>
          <w:lang w:val="pt-BR"/>
        </w:rPr>
      </w:pPr>
    </w:p>
    <w:p w:rsidR="00AE3E37" w:rsidRPr="005F7408" w:rsidRDefault="00AE3E37">
      <w:pPr>
        <w:rPr>
          <w:rFonts w:ascii="Arial"/>
          <w:sz w:val="21"/>
          <w:lang w:val="pt-BR"/>
        </w:rPr>
        <w:sectPr w:rsidR="00AE3E37" w:rsidRPr="005F74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1295C" w:rsidRDefault="00A9710C">
      <w:pPr>
        <w:pStyle w:val="Ttulo3"/>
        <w:spacing w:before="147"/>
        <w:jc w:val="both"/>
      </w:pPr>
      <w:r w:rsidRPr="0091295C">
        <w:lastRenderedPageBreak/>
        <w:t>Abstract</w:t>
      </w:r>
    </w:p>
    <w:p w:rsidR="00CF2AFE" w:rsidRDefault="00A9710C" w:rsidP="00B7562D">
      <w:pPr>
        <w:pStyle w:val="Corpodetexto"/>
        <w:spacing w:before="90" w:line="280" w:lineRule="auto"/>
        <w:ind w:left="100"/>
        <w:jc w:val="both"/>
      </w:pPr>
      <w:r w:rsidRPr="00A0747A">
        <w:rPr>
          <w:b/>
        </w:rPr>
        <w:t>Statement of the Problem</w:t>
      </w:r>
      <w:r w:rsidR="00EB48A5">
        <w:t xml:space="preserve">: Nowadays, </w:t>
      </w:r>
      <w:r w:rsidR="005A5DC2">
        <w:t xml:space="preserve">it is </w:t>
      </w:r>
      <w:r w:rsidR="00810794">
        <w:t>admitted</w:t>
      </w:r>
      <w:r w:rsidR="002C419B">
        <w:t xml:space="preserve"> </w:t>
      </w:r>
      <w:r w:rsidR="005A5DC2">
        <w:t xml:space="preserve">that </w:t>
      </w:r>
      <w:r w:rsidR="002C419B">
        <w:t xml:space="preserve">the transmission of </w:t>
      </w:r>
      <w:r w:rsidR="002230B1">
        <w:t xml:space="preserve">a </w:t>
      </w:r>
      <w:r w:rsidR="00886AD2">
        <w:t>d</w:t>
      </w:r>
      <w:r w:rsidR="00C74833">
        <w:t>onor</w:t>
      </w:r>
      <w:r w:rsidR="00470354">
        <w:t xml:space="preserve"> </w:t>
      </w:r>
      <w:r w:rsidR="00D47126">
        <w:t>disease</w:t>
      </w:r>
      <w:r w:rsidR="0023555F">
        <w:t xml:space="preserve"> </w:t>
      </w:r>
      <w:r w:rsidR="00242A35">
        <w:t xml:space="preserve">through </w:t>
      </w:r>
      <w:r w:rsidR="00BE6293">
        <w:t>transplantation</w:t>
      </w:r>
      <w:r w:rsidR="0023555F">
        <w:t>/transfer</w:t>
      </w:r>
      <w:r w:rsidR="00A50F0E">
        <w:t xml:space="preserve"> of an </w:t>
      </w:r>
      <w:r w:rsidR="00242A35">
        <w:t>unhealthy gut</w:t>
      </w:r>
      <w:r w:rsidR="00A50F0E">
        <w:t xml:space="preserve"> microbiota</w:t>
      </w:r>
      <w:r w:rsidR="00C14FD0">
        <w:t xml:space="preserve"> (dysbiosis)</w:t>
      </w:r>
      <w:r w:rsidR="00774A22">
        <w:t xml:space="preserve"> fulfi</w:t>
      </w:r>
      <w:r w:rsidR="00565D88">
        <w:t>lls Koch’s postulates on polymicrobial</w:t>
      </w:r>
      <w:r w:rsidR="002230B1">
        <w:t xml:space="preserve"> infections</w:t>
      </w:r>
      <w:r w:rsidR="00565D88">
        <w:t>.</w:t>
      </w:r>
      <w:r w:rsidR="00F11EAE">
        <w:t xml:space="preserve"> This is the case of disorders such as</w:t>
      </w:r>
      <w:r w:rsidR="00537FEC">
        <w:t xml:space="preserve"> inflammatory bowel dise</w:t>
      </w:r>
      <w:r w:rsidR="005B1DDC">
        <w:t>ase, colorectal cancer, obesity,</w:t>
      </w:r>
      <w:r w:rsidR="007A6A36">
        <w:t xml:space="preserve"> </w:t>
      </w:r>
      <w:r w:rsidR="00163926">
        <w:t>kwashiorkor and</w:t>
      </w:r>
      <w:r w:rsidR="005B1DDC">
        <w:t xml:space="preserve"> environmental enteropathy</w:t>
      </w:r>
      <w:r w:rsidR="006D09DA">
        <w:t>. This paper provi</w:t>
      </w:r>
      <w:r w:rsidR="00843A8D">
        <w:t>des the literature evidence supporting the idea that</w:t>
      </w:r>
      <w:r w:rsidR="00EE7C1C">
        <w:t xml:space="preserve"> T1D, T2D and LADA</w:t>
      </w:r>
      <w:r w:rsidR="00C14FD0">
        <w:t xml:space="preserve"> are a single </w:t>
      </w:r>
      <w:r w:rsidR="009E506A">
        <w:t xml:space="preserve">transmissible </w:t>
      </w:r>
      <w:r w:rsidR="00C14FD0">
        <w:t>polymicrobial</w:t>
      </w:r>
      <w:r w:rsidR="006973DD">
        <w:t xml:space="preserve"> infection that can </w:t>
      </w:r>
      <w:r w:rsidR="00E03855">
        <w:t>spread</w:t>
      </w:r>
      <w:r w:rsidR="00C14971">
        <w:t xml:space="preserve"> </w:t>
      </w:r>
      <w:r w:rsidR="006973DD">
        <w:t>both</w:t>
      </w:r>
      <w:r w:rsidR="00964DB4">
        <w:t xml:space="preserve"> intra- and intergenerationally.</w:t>
      </w:r>
      <w:r w:rsidR="00B7562D">
        <w:t xml:space="preserve"> </w:t>
      </w:r>
      <w:r w:rsidRPr="00A0747A">
        <w:rPr>
          <w:b/>
        </w:rPr>
        <w:t>Methodolog</w:t>
      </w:r>
      <w:r w:rsidR="008756E6" w:rsidRPr="00A0747A">
        <w:rPr>
          <w:b/>
        </w:rPr>
        <w:t>y &amp; Theoretical Orientation:</w:t>
      </w:r>
      <w:r w:rsidR="00B7562D">
        <w:t xml:space="preserve"> </w:t>
      </w:r>
      <w:r w:rsidR="00F96B31">
        <w:t>N</w:t>
      </w:r>
      <w:r w:rsidR="001B557B">
        <w:t>etwork research</w:t>
      </w:r>
      <w:r w:rsidR="00F96B31">
        <w:t xml:space="preserve"> focusing</w:t>
      </w:r>
      <w:r w:rsidR="00481867">
        <w:t xml:space="preserve"> on </w:t>
      </w:r>
      <w:r w:rsidR="002561AD">
        <w:t>diabetogenic gut microbiota as</w:t>
      </w:r>
      <w:r w:rsidR="00481867">
        <w:t xml:space="preserve"> a</w:t>
      </w:r>
      <w:r w:rsidR="002561AD">
        <w:t xml:space="preserve"> crucial </w:t>
      </w:r>
      <w:r w:rsidR="00A04CAE">
        <w:t>environmental</w:t>
      </w:r>
      <w:r w:rsidR="002561AD">
        <w:t xml:space="preserve"> factor </w:t>
      </w:r>
      <w:r w:rsidR="00C74530">
        <w:t>for</w:t>
      </w:r>
      <w:r w:rsidR="002561AD">
        <w:t xml:space="preserve"> the development of all clinical forms of diabetes</w:t>
      </w:r>
      <w:r w:rsidR="00E03855">
        <w:t xml:space="preserve"> mellitus</w:t>
      </w:r>
      <w:r w:rsidR="002561AD">
        <w:t>.</w:t>
      </w:r>
      <w:r w:rsidR="00B7562D">
        <w:t xml:space="preserve"> </w:t>
      </w:r>
      <w:r w:rsidRPr="00A0747A">
        <w:rPr>
          <w:b/>
        </w:rPr>
        <w:t>Conclusion &amp; Significance:</w:t>
      </w:r>
      <w:r w:rsidR="00395051">
        <w:t xml:space="preserve"> The </w:t>
      </w:r>
      <w:r w:rsidR="00D06B2E">
        <w:t>transfer of a</w:t>
      </w:r>
      <w:r w:rsidR="004A691D">
        <w:t xml:space="preserve"> diabetogenic</w:t>
      </w:r>
      <w:r w:rsidR="008875CA">
        <w:t xml:space="preserve"> gut microbiota</w:t>
      </w:r>
      <w:r w:rsidR="00D06B2E">
        <w:t xml:space="preserve"> </w:t>
      </w:r>
      <w:r w:rsidR="00B847A8">
        <w:t xml:space="preserve">to </w:t>
      </w:r>
      <w:r w:rsidR="00E03855">
        <w:t xml:space="preserve">genetically susceptible </w:t>
      </w:r>
      <w:r w:rsidR="00E016C5">
        <w:t>individual</w:t>
      </w:r>
      <w:r w:rsidR="00B847A8">
        <w:t>s</w:t>
      </w:r>
      <w:r w:rsidR="00B64F2C">
        <w:t xml:space="preserve"> </w:t>
      </w:r>
      <w:r w:rsidR="004A691D">
        <w:t>carrying</w:t>
      </w:r>
      <w:r w:rsidR="00FF15CC">
        <w:t xml:space="preserve"> </w:t>
      </w:r>
      <w:r w:rsidR="004A691D">
        <w:t xml:space="preserve">an </w:t>
      </w:r>
      <w:r w:rsidR="00FF15CC">
        <w:t>immature intestinal immune system</w:t>
      </w:r>
      <w:r w:rsidR="00B847A8">
        <w:t xml:space="preserve"> </w:t>
      </w:r>
      <w:r w:rsidR="006A0D2D">
        <w:t>causes T1D</w:t>
      </w:r>
      <w:r w:rsidR="00FF15CC">
        <w:t xml:space="preserve"> and LADA</w:t>
      </w:r>
      <w:r w:rsidR="006A0D2D">
        <w:t>.</w:t>
      </w:r>
      <w:r w:rsidR="00EF68DC">
        <w:t xml:space="preserve"> In contrast, those</w:t>
      </w:r>
      <w:r w:rsidR="00A61C39">
        <w:t xml:space="preserve"> with intestinal immune maturation will develop T2D.</w:t>
      </w:r>
      <w:r w:rsidR="00822178">
        <w:t xml:space="preserve"> Ultimately, long-term T2D </w:t>
      </w:r>
      <w:r w:rsidR="0091295C">
        <w:t>can compromise gut immunity and progress to T1D.</w:t>
      </w:r>
      <w:r w:rsidR="006A0D2D">
        <w:t xml:space="preserve"> </w:t>
      </w:r>
    </w:p>
    <w:p w:rsidR="00AE3E37" w:rsidRDefault="006A0D2D" w:rsidP="00B7562D">
      <w:pPr>
        <w:pStyle w:val="Corpodetexto"/>
        <w:spacing w:before="90" w:line="280" w:lineRule="auto"/>
        <w:ind w:left="100"/>
        <w:jc w:val="both"/>
      </w:pPr>
      <w:r>
        <w:t xml:space="preserve">It is in accordance with </w:t>
      </w:r>
      <w:r w:rsidR="005B57A6">
        <w:t>other observational studies in animals and human beings</w:t>
      </w:r>
      <w:r w:rsidR="00131568">
        <w:t xml:space="preserve"> showing that </w:t>
      </w:r>
      <w:r w:rsidR="00772936">
        <w:t xml:space="preserve">the </w:t>
      </w:r>
      <w:r w:rsidR="00131568">
        <w:t>gut microbiome</w:t>
      </w:r>
      <w:r w:rsidR="00491732">
        <w:t xml:space="preserve"> of diabetic individuals </w:t>
      </w:r>
      <w:r w:rsidR="00131568">
        <w:t xml:space="preserve">spreads </w:t>
      </w:r>
      <w:r w:rsidR="00781241">
        <w:t>both horizontal- and vertically.</w:t>
      </w:r>
      <w:r w:rsidR="00435E69">
        <w:t xml:space="preserve"> Further studies are need to clarify</w:t>
      </w:r>
      <w:r w:rsidR="00FD1091">
        <w:t xml:space="preserve"> these preliminary findings. </w:t>
      </w:r>
      <w:r w:rsidR="004A4CA8">
        <w:t>If these data are confirmed</w:t>
      </w:r>
      <w:r w:rsidR="00A612C9">
        <w:t xml:space="preserve"> by well-designed studies</w:t>
      </w:r>
      <w:r w:rsidR="002A1C0D">
        <w:t>,</w:t>
      </w:r>
      <w:r w:rsidR="00BB255D">
        <w:t xml:space="preserve"> novel</w:t>
      </w:r>
      <w:r w:rsidR="00964AFB">
        <w:t xml:space="preserve"> preventive and therapeutic strategies </w:t>
      </w:r>
      <w:r w:rsidR="00C41594">
        <w:t>can be implemented for disease management.</w:t>
      </w:r>
      <w:r w:rsidR="00964AFB">
        <w:t xml:space="preserve"> </w:t>
      </w:r>
      <w:r w:rsidR="002A1C0D">
        <w:t xml:space="preserve"> </w:t>
      </w:r>
      <w:r w:rsidR="00D7212F">
        <w:t xml:space="preserve"> 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</w:p>
    <w:p w:rsidR="00AE3E37" w:rsidRDefault="00AE3E37">
      <w:pPr>
        <w:pStyle w:val="Corpodetexto"/>
        <w:spacing w:before="2"/>
        <w:rPr>
          <w:rFonts w:ascii="Arial"/>
          <w:b/>
          <w:sz w:val="16"/>
        </w:rPr>
      </w:pPr>
    </w:p>
    <w:p w:rsidR="005973B9" w:rsidRDefault="00544B9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  <w:r w:rsidR="00B7562D">
        <w:rPr>
          <w:rFonts w:ascii="Arial"/>
          <w:b/>
          <w:sz w:val="20"/>
        </w:rPr>
        <w:t>References</w:t>
      </w:r>
    </w:p>
    <w:p w:rsidR="005973B9" w:rsidRDefault="00B44502" w:rsidP="00B44502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44502">
        <w:rPr>
          <w:sz w:val="18"/>
        </w:rPr>
        <w:t>Vonaesch P, Anderson M, Sansonetti PJ</w:t>
      </w:r>
      <w:r>
        <w:rPr>
          <w:sz w:val="18"/>
        </w:rPr>
        <w:t xml:space="preserve"> (2018)</w:t>
      </w:r>
      <w:r w:rsidRPr="00B44502">
        <w:rPr>
          <w:sz w:val="18"/>
        </w:rPr>
        <w:t>. Pathogens, microbiome and the host: emergence of the ecological Koch’s postulates. FEMS Microbiol Rev 42:273–92.</w:t>
      </w:r>
    </w:p>
    <w:p w:rsidR="005973B9" w:rsidRDefault="00C86B9C" w:rsidP="00C86B9C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C86B9C">
        <w:rPr>
          <w:sz w:val="18"/>
        </w:rPr>
        <w:t>Schaubeck M, Clavel T, Calasan J, Lagk</w:t>
      </w:r>
      <w:r>
        <w:rPr>
          <w:sz w:val="18"/>
        </w:rPr>
        <w:t xml:space="preserve">ouvardos I, Bastiaan S, Haange </w:t>
      </w:r>
      <w:r w:rsidRPr="00C86B9C">
        <w:rPr>
          <w:sz w:val="18"/>
        </w:rPr>
        <w:t>et al</w:t>
      </w:r>
      <w:r>
        <w:rPr>
          <w:sz w:val="18"/>
        </w:rPr>
        <w:t xml:space="preserve"> (</w:t>
      </w:r>
      <w:r w:rsidRPr="00C86B9C">
        <w:rPr>
          <w:sz w:val="18"/>
        </w:rPr>
        <w:t>2015</w:t>
      </w:r>
      <w:r>
        <w:rPr>
          <w:sz w:val="18"/>
        </w:rPr>
        <w:t>)</w:t>
      </w:r>
      <w:r w:rsidRPr="00C86B9C">
        <w:rPr>
          <w:sz w:val="18"/>
        </w:rPr>
        <w:t>. Dysbiotic gut microbiota causes transmissible Crohn’s disease-like ileitis independent of fa</w:t>
      </w:r>
      <w:r>
        <w:rPr>
          <w:sz w:val="18"/>
        </w:rPr>
        <w:t xml:space="preserve">ilure in antimicrobial defence. </w:t>
      </w:r>
      <w:r w:rsidRPr="00C86B9C">
        <w:rPr>
          <w:sz w:val="18"/>
        </w:rPr>
        <w:t>Gut</w:t>
      </w:r>
      <w:r>
        <w:rPr>
          <w:sz w:val="18"/>
        </w:rPr>
        <w:t xml:space="preserve"> </w:t>
      </w:r>
      <w:r w:rsidRPr="00C86B9C">
        <w:rPr>
          <w:sz w:val="18"/>
        </w:rPr>
        <w:t>65:1–13</w:t>
      </w:r>
      <w:r>
        <w:rPr>
          <w:sz w:val="18"/>
        </w:rPr>
        <w:t>.</w:t>
      </w:r>
    </w:p>
    <w:p w:rsidR="006950B2" w:rsidRDefault="006950B2" w:rsidP="006950B2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950B2">
        <w:rPr>
          <w:sz w:val="18"/>
        </w:rPr>
        <w:t>Wong SH, Zhao L, Zhang X, Nakatsu G, Han J,</w:t>
      </w:r>
      <w:r w:rsidR="00C40CA9">
        <w:rPr>
          <w:sz w:val="18"/>
        </w:rPr>
        <w:t xml:space="preserve"> Xu W, et al (2017). Gavage of fecal samples from patients with colorectal cancer promotes intestinal carcinogenesis in germ-free and conventional m</w:t>
      </w:r>
      <w:r w:rsidRPr="006950B2">
        <w:rPr>
          <w:sz w:val="18"/>
        </w:rPr>
        <w:t>ice. Gastroenterology 153:1621–1633.e6.</w:t>
      </w:r>
    </w:p>
    <w:p w:rsidR="006950B2" w:rsidRDefault="006950B2" w:rsidP="006950B2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6950B2">
        <w:rPr>
          <w:sz w:val="18"/>
        </w:rPr>
        <w:t>Turnbaugh PJ, Ley RE, Mahowald MA, Magrini V, Mardis ER, Gordon JI (2006). An obesity-associated gut microbiome with increased capacity for energy harvest. Nature 444:1027–31.</w:t>
      </w:r>
    </w:p>
    <w:p w:rsidR="0000397E" w:rsidRPr="00544B95" w:rsidRDefault="0000397E" w:rsidP="00544B95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00397E">
        <w:rPr>
          <w:rFonts w:ascii="Calibri" w:hAnsi="Calibri"/>
        </w:rPr>
        <w:t>Smith MI, Yatsunenko T, Manary MJ, Trehan I, Mkakosya R, Cheng J, et al (2013). Gut microbiomes of Malawian twin pairs discordant for kwashiorkor. Science 339:548–54.</w:t>
      </w:r>
    </w:p>
    <w:p w:rsidR="0000397E" w:rsidRDefault="00A33E36" w:rsidP="00A33E36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A33E36">
        <w:rPr>
          <w:rFonts w:ascii="Calibri" w:hAnsi="Calibri"/>
        </w:rPr>
        <w:t>Vonaesch P, Randremanana R, Gody J-C, Collard J-M, Giles-Vernick T, Doria M, et al (2018). Identifying the etiology and pathophysiology underlying stunting and environmental enteropathy: study protocol of the AFRI</w:t>
      </w:r>
      <w:r>
        <w:rPr>
          <w:rFonts w:ascii="Calibri" w:hAnsi="Calibri"/>
        </w:rPr>
        <w:t xml:space="preserve">BIOTA project. BMC Pediatr </w:t>
      </w:r>
      <w:r w:rsidRPr="00A33E36">
        <w:rPr>
          <w:rFonts w:ascii="Calibri" w:hAnsi="Calibri"/>
        </w:rPr>
        <w:t>18:236.</w:t>
      </w:r>
    </w:p>
    <w:p w:rsidR="00DC4D43" w:rsidRDefault="00DC4D43" w:rsidP="00DC4D43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C4D43">
        <w:rPr>
          <w:rFonts w:ascii="Calibri" w:hAnsi="Calibri"/>
        </w:rPr>
        <w:t>Brown K, Godovannyi A, Ma C, Zhang Y, Ahmadi-Vand Z, Dai C, et al (2016). Prolonged antibiotic treatment induces a diabetogenic intestinal microbiome that accelerates diabetes in NOD mice. ISME J 10:321–32.</w:t>
      </w:r>
    </w:p>
    <w:p w:rsidR="00620C3E" w:rsidRDefault="00620C3E" w:rsidP="00620C3E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620C3E">
        <w:rPr>
          <w:rFonts w:ascii="Calibri" w:hAnsi="Calibri"/>
        </w:rPr>
        <w:t>De Riva A, Wållberg M, Ronchi F, Coulson R, Sage A, Thorne L, et al (2017). Regulation of type 1 diabetes development and B-cell activation in nonobese diabetic mice by early life exposure to a diabetogenic environment. PLoS One 12:e0181964.</w:t>
      </w:r>
    </w:p>
    <w:p w:rsidR="00337808" w:rsidRPr="00620C3E" w:rsidRDefault="00337808" w:rsidP="00337808">
      <w:pPr>
        <w:pStyle w:val="Corpodetex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337808">
        <w:rPr>
          <w:rFonts w:ascii="Calibri" w:hAnsi="Calibri"/>
        </w:rPr>
        <w:t>Soderborg TK, Borengasser SJ, Barbour LA, Friedman JE (2016). Microbial transmission from mothers with obesity or diabetes to infants: an innovative opportunity to interrupt a vicious cycle. Diabetologia 59:895–906.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6087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737C2" w:rsidRDefault="0038391B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</w:t>
      </w:r>
      <w:r w:rsidR="00A9710C" w:rsidRPr="0038391B">
        <w:rPr>
          <w:rFonts w:ascii="Arial"/>
        </w:rPr>
        <w:t>Biography</w:t>
      </w:r>
    </w:p>
    <w:p w:rsidR="00C93BF0" w:rsidRPr="002737C2" w:rsidRDefault="00602D48" w:rsidP="00C85F60">
      <w:pPr>
        <w:spacing w:before="92"/>
        <w:ind w:right="4234"/>
        <w:jc w:val="both"/>
        <w:rPr>
          <w:rFonts w:ascii="Arial"/>
          <w:color w:val="BF5A14"/>
        </w:rPr>
      </w:pPr>
      <w:r>
        <w:rPr>
          <w:rFonts w:ascii="Arial"/>
          <w:sz w:val="14"/>
          <w:szCs w:val="14"/>
        </w:rPr>
        <w:t xml:space="preserve">      </w:t>
      </w:r>
    </w:p>
    <w:p w:rsidR="00AE3E37" w:rsidRDefault="00CF77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F772B">
        <w:rPr>
          <w:rFonts w:ascii="Arial"/>
          <w:sz w:val="14"/>
        </w:rPr>
        <w:t>Ivanildo Coutinho, MD is Professor Emeritus of Gastroenterology at Federal University of Ri</w:t>
      </w:r>
      <w:r>
        <w:rPr>
          <w:rFonts w:ascii="Arial"/>
          <w:sz w:val="14"/>
        </w:rPr>
        <w:t xml:space="preserve">o Grande do Norte, Brazil. My main area </w:t>
      </w:r>
      <w:r w:rsidRPr="00CF772B">
        <w:rPr>
          <w:rFonts w:ascii="Arial"/>
          <w:sz w:val="14"/>
        </w:rPr>
        <w:t>of expertise focuses on pathophysiology of gut microbiota-related gastroint</w:t>
      </w:r>
      <w:r>
        <w:rPr>
          <w:rFonts w:ascii="Arial"/>
          <w:sz w:val="14"/>
        </w:rPr>
        <w:t>estinal and systemic diseases.</w:t>
      </w:r>
    </w:p>
    <w:p w:rsidR="00AE3E37" w:rsidRDefault="00CF772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Pr="00626385">
          <w:rPr>
            <w:rStyle w:val="Hyperlink"/>
            <w:rFonts w:ascii="Arial"/>
            <w:sz w:val="14"/>
          </w:rPr>
          <w:t>coutimed@gmail.com</w:t>
        </w:r>
      </w:hyperlink>
    </w:p>
    <w:p w:rsidR="00CF772B" w:rsidRDefault="00CF772B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6601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181" w:rsidRDefault="00920181">
      <w:r>
        <w:separator/>
      </w:r>
    </w:p>
  </w:endnote>
  <w:endnote w:type="continuationSeparator" w:id="0">
    <w:p w:rsidR="00920181" w:rsidRDefault="0092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E6" w:rsidRDefault="008C73E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E6" w:rsidRDefault="008C73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181" w:rsidRDefault="00920181">
      <w:r>
        <w:separator/>
      </w:r>
    </w:p>
  </w:footnote>
  <w:footnote w:type="continuationSeparator" w:id="0">
    <w:p w:rsidR="00920181" w:rsidRDefault="00920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E6" w:rsidRDefault="008C73E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E6" w:rsidRDefault="008C73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97E"/>
    <w:rsid w:val="00056049"/>
    <w:rsid w:val="0009060F"/>
    <w:rsid w:val="00097600"/>
    <w:rsid w:val="000B00F8"/>
    <w:rsid w:val="000B10D2"/>
    <w:rsid w:val="000E2911"/>
    <w:rsid w:val="000E5950"/>
    <w:rsid w:val="001263DF"/>
    <w:rsid w:val="001270AC"/>
    <w:rsid w:val="00131568"/>
    <w:rsid w:val="001325B5"/>
    <w:rsid w:val="0014227C"/>
    <w:rsid w:val="00153237"/>
    <w:rsid w:val="00163926"/>
    <w:rsid w:val="00193951"/>
    <w:rsid w:val="001B557B"/>
    <w:rsid w:val="001E4D4C"/>
    <w:rsid w:val="00213625"/>
    <w:rsid w:val="002230B1"/>
    <w:rsid w:val="0023555F"/>
    <w:rsid w:val="00242A35"/>
    <w:rsid w:val="002455EC"/>
    <w:rsid w:val="002561AD"/>
    <w:rsid w:val="002737C2"/>
    <w:rsid w:val="0029121E"/>
    <w:rsid w:val="00292ED9"/>
    <w:rsid w:val="002A1C0D"/>
    <w:rsid w:val="002C419B"/>
    <w:rsid w:val="002D2DB6"/>
    <w:rsid w:val="0030492D"/>
    <w:rsid w:val="003374B1"/>
    <w:rsid w:val="00337808"/>
    <w:rsid w:val="003408A7"/>
    <w:rsid w:val="0038391B"/>
    <w:rsid w:val="00395051"/>
    <w:rsid w:val="003B6079"/>
    <w:rsid w:val="00404E5B"/>
    <w:rsid w:val="00414F7B"/>
    <w:rsid w:val="004355DC"/>
    <w:rsid w:val="00435E69"/>
    <w:rsid w:val="00470354"/>
    <w:rsid w:val="004749B4"/>
    <w:rsid w:val="004758C9"/>
    <w:rsid w:val="00481867"/>
    <w:rsid w:val="00491732"/>
    <w:rsid w:val="00494130"/>
    <w:rsid w:val="0049731A"/>
    <w:rsid w:val="004A4CA8"/>
    <w:rsid w:val="004A691D"/>
    <w:rsid w:val="004B0DED"/>
    <w:rsid w:val="004C1948"/>
    <w:rsid w:val="004F3523"/>
    <w:rsid w:val="00537FEC"/>
    <w:rsid w:val="00544B95"/>
    <w:rsid w:val="00565D88"/>
    <w:rsid w:val="005973B9"/>
    <w:rsid w:val="005A5DC2"/>
    <w:rsid w:val="005B1DDC"/>
    <w:rsid w:val="005B3A56"/>
    <w:rsid w:val="005B57A6"/>
    <w:rsid w:val="005F7408"/>
    <w:rsid w:val="00602D48"/>
    <w:rsid w:val="006060CE"/>
    <w:rsid w:val="00620C3E"/>
    <w:rsid w:val="0063497F"/>
    <w:rsid w:val="006950B2"/>
    <w:rsid w:val="006973DD"/>
    <w:rsid w:val="006A0D2D"/>
    <w:rsid w:val="006D09DA"/>
    <w:rsid w:val="00740A41"/>
    <w:rsid w:val="00767827"/>
    <w:rsid w:val="00772936"/>
    <w:rsid w:val="00774A22"/>
    <w:rsid w:val="00781241"/>
    <w:rsid w:val="007A6A36"/>
    <w:rsid w:val="007D6730"/>
    <w:rsid w:val="00810794"/>
    <w:rsid w:val="00822178"/>
    <w:rsid w:val="00827952"/>
    <w:rsid w:val="00843A8D"/>
    <w:rsid w:val="00845877"/>
    <w:rsid w:val="008668FC"/>
    <w:rsid w:val="00873DF0"/>
    <w:rsid w:val="008756E6"/>
    <w:rsid w:val="00886AD2"/>
    <w:rsid w:val="008875CA"/>
    <w:rsid w:val="00892839"/>
    <w:rsid w:val="008A08B6"/>
    <w:rsid w:val="008C426E"/>
    <w:rsid w:val="008C73E6"/>
    <w:rsid w:val="008F2605"/>
    <w:rsid w:val="009112A8"/>
    <w:rsid w:val="0091295C"/>
    <w:rsid w:val="00920181"/>
    <w:rsid w:val="0094708D"/>
    <w:rsid w:val="00964AFB"/>
    <w:rsid w:val="00964DB4"/>
    <w:rsid w:val="009A4AC0"/>
    <w:rsid w:val="009A74B4"/>
    <w:rsid w:val="009B2D44"/>
    <w:rsid w:val="009E506A"/>
    <w:rsid w:val="009E7ADF"/>
    <w:rsid w:val="00A04CAE"/>
    <w:rsid w:val="00A06FB5"/>
    <w:rsid w:val="00A0747A"/>
    <w:rsid w:val="00A07E82"/>
    <w:rsid w:val="00A33E36"/>
    <w:rsid w:val="00A50F0E"/>
    <w:rsid w:val="00A612C9"/>
    <w:rsid w:val="00A61C39"/>
    <w:rsid w:val="00A9710C"/>
    <w:rsid w:val="00AE3E37"/>
    <w:rsid w:val="00B05AEF"/>
    <w:rsid w:val="00B11DB3"/>
    <w:rsid w:val="00B21A57"/>
    <w:rsid w:val="00B44502"/>
    <w:rsid w:val="00B64F2C"/>
    <w:rsid w:val="00B7562D"/>
    <w:rsid w:val="00B847A8"/>
    <w:rsid w:val="00B9773D"/>
    <w:rsid w:val="00BB255D"/>
    <w:rsid w:val="00BB4A60"/>
    <w:rsid w:val="00BC60FF"/>
    <w:rsid w:val="00BE4709"/>
    <w:rsid w:val="00BE6293"/>
    <w:rsid w:val="00BE7447"/>
    <w:rsid w:val="00C14971"/>
    <w:rsid w:val="00C14FD0"/>
    <w:rsid w:val="00C33602"/>
    <w:rsid w:val="00C40CA9"/>
    <w:rsid w:val="00C41594"/>
    <w:rsid w:val="00C74530"/>
    <w:rsid w:val="00C74833"/>
    <w:rsid w:val="00C76EEF"/>
    <w:rsid w:val="00C806D3"/>
    <w:rsid w:val="00C85F60"/>
    <w:rsid w:val="00C86B9C"/>
    <w:rsid w:val="00C9143F"/>
    <w:rsid w:val="00C93BF0"/>
    <w:rsid w:val="00CD6F55"/>
    <w:rsid w:val="00CF2AFE"/>
    <w:rsid w:val="00CF772B"/>
    <w:rsid w:val="00D06B2E"/>
    <w:rsid w:val="00D10D32"/>
    <w:rsid w:val="00D47126"/>
    <w:rsid w:val="00D7212F"/>
    <w:rsid w:val="00DC4D43"/>
    <w:rsid w:val="00DE3104"/>
    <w:rsid w:val="00E016C5"/>
    <w:rsid w:val="00E03855"/>
    <w:rsid w:val="00E2472B"/>
    <w:rsid w:val="00E26B10"/>
    <w:rsid w:val="00E273CD"/>
    <w:rsid w:val="00EB10CF"/>
    <w:rsid w:val="00EB48A5"/>
    <w:rsid w:val="00EE27B6"/>
    <w:rsid w:val="00EE7C1C"/>
    <w:rsid w:val="00EF68DC"/>
    <w:rsid w:val="00F03F7A"/>
    <w:rsid w:val="00F11EAE"/>
    <w:rsid w:val="00F72EEA"/>
    <w:rsid w:val="00F84CAE"/>
    <w:rsid w:val="00F96B31"/>
    <w:rsid w:val="00FB2EEE"/>
    <w:rsid w:val="00FC55FC"/>
    <w:rsid w:val="00FD1091"/>
    <w:rsid w:val="00FF1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763B44"/>
  <w15:docId w15:val="{FA58B6B2-2CD5-4C7C-8A94-2E8F6855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coutimed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85F6DBF-EBA3-4264-ACB1-E62286B3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Ivanildo Coutinho</cp:lastModifiedBy>
  <cp:revision>2</cp:revision>
  <dcterms:created xsi:type="dcterms:W3CDTF">2018-08-31T22:07:00Z</dcterms:created>
  <dcterms:modified xsi:type="dcterms:W3CDTF">2018-08-31T22:07:00Z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http://www.zotero.org/styles/associacao-brasileira-de-normas-tecnicas</vt:lpwstr>
  </property>
  <property fmtid="{D5CDD505-2E9C-101B-9397-08002B2CF9AE}" pid="10" name="Mendeley Recent Style Name 2_1">
    <vt:lpwstr>Associação Brasileira de Normas Técnicas (Portuguese - Brazil)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http://www.zotero.org/styles/human-reproduction</vt:lpwstr>
  </property>
  <property fmtid="{D5CDD505-2E9C-101B-9397-08002B2CF9AE}" pid="16" name="Mendeley Recent Style Name 5_1">
    <vt:lpwstr>Human Reproduction</vt:lpwstr>
  </property>
  <property fmtid="{D5CDD505-2E9C-101B-9397-08002B2CF9AE}" pid="17" name="Mendeley Recent Style Id 6_1">
    <vt:lpwstr>http://www.zotero.org/styles/medical-hypotheses</vt:lpwstr>
  </property>
  <property fmtid="{D5CDD505-2E9C-101B-9397-08002B2CF9AE}" pid="18" name="Mendeley Recent Style Name 6_1">
    <vt:lpwstr>Medical Hypotheses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Mendeley Document_1">
    <vt:lpwstr>True</vt:lpwstr>
  </property>
  <property fmtid="{D5CDD505-2E9C-101B-9397-08002B2CF9AE}" pid="26" name="Mendeley Unique User Id_1">
    <vt:lpwstr>bb486223-b206-3128-8a50-8c65f55caf8d</vt:lpwstr>
  </property>
  <property fmtid="{D5CDD505-2E9C-101B-9397-08002B2CF9AE}" pid="27" name="Mendeley Citation Style_1">
    <vt:lpwstr>http://www.zotero.org/styles/medical-hypotheses</vt:lpwstr>
  </property>
</Properties>
</file>