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14A42" w14:textId="2BAB9399" w:rsidR="000F14D7" w:rsidRPr="00B7719C" w:rsidRDefault="004A40E8" w:rsidP="0016121B">
      <w:pPr>
        <w:pStyle w:val="Heading1"/>
        <w:spacing w:before="17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4674205"/>
      <w:r w:rsidRPr="00B7719C">
        <w:rPr>
          <w:rFonts w:ascii="Times New Roman" w:hAnsi="Times New Roman" w:cs="Times New Roman"/>
          <w:sz w:val="24"/>
          <w:szCs w:val="24"/>
        </w:rPr>
        <w:t>Oral Fluid, Electrolytes and Energy management in various adult and geriatric illnesses beyond diarrhea: Indian Delphi Consensus Recommendation</w:t>
      </w:r>
      <w:bookmarkEnd w:id="0"/>
    </w:p>
    <w:p w14:paraId="21D2B421" w14:textId="77777777" w:rsidR="00480724" w:rsidRPr="00B7719C" w:rsidRDefault="00480724" w:rsidP="0016121B">
      <w:pPr>
        <w:pStyle w:val="Heading1"/>
        <w:spacing w:before="17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463F94C" w14:textId="75A50822" w:rsidR="00467320" w:rsidRPr="00B7719C" w:rsidRDefault="00C566C2" w:rsidP="004B4EF2">
      <w:pPr>
        <w:pStyle w:val="Heading1"/>
        <w:spacing w:before="170" w:line="276" w:lineRule="auto"/>
        <w:ind w:left="0"/>
        <w:rPr>
          <w:b w:val="0"/>
          <w:bCs w:val="0"/>
        </w:rPr>
        <w:sectPr w:rsidR="00467320" w:rsidRPr="00B7719C" w:rsidSect="00C566C2">
          <w:headerReference w:type="default" r:id="rId8"/>
          <w:footerReference w:type="default" r:id="rId9"/>
          <w:pgSz w:w="11910" w:h="16840"/>
          <w:pgMar w:top="1440" w:right="1440" w:bottom="1440" w:left="1440" w:header="541" w:footer="642" w:gutter="0"/>
          <w:cols w:space="720"/>
          <w:docGrid w:linePitch="299"/>
        </w:sectPr>
      </w:pPr>
      <w:bookmarkStart w:id="1" w:name="_Hlk74674268"/>
      <w:r w:rsidRPr="00B7719C">
        <w:rPr>
          <w:rFonts w:ascii="Times New Roman" w:hAnsi="Times New Roman" w:cs="Times New Roman"/>
          <w:b w:val="0"/>
          <w:sz w:val="24"/>
          <w:szCs w:val="24"/>
        </w:rPr>
        <w:t>B. Ravinder Reddy</w:t>
      </w:r>
      <w:r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Anant Nigam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Atul Gogia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3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Sumit Bhatia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4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Kamlesh Tewary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5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Mohandas K Mallath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6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Prachee Sathe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7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Ashwin Dabhi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8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Arindam Kar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9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, Babita Goswami Hazarika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10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</w:rPr>
        <w:t>,</w:t>
      </w:r>
      <w:r w:rsidR="004A40E8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 xml:space="preserve"> 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</w:rPr>
        <w:t>Christian Tesado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11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4B4EF2" w:rsidRPr="00B7719C">
        <w:rPr>
          <w:rFonts w:ascii="Times New Roman" w:hAnsi="Times New Roman" w:cs="Times New Roman"/>
          <w:b w:val="0"/>
          <w:sz w:val="24"/>
          <w:szCs w:val="24"/>
        </w:rPr>
        <w:t>Ayan Chatterjee</w:t>
      </w:r>
      <w:r w:rsidR="004B4EF2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  <w:r w:rsidR="004B4EF2" w:rsidRPr="00B7719C">
        <w:rPr>
          <w:rFonts w:ascii="Times New Roman" w:hAnsi="Times New Roman" w:cs="Times New Roman"/>
          <w:b w:val="0"/>
          <w:sz w:val="24"/>
          <w:szCs w:val="24"/>
        </w:rPr>
        <w:t>, Priti Thakor</w:t>
      </w:r>
      <w:r w:rsidR="004B4EF2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bookmarkEnd w:id="1"/>
      <w:r w:rsidR="00B7719C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</w:p>
    <w:p w14:paraId="31C1E5EC" w14:textId="77777777" w:rsidR="001824B2" w:rsidRPr="00B7719C" w:rsidRDefault="001824B2" w:rsidP="000F14D7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AFCD0F1" w14:textId="53BD22DD" w:rsidR="00C566C2" w:rsidRPr="00B7719C" w:rsidRDefault="001824B2" w:rsidP="001414B5">
      <w:pPr>
        <w:pStyle w:val="Heading3"/>
        <w:spacing w:before="147" w:line="276" w:lineRule="auto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 xml:space="preserve">Division of Surgical Gastroenterology, Care Hospital, Hyderabad, India; </w:t>
      </w:r>
      <w:r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 xml:space="preserve">Nigam Diabetes Centre, Jaipur, India; </w:t>
      </w:r>
      <w:r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3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 xml:space="preserve">Internal Medicine and Infectious Diseases, Sir Gangaram Hospital, New Delhi, India; </w:t>
      </w:r>
      <w:r w:rsidR="00692531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4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Institu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</w:rPr>
        <w:t>t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 xml:space="preserve">e of Digestive and Hepatobiliary Sciences, Medanta – The Medcity, Haryana, India; </w:t>
      </w:r>
      <w:r w:rsidR="00692531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5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 xml:space="preserve">Deo Narayan Hospital &amp; Maternity Center, Muzaffarpur, Bihar. India; </w:t>
      </w:r>
      <w:r w:rsidR="00692531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6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 xml:space="preserve">Department of Digestive Diseases, Tat Medical Center, Kolkata, India; </w:t>
      </w:r>
      <w:r w:rsidR="00692531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7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 xml:space="preserve">Department of Critical Care Medicine, Ruby Hall Clinic, Pune, India; </w:t>
      </w:r>
      <w:r w:rsidR="00692531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8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 xml:space="preserve">Consultant Physician &amp; Nutritionist, Gujarat, India; </w:t>
      </w:r>
      <w:r w:rsidR="00692531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9</w:t>
      </w:r>
      <w:r w:rsidRPr="00B7719C">
        <w:rPr>
          <w:rFonts w:ascii="Times New Roman" w:hAnsi="Times New Roman" w:cs="Times New Roman"/>
          <w:b w:val="0"/>
          <w:sz w:val="24"/>
          <w:szCs w:val="24"/>
        </w:rPr>
        <w:t>Department of Critical Care Medicine, S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</w:rPr>
        <w:t xml:space="preserve">ir HN Reliance Foundation Hospital, Mumbai, India; </w:t>
      </w:r>
      <w:r w:rsidR="00692531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10</w:t>
      </w:r>
      <w:r w:rsidR="001414B5" w:rsidRPr="00B7719C">
        <w:rPr>
          <w:rFonts w:ascii="Times New Roman" w:hAnsi="Times New Roman" w:cs="Times New Roman"/>
          <w:b w:val="0"/>
          <w:sz w:val="24"/>
          <w:szCs w:val="24"/>
        </w:rPr>
        <w:t>Department of Dietetics, Apollo Gleneagles Hospitals, Kolkata, India</w:t>
      </w:r>
      <w:r w:rsidR="00C164B1" w:rsidRPr="00B7719C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11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</w:rPr>
        <w:t>Medical Affairs, Johnson and Johnson Pte, Ltd, Singapore;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 xml:space="preserve"> </w:t>
      </w:r>
      <w:r w:rsidR="00C164B1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="00B7719C" w:rsidRPr="00B7719C">
        <w:rPr>
          <w:rFonts w:ascii="Times New Roman" w:hAnsi="Times New Roman" w:cs="Times New Roman"/>
          <w:b w:val="0"/>
          <w:sz w:val="24"/>
          <w:szCs w:val="24"/>
          <w:vertAlign w:val="superscript"/>
        </w:rPr>
        <w:t>2</w:t>
      </w:r>
      <w:r w:rsidR="00C164B1" w:rsidRPr="00B7719C">
        <w:rPr>
          <w:rFonts w:ascii="Times New Roman" w:hAnsi="Times New Roman" w:cs="Times New Roman"/>
          <w:b w:val="0"/>
          <w:sz w:val="24"/>
          <w:szCs w:val="24"/>
        </w:rPr>
        <w:t xml:space="preserve">Medical Affairs, Johnson and Johnson Pvt Ltd, India </w:t>
      </w:r>
    </w:p>
    <w:p w14:paraId="70C1E699" w14:textId="768D5845" w:rsidR="00C566C2" w:rsidRPr="00B7719C" w:rsidRDefault="00C566C2" w:rsidP="000F14D7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8EB7A63" w14:textId="77777777" w:rsidR="00B7719C" w:rsidRPr="00B7719C" w:rsidRDefault="00B7719C" w:rsidP="00B7719C">
      <w:pPr>
        <w:pStyle w:val="Heading3"/>
        <w:spacing w:before="147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19C">
        <w:rPr>
          <w:rFonts w:ascii="Times New Roman" w:eastAsia="Times New Roman" w:hAnsi="Times New Roman" w:cs="Times New Roman"/>
          <w:sz w:val="24"/>
          <w:szCs w:val="24"/>
        </w:rPr>
        <w:t>Abstract (300 word limit)</w:t>
      </w:r>
    </w:p>
    <w:p w14:paraId="0CC31091" w14:textId="7E9A0E8F" w:rsidR="00B7719C" w:rsidRPr="00B7719C" w:rsidRDefault="00B7719C" w:rsidP="00B771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0" w:line="2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Statement of the Problem: Dehydration is a highly prevalent issue which many a time goes undetected causing delayed recovery, and </w:t>
      </w:r>
      <w:r w:rsidRPr="00B7719C">
        <w:rPr>
          <w:rFonts w:ascii="Times New Roman" w:eastAsia="Times New Roman" w:hAnsi="Times New Roman" w:cs="Times New Roman"/>
          <w:bCs/>
          <w:sz w:val="24"/>
          <w:szCs w:val="24"/>
        </w:rPr>
        <w:t>an</w:t>
      </w:r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increased risk of hospitalization and mortality. </w:t>
      </w:r>
      <w:sdt>
        <w:sdtPr>
          <w:tag w:val="goog_rdk_14"/>
          <w:id w:val="-1662847069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Specific to n</w:t>
          </w:r>
        </w:sdtContent>
      </w:sdt>
      <w:sdt>
        <w:sdtPr>
          <w:tag w:val="goog_rdk_15"/>
          <w:id w:val="-1896581343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>on-diarrheal dehydration</w:t>
      </w:r>
      <w:sdt>
        <w:sdtPr>
          <w:tag w:val="goog_rdk_16"/>
          <w:id w:val="-1878621308"/>
        </w:sdtPr>
        <w:sdtEndPr/>
        <w:sdtContent/>
      </w:sdt>
      <w:sdt>
        <w:sdtPr>
          <w:tag w:val="goog_rdk_17"/>
          <w:id w:val="-1275399721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,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very </w:t>
      </w:r>
      <w:sdt>
        <w:sdtPr>
          <w:tag w:val="goog_rdk_18"/>
          <w:id w:val="1020672772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f</w:t>
          </w:r>
        </w:sdtContent>
      </w:sdt>
      <w:sdt>
        <w:sdtPr>
          <w:tag w:val="goog_rdk_19"/>
          <w:id w:val="1542476845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>ew international guidelines</w:t>
      </w:r>
      <w:sdt>
        <w:sdtPr>
          <w:tag w:val="goog_rdk_20"/>
          <w:id w:val="-1975431720"/>
        </w:sdtPr>
        <w:sdtEndPr/>
        <w:sdtContent/>
      </w:sdt>
      <w:sdt>
        <w:sdtPr>
          <w:tag w:val="goog_rdk_21"/>
          <w:id w:val="-1685670051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>provide recommendations of oral fluids, electrolytes, and energy (</w:t>
      </w:r>
      <w:sdt>
        <w:sdtPr>
          <w:tag w:val="goog_rdk_22"/>
          <w:id w:val="-1023319405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>FEE)</w:t>
      </w:r>
      <w:sdt>
        <w:sdtPr>
          <w:tag w:val="goog_rdk_23"/>
          <w:id w:val="-27487938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management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in adult</w:t>
      </w:r>
      <w:sdt>
        <w:sdtPr>
          <w:tag w:val="goog_rdk_24"/>
          <w:id w:val="1147483003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/geriatric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patients</w:t>
      </w:r>
      <w:sdt>
        <w:sdtPr>
          <w:tag w:val="goog_rdk_25"/>
          <w:id w:val="1480109574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.</w:t>
          </w:r>
        </w:sdtContent>
      </w:sdt>
      <w:sdt>
        <w:sdtPr>
          <w:tag w:val="goog_rdk_26"/>
          <w:id w:val="1887749280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tag w:val="goog_rdk_27"/>
          <w:id w:val="-1644026561"/>
        </w:sdtPr>
        <w:sdtEndPr/>
        <w:sdtContent/>
      </w:sdt>
      <w:sdt>
        <w:sdtPr>
          <w:tag w:val="goog_rdk_28"/>
          <w:id w:val="778766346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Moreover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, there is a lack of </w:t>
      </w:r>
      <w:sdt>
        <w:sdtPr>
          <w:tag w:val="goog_rdk_29"/>
          <w:id w:val="-1518079825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comprehensive </w:t>
          </w:r>
        </w:sdtContent>
      </w:sdt>
      <w:sdt>
        <w:sdtPr>
          <w:tag w:val="goog_rdk_30"/>
          <w:id w:val="-991953446"/>
        </w:sdtPr>
        <w:sdtEndPr/>
        <w:sdtContent/>
      </w:sdt>
      <w:sdt>
        <w:sdtPr>
          <w:tag w:val="goog_rdk_31"/>
          <w:id w:val="364190321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recommendation on the role of oral FEE in non-diarrheal illnesses</w:t>
          </w:r>
        </w:sdtContent>
      </w:sdt>
      <w:sdt>
        <w:sdtPr>
          <w:tag w:val="goog_rdk_32"/>
          <w:id w:val="-1092999802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sdt>
        <w:sdtPr>
          <w:tag w:val="goog_rdk_33"/>
          <w:id w:val="-896285664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tag w:val="goog_rdk_34"/>
          <w:id w:val="1534469804"/>
        </w:sdtPr>
        <w:sdtEndPr/>
        <w:sdtContent/>
      </w:sdt>
    </w:p>
    <w:p w14:paraId="325F5408" w14:textId="5D1B2974" w:rsidR="00B7719C" w:rsidRPr="00B7719C" w:rsidRDefault="00B7719C" w:rsidP="00B771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0" w:line="2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19C">
        <w:rPr>
          <w:rFonts w:ascii="Times New Roman" w:eastAsia="Times New Roman" w:hAnsi="Times New Roman" w:cs="Times New Roman"/>
          <w:sz w:val="24"/>
          <w:szCs w:val="24"/>
        </w:rPr>
        <w:t>Methodology: A modified Delphi approach was used</w:t>
      </w:r>
      <w:sdt>
        <w:sdtPr>
          <w:tag w:val="goog_rdk_35"/>
          <w:id w:val="-201322122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to develop consensus recommendations on the management of oral FEE in Indian adult/geriatric patients with non-diarrheal illnesses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. In round one, 130 statements </w:t>
      </w:r>
      <w:sdt>
        <w:sdtPr>
          <w:tag w:val="goog_rdk_36"/>
          <w:id w:val="612169136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including 21 open-ended questions 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were circulated among ten experts consisting of </w:t>
      </w:r>
      <w:sdt>
        <w:sdtPr>
          <w:tag w:val="goog_rdk_37"/>
          <w:id w:val="-1121377935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a gastroenterology 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>surgeon</w:t>
      </w:r>
      <w:sdt>
        <w:sdtPr>
          <w:tag w:val="goog_rdk_38"/>
          <w:id w:val="838965274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7719C">
        <w:rPr>
          <w:rFonts w:ascii="Times New Roman" w:eastAsia="Times New Roman" w:hAnsi="Times New Roman" w:cs="Times New Roman"/>
          <w:bCs/>
          <w:sz w:val="24"/>
          <w:szCs w:val="24"/>
        </w:rPr>
        <w:t>diabetologist, infectious disease and critical care specialist, gastroenterologist, internist, and a dietician</w:t>
      </w:r>
      <w:sdt>
        <w:sdtPr>
          <w:rPr>
            <w:bCs/>
          </w:rPr>
          <w:tag w:val="goog_rdk_39"/>
          <w:id w:val="2105155538"/>
        </w:sdtPr>
        <w:sdtEndPr/>
        <w:sdtContent/>
      </w:sdt>
      <w:r w:rsidRPr="00B7719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sdt>
        <w:sdtPr>
          <w:tag w:val="goog_rdk_40"/>
          <w:id w:val="465713682"/>
        </w:sdtPr>
        <w:sdtEndPr/>
        <w:sdtContent/>
      </w:sdt>
      <w:sdt>
        <w:sdtPr>
          <w:tag w:val="goog_rdk_41"/>
          <w:id w:val="89508834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</w:sdtContent>
      </w:sdt>
      <w:sdt>
        <w:sdtPr>
          <w:tag w:val="goog_rdk_42"/>
          <w:id w:val="-62342691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expert </w:t>
          </w:r>
        </w:sdtContent>
      </w:sdt>
      <w:sdt>
        <w:sdtPr>
          <w:tag w:val="goog_rdk_43"/>
          <w:id w:val="-1000968920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panel was </w:t>
          </w:r>
        </w:sdtContent>
      </w:sdt>
      <w:sdt>
        <w:sdtPr>
          <w:tag w:val="goog_rdk_44"/>
          <w:id w:val="-330761913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then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asked to either ‘strongly agree, ‘agree’, ‘disagree’, or ‘strongly disagree’ for </w:t>
      </w:r>
      <w:sdt>
        <w:sdtPr>
          <w:tag w:val="goog_rdk_45"/>
          <w:id w:val="-1799372249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statements and provide </w:t>
      </w:r>
      <w:sdt>
        <w:sdtPr>
          <w:tag w:val="goog_rdk_46"/>
          <w:id w:val="-1269685629"/>
        </w:sdtPr>
        <w:sdtEndPr/>
        <w:sdtContent/>
      </w:sdt>
      <w:sdt>
        <w:sdtPr>
          <w:tag w:val="goog_rdk_47"/>
          <w:id w:val="1225655268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responses to open-ended questions </w:t>
          </w:r>
          <w:r w:rsidRPr="00B7719C">
            <w:rPr>
              <w:rFonts w:ascii="Times New Roman" w:hAnsi="Times New Roman" w:cs="Times New Roman"/>
              <w:sz w:val="24"/>
              <w:szCs w:val="24"/>
            </w:rPr>
            <w:t>and every disagreement were open for debate to arrive at conclusive statement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. Consensus was </w:t>
      </w:r>
      <w:sdt>
        <w:sdtPr>
          <w:tag w:val="goog_rdk_48"/>
          <w:id w:val="-1863586486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pre-defined </w:t>
          </w:r>
        </w:sdtContent>
      </w:sdt>
      <w:sdt>
        <w:sdtPr>
          <w:tag w:val="goog_rdk_49"/>
          <w:id w:val="-1855253512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at 75% agreement. </w:t>
      </w:r>
      <w:sdt>
        <w:sdtPr>
          <w:tag w:val="goog_rdk_50"/>
          <w:id w:val="1249153474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Presentation of relevant literature was done before and during two virtual discussions. 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Some statements </w:t>
      </w:r>
      <w:sdt>
        <w:sdtPr>
          <w:tag w:val="goog_rdk_51"/>
          <w:id w:val="428554040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sdt>
        <w:sdtPr>
          <w:tag w:val="goog_rdk_52"/>
          <w:id w:val="-1353877445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>active</w:t>
      </w:r>
      <w:sdt>
        <w:sdtPr>
          <w:tag w:val="goog_rdk_53"/>
          <w:id w:val="-590463688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ly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 discuss</w:t>
      </w:r>
      <w:sdt>
        <w:sdtPr>
          <w:tag w:val="goog_rdk_54"/>
          <w:id w:val="-272163961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ed</w:t>
          </w:r>
        </w:sdtContent>
      </w:sdt>
      <w:sdt>
        <w:sdtPr>
          <w:tag w:val="goog_rdk_55"/>
          <w:id w:val="1732199647"/>
        </w:sdtPr>
        <w:sdtEndPr/>
        <w:sdtContent>
          <w:r w:rsidRPr="00B7719C">
            <w:t xml:space="preserve"> and deliberately debated</w:t>
          </w:r>
        </w:sdtContent>
      </w:sdt>
      <w:sdt>
        <w:sdtPr>
          <w:tag w:val="goog_rdk_56"/>
          <w:id w:val="1893461463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. </w:t>
          </w:r>
        </w:sdtContent>
      </w:sdt>
      <w:sdt>
        <w:sdtPr>
          <w:tag w:val="goog_rdk_57"/>
          <w:id w:val="-1209716357"/>
        </w:sdtPr>
        <w:sdtEndPr/>
        <w:sdtContent/>
      </w:sdt>
      <w:sdt>
        <w:sdtPr>
          <w:tag w:val="goog_rdk_58"/>
          <w:id w:val="2100593767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T</w:t>
          </w:r>
        </w:sdtContent>
      </w:sdt>
      <w:sdt>
        <w:sdtPr>
          <w:tag w:val="goog_rdk_59"/>
          <w:id w:val="-945074416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hose </w:t>
      </w:r>
      <w:sdt>
        <w:sdtPr>
          <w:tag w:val="goog_rdk_60"/>
          <w:id w:val="1970476753"/>
        </w:sdtPr>
        <w:sdtEndPr/>
        <w:sdtContent/>
      </w:sdt>
      <w:sdt>
        <w:sdtPr>
          <w:tag w:val="goog_rdk_61"/>
          <w:id w:val="-1457484624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that 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did not reach consensus were re-circulated </w:t>
      </w:r>
      <w:sdt>
        <w:sdtPr>
          <w:tag w:val="goog_rdk_62"/>
          <w:id w:val="-1609506897"/>
        </w:sdtPr>
        <w:sdtEndPr/>
        <w:sdtContent/>
      </w:sdt>
      <w:sdt>
        <w:sdtPr>
          <w:tag w:val="goog_rdk_63"/>
          <w:id w:val="-1605492075"/>
        </w:sdtPr>
        <w:sdtEndPr/>
        <w:sdtConten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for another </w:t>
          </w:r>
        </w:sdtContent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>round</w:t>
      </w:r>
      <w:sdt>
        <w:sdtPr>
          <w:tag w:val="goog_rdk_64"/>
          <w:id w:val="-235467695"/>
        </w:sdtPr>
        <w:sdtEndPr/>
        <w:sdtContent/>
      </w:sdt>
      <w:r w:rsidRPr="00B771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sdt>
      <w:sdtPr>
        <w:tag w:val="goog_rdk_81"/>
        <w:id w:val="-295070093"/>
      </w:sdtPr>
      <w:sdtEndPr/>
      <w:sdtContent>
        <w:p w14:paraId="0E278A14" w14:textId="54F9240E" w:rsidR="00B7719C" w:rsidRPr="00B7719C" w:rsidRDefault="00B7719C" w:rsidP="00B771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90" w:after="0" w:line="28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Findings:</w:t>
          </w:r>
          <w:sdt>
            <w:sdtPr>
              <w:tag w:val="goog_rdk_65"/>
              <w:id w:val="-766774247"/>
            </w:sdtPr>
            <w:sdtEndPr/>
            <w:sdtContent>
              <w:r w:rsidRPr="00B77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sdtContent>
          </w:sdt>
          <w:sdt>
            <w:sdtPr>
              <w:tag w:val="goog_rdk_66"/>
              <w:id w:val="2041930837"/>
            </w:sdtPr>
            <w:sdtEndPr/>
            <w:sdtContent>
              <w:sdt>
                <w:sdtPr>
                  <w:tag w:val="goog_rdk_67"/>
                  <w:id w:val="-1060246121"/>
                </w:sdtPr>
                <w:sdtEndPr/>
                <w:sdtContent/>
              </w:sdt>
            </w:sdtContent>
          </w:sdt>
          <w:sdt>
            <w:sdtPr>
              <w:tag w:val="goog_rdk_68"/>
              <w:id w:val="1712228548"/>
            </w:sdtPr>
            <w:sdtEndPr/>
            <w:sdtContent>
              <w:r w:rsidRPr="00B77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Overall</w:t>
              </w:r>
            </w:sdtContent>
          </w:sd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the final consensus covered various domains such as assessment of dehydration, dehydration in geriatrics, </w:t>
          </w:r>
          <w:sdt>
            <w:sdtPr>
              <w:tag w:val="goog_rdk_69"/>
              <w:id w:val="902330526"/>
            </w:sdtPr>
            <w:sdtEndPr/>
            <w:sdtContent/>
          </w:sd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energy requirement, </w:t>
          </w:r>
          <w:r w:rsidRPr="00B7719C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 xml:space="preserve">impact of </w:t>
          </w:r>
          <w:sdt>
            <w:sdtPr>
              <w:rPr>
                <w:bCs/>
              </w:rPr>
              <w:tag w:val="goog_rdk_70"/>
              <w:id w:val="-1330518297"/>
            </w:sdtPr>
            <w:sdtEndPr/>
            <w:sdtContent>
              <w:r w:rsidRPr="00B7719C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oral </w:t>
              </w:r>
            </w:sdtContent>
          </w:sdt>
          <w:sdt>
            <w:sdtPr>
              <w:tag w:val="goog_rdk_71"/>
              <w:id w:val="-1868280239"/>
            </w:sdtPr>
            <w:sdtEndPr/>
            <w:sdtContent/>
          </w:sdt>
          <w:r w:rsidRPr="00B7719C">
            <w:rPr>
              <w:rFonts w:ascii="Times New Roman" w:eastAsia="Times New Roman" w:hAnsi="Times New Roman" w:cs="Times New Roman"/>
              <w:sz w:val="24"/>
              <w:szCs w:val="24"/>
            </w:rPr>
            <w:t>FEE on patient outcome, and fluid recommendations</w:t>
          </w:r>
          <w:sdt>
            <w:sdtPr>
              <w:tag w:val="goog_rdk_72"/>
              <w:id w:val="-639651599"/>
            </w:sdtPr>
            <w:sdtEndPr/>
            <w:sdtContent>
              <w:r w:rsidRPr="00B77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in acute and chronic non-diarrheal illnesses</w:t>
              </w:r>
            </w:sdtContent>
          </w:sdt>
          <w:sdt>
            <w:sdtPr>
              <w:tag w:val="goog_rdk_73"/>
              <w:id w:val="1804185047"/>
            </w:sdtPr>
            <w:sdtEndPr/>
            <w:sdtContent/>
          </w:sdt>
          <w:sdt>
            <w:sdtPr>
              <w:tag w:val="goog_rdk_74"/>
              <w:id w:val="-2102722563"/>
            </w:sdtPr>
            <w:sdtEndPr/>
            <w:sdtContent>
              <w:r w:rsidRPr="00B77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Oral FEE </w:t>
              </w:r>
              <w:r w:rsidRPr="00B77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 xml:space="preserve">should be recommended as part of core treatment from day 1 of illness for improved patient outcomes. Appropriately formulated fluids in </w:t>
              </w:r>
            </w:sdtContent>
          </w:sdt>
          <w:sdt>
            <w:sdtPr>
              <w:tag w:val="goog_rdk_75"/>
              <w:id w:val="170840163"/>
            </w:sdtPr>
            <w:sdtEndPr/>
            <w:sdtContent>
              <w:r w:rsidRPr="00B77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Ready to Drink </w:t>
              </w:r>
            </w:sdtContent>
          </w:sdt>
          <w:sdt>
            <w:sdtPr>
              <w:tag w:val="goog_rdk_79"/>
              <w:id w:val="574246942"/>
            </w:sdtPr>
            <w:sdtEndPr/>
            <w:sdtContent>
              <w:sdt>
                <w:sdtPr>
                  <w:tag w:val="goog_rdk_80"/>
                  <w:id w:val="2051884360"/>
                </w:sdtPr>
                <w:sdtEndPr/>
                <w:sdtContent/>
              </w:sdt>
              <w:r w:rsidRPr="00B77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format is a good option due to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4C1130"/>
                </w:rPr>
                <w:t xml:space="preserve"> </w:t>
              </w:r>
              <w:r w:rsidRPr="00B7719C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its</w:t>
              </w: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 </w:t>
              </w:r>
              <w:r w:rsidRPr="00B7719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quality standard, convenience, known electrolyte and energy content, and more palatable taste, that helps increase compliance.</w:t>
              </w:r>
            </w:sdtContent>
          </w:sdt>
        </w:p>
      </w:sdtContent>
    </w:sdt>
    <w:p w14:paraId="1DE8EC92" w14:textId="0ABB4699" w:rsidR="00B7719C" w:rsidRPr="00B7719C" w:rsidRDefault="00B7719C" w:rsidP="00B771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0" w:line="2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E95C40" w14:textId="5007F9C8" w:rsidR="005365D7" w:rsidRPr="00B7719C" w:rsidRDefault="002E5165" w:rsidP="00B7719C">
      <w:pPr>
        <w:pStyle w:val="BodyText"/>
        <w:spacing w:before="90" w:line="28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tag w:val="goog_rdk_86"/>
          <w:id w:val="-1545905325"/>
        </w:sdtPr>
        <w:sdtEndPr/>
        <w:sdtContent>
          <w:sdt>
            <w:sdtPr>
              <w:tag w:val="goog_rdk_85"/>
              <w:id w:val="390930717"/>
            </w:sdtPr>
            <w:sdtEndPr/>
            <w:sdtContent/>
          </w:sdt>
        </w:sdtContent>
      </w:sdt>
      <w:r w:rsidR="00B7719C" w:rsidRPr="00B7719C">
        <w:rPr>
          <w:rFonts w:ascii="Times New Roman" w:eastAsia="Times New Roman" w:hAnsi="Times New Roman" w:cs="Times New Roman"/>
          <w:sz w:val="24"/>
          <w:szCs w:val="24"/>
        </w:rPr>
        <w:t>Conclusion &amp; Significance:</w:t>
      </w:r>
      <w:r w:rsidR="00B7719C">
        <w:rPr>
          <w:rFonts w:ascii="Times New Roman" w:eastAsia="Times New Roman" w:hAnsi="Times New Roman" w:cs="Times New Roman"/>
          <w:sz w:val="24"/>
          <w:szCs w:val="24"/>
        </w:rPr>
        <w:t xml:space="preserve"> These</w:t>
      </w:r>
      <w:sdt>
        <w:sdtPr>
          <w:tag w:val="goog_rdk_88"/>
          <w:id w:val="-1764602415"/>
        </w:sdtPr>
        <w:sdtEndPr/>
        <w:sdtContent>
          <w:r w:rsidR="00B7719C">
            <w:t xml:space="preserve"> </w:t>
          </w:r>
          <w:r w:rsidR="00B7719C" w:rsidRPr="00B7719C">
            <w:rPr>
              <w:rFonts w:ascii="Times New Roman" w:eastAsia="Times New Roman" w:hAnsi="Times New Roman" w:cs="Times New Roman"/>
              <w:sz w:val="24"/>
              <w:szCs w:val="24"/>
            </w:rPr>
            <w:t>consensus recommendations provide guidance for oral fluid, electrolytes and energy recommendations for adult/geriatric patients with various non-diarrheal illnesses.</w:t>
          </w:r>
        </w:sdtContent>
      </w:sdt>
    </w:p>
    <w:p w14:paraId="0BFA028D" w14:textId="77777777" w:rsidR="00CB2E39" w:rsidRPr="00B7719C" w:rsidRDefault="00CB2E39" w:rsidP="00CB2E39">
      <w:pPr>
        <w:pStyle w:val="Heading3"/>
        <w:spacing w:before="74"/>
        <w:ind w:left="0"/>
        <w:rPr>
          <w:rFonts w:ascii="Times New Roman" w:hAnsi="Times New Roman" w:cs="Times New Roman"/>
          <w:sz w:val="24"/>
          <w:szCs w:val="24"/>
        </w:rPr>
      </w:pPr>
    </w:p>
    <w:p w14:paraId="1CFD3866" w14:textId="77777777" w:rsidR="004B4EF2" w:rsidRPr="00B7719C" w:rsidRDefault="004B4EF2" w:rsidP="004B4EF2">
      <w:pPr>
        <w:pStyle w:val="Heading3"/>
        <w:spacing w:before="74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B7719C">
        <w:rPr>
          <w:rFonts w:ascii="Times New Roman" w:hAnsi="Times New Roman" w:cs="Times New Roman"/>
          <w:sz w:val="24"/>
          <w:szCs w:val="24"/>
        </w:rPr>
        <w:t>Recent Publications (minimum 5)</w:t>
      </w:r>
    </w:p>
    <w:p w14:paraId="396972F4" w14:textId="77777777" w:rsidR="004B4EF2" w:rsidRPr="00B7719C" w:rsidRDefault="004B4EF2" w:rsidP="004B4EF2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ind w:right="137"/>
        <w:rPr>
          <w:rFonts w:ascii="Times New Roman" w:hAnsi="Times New Roman" w:cs="Times New Roman"/>
          <w:sz w:val="24"/>
          <w:szCs w:val="24"/>
        </w:rPr>
      </w:pPr>
      <w:r w:rsidRPr="00B7719C">
        <w:rPr>
          <w:rFonts w:ascii="Times New Roman" w:hAnsi="Times New Roman" w:cs="Times New Roman"/>
          <w:sz w:val="24"/>
          <w:szCs w:val="24"/>
        </w:rPr>
        <w:t xml:space="preserve">Nutrition and hydration: Key weapons in the fight against COVID-19 (2020). </w:t>
      </w:r>
      <w:hyperlink r:id="rId10" w:history="1">
        <w:r w:rsidRPr="00B7719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COVID19 Patient Nutrition Paper.pdf (nutritioncare.org)</w:t>
        </w:r>
      </w:hyperlink>
    </w:p>
    <w:p w14:paraId="1D6BC293" w14:textId="1B3D6C7C" w:rsidR="004B4EF2" w:rsidRPr="00B7719C" w:rsidRDefault="004B4EF2" w:rsidP="004B4EF2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ind w:right="137"/>
        <w:rPr>
          <w:rFonts w:ascii="Times New Roman" w:hAnsi="Times New Roman" w:cs="Times New Roman"/>
          <w:sz w:val="24"/>
          <w:szCs w:val="24"/>
        </w:rPr>
      </w:pPr>
      <w:r w:rsidRPr="00B7719C">
        <w:rPr>
          <w:rFonts w:ascii="Times New Roman" w:hAnsi="Times New Roman" w:cs="Times New Roman"/>
          <w:sz w:val="24"/>
          <w:szCs w:val="24"/>
        </w:rPr>
        <w:t xml:space="preserve">Nutrition and hydration: Quick facts for COVID-19 patients (2020). </w:t>
      </w:r>
      <w:hyperlink r:id="rId11" w:history="1">
        <w:r w:rsidRPr="00B7719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COVID19 </w:t>
        </w:r>
        <w:r w:rsidR="002E5165" w:rsidRPr="00B7719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Patient Nutrition</w:t>
        </w:r>
        <w:r w:rsidRPr="00B7719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 Quick Facts.pdf (nutritioncare.org)</w:t>
        </w:r>
      </w:hyperlink>
    </w:p>
    <w:p w14:paraId="4A144344" w14:textId="77777777" w:rsidR="004B4EF2" w:rsidRPr="00B7719C" w:rsidRDefault="004B4EF2" w:rsidP="004B4EF2">
      <w:pPr>
        <w:pStyle w:val="ListParagraph"/>
        <w:numPr>
          <w:ilvl w:val="0"/>
          <w:numId w:val="2"/>
        </w:numPr>
        <w:tabs>
          <w:tab w:val="left" w:pos="384"/>
        </w:tabs>
        <w:spacing w:before="103" w:line="276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B7719C">
        <w:rPr>
          <w:rFonts w:ascii="Times New Roman" w:hAnsi="Times New Roman" w:cs="Times New Roman"/>
          <w:sz w:val="24"/>
          <w:szCs w:val="24"/>
        </w:rPr>
        <w:t xml:space="preserve">Singer P, Blaser AR, Berger MM, </w:t>
      </w:r>
      <w:proofErr w:type="spellStart"/>
      <w:r w:rsidRPr="00B7719C">
        <w:rPr>
          <w:rFonts w:ascii="Times New Roman" w:hAnsi="Times New Roman" w:cs="Times New Roman"/>
          <w:sz w:val="24"/>
          <w:szCs w:val="24"/>
        </w:rPr>
        <w:t>Alhazzani</w:t>
      </w:r>
      <w:proofErr w:type="spellEnd"/>
      <w:r w:rsidRPr="00B7719C">
        <w:rPr>
          <w:rFonts w:ascii="Times New Roman" w:hAnsi="Times New Roman" w:cs="Times New Roman"/>
          <w:sz w:val="24"/>
          <w:szCs w:val="24"/>
        </w:rPr>
        <w:t xml:space="preserve"> W, et al (2019) ESPEN guideline on clinical nutrition in the intensive care unit. Clinical nutrition 38: 48-79. </w:t>
      </w:r>
    </w:p>
    <w:p w14:paraId="06655495" w14:textId="77777777" w:rsidR="004B4EF2" w:rsidRPr="00B7719C" w:rsidRDefault="004B4EF2" w:rsidP="004B4EF2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ind w:right="138"/>
        <w:rPr>
          <w:rFonts w:ascii="Times New Roman" w:hAnsi="Times New Roman" w:cs="Times New Roman"/>
          <w:sz w:val="24"/>
          <w:szCs w:val="24"/>
        </w:rPr>
      </w:pPr>
      <w:proofErr w:type="spellStart"/>
      <w:r w:rsidRPr="00B7719C">
        <w:rPr>
          <w:rFonts w:ascii="Times New Roman" w:hAnsi="Times New Roman" w:cs="Times New Roman"/>
          <w:sz w:val="24"/>
          <w:szCs w:val="24"/>
        </w:rPr>
        <w:t>Volkert</w:t>
      </w:r>
      <w:proofErr w:type="spellEnd"/>
      <w:r w:rsidRPr="00B7719C">
        <w:rPr>
          <w:rFonts w:ascii="Times New Roman" w:hAnsi="Times New Roman" w:cs="Times New Roman"/>
          <w:sz w:val="24"/>
          <w:szCs w:val="24"/>
        </w:rPr>
        <w:t xml:space="preserve"> D, Beck AM, Cederholm T, Cruz-</w:t>
      </w:r>
      <w:proofErr w:type="spellStart"/>
      <w:r w:rsidRPr="00B7719C">
        <w:rPr>
          <w:rFonts w:ascii="Times New Roman" w:hAnsi="Times New Roman" w:cs="Times New Roman"/>
          <w:sz w:val="24"/>
          <w:szCs w:val="24"/>
        </w:rPr>
        <w:t>Jentoft</w:t>
      </w:r>
      <w:proofErr w:type="spellEnd"/>
      <w:r w:rsidRPr="00B7719C">
        <w:rPr>
          <w:rFonts w:ascii="Times New Roman" w:hAnsi="Times New Roman" w:cs="Times New Roman"/>
          <w:sz w:val="24"/>
          <w:szCs w:val="24"/>
        </w:rPr>
        <w:t xml:space="preserve"> A, et al (2019) ESPEN guideline on clinical nutrition and hydration in geriatrics. Clinical Nutrition 38: 10-47.</w:t>
      </w:r>
    </w:p>
    <w:p w14:paraId="299CE1D2" w14:textId="56F0CD9D" w:rsidR="00467320" w:rsidRPr="00B7719C" w:rsidRDefault="004B4EF2" w:rsidP="003963E2">
      <w:pPr>
        <w:pStyle w:val="ListParagraph"/>
        <w:numPr>
          <w:ilvl w:val="0"/>
          <w:numId w:val="2"/>
        </w:numPr>
        <w:tabs>
          <w:tab w:val="left" w:pos="384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7719C">
        <w:rPr>
          <w:rFonts w:ascii="Times New Roman" w:hAnsi="Times New Roman" w:cs="Times New Roman"/>
          <w:sz w:val="24"/>
          <w:szCs w:val="24"/>
        </w:rPr>
        <w:t xml:space="preserve">Lacey J, Corbett J, </w:t>
      </w:r>
      <w:proofErr w:type="spellStart"/>
      <w:r w:rsidRPr="00B7719C">
        <w:rPr>
          <w:rFonts w:ascii="Times New Roman" w:hAnsi="Times New Roman" w:cs="Times New Roman"/>
          <w:sz w:val="24"/>
          <w:szCs w:val="24"/>
        </w:rPr>
        <w:t>Forni</w:t>
      </w:r>
      <w:proofErr w:type="spellEnd"/>
      <w:r w:rsidRPr="00B7719C">
        <w:rPr>
          <w:rFonts w:ascii="Times New Roman" w:hAnsi="Times New Roman" w:cs="Times New Roman"/>
          <w:sz w:val="24"/>
          <w:szCs w:val="24"/>
        </w:rPr>
        <w:t xml:space="preserve"> L, Hooper L, et al (2019) A multidisciplinary consensus on dehydration: definitions, diagnostic methods and clinical implications. Annals of medicine 51: 232-251.</w:t>
      </w:r>
    </w:p>
    <w:p w14:paraId="37F923DD" w14:textId="56CCFCAE" w:rsidR="003963E2" w:rsidRPr="00B7719C" w:rsidRDefault="003963E2" w:rsidP="003963E2">
      <w:pPr>
        <w:tabs>
          <w:tab w:val="left" w:pos="384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1068531" w14:textId="3CF72A67" w:rsidR="003963E2" w:rsidRPr="00B7719C" w:rsidRDefault="003963E2" w:rsidP="003963E2">
      <w:pPr>
        <w:tabs>
          <w:tab w:val="left" w:pos="384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7719C">
        <w:rPr>
          <w:rFonts w:ascii="Times New Roman" w:hAnsi="Times New Roman" w:cs="Times New Roman"/>
          <w:b/>
          <w:sz w:val="24"/>
          <w:szCs w:val="24"/>
        </w:rPr>
        <w:t>Biography (150 word limit)</w:t>
      </w:r>
    </w:p>
    <w:p w14:paraId="677F6640" w14:textId="1BABC625" w:rsidR="00467320" w:rsidRPr="00B7719C" w:rsidRDefault="00467320" w:rsidP="00467320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  <w:sectPr w:rsidR="00467320" w:rsidRPr="00B7719C" w:rsidSect="00C566C2">
          <w:type w:val="continuous"/>
          <w:pgSz w:w="11910" w:h="16840"/>
          <w:pgMar w:top="1440" w:right="1440" w:bottom="1440" w:left="1440" w:header="720" w:footer="720" w:gutter="0"/>
          <w:cols w:space="138"/>
          <w:docGrid w:linePitch="299"/>
        </w:sectPr>
      </w:pPr>
    </w:p>
    <w:p w14:paraId="354F1BA1" w14:textId="17918598" w:rsidR="00467320" w:rsidRPr="00B7719C" w:rsidRDefault="00467320" w:rsidP="003963E2">
      <w:pPr>
        <w:pStyle w:val="BodyText"/>
        <w:spacing w:line="40" w:lineRule="exact"/>
        <w:rPr>
          <w:rFonts w:ascii="Times New Roman" w:hAnsi="Times New Roman" w:cs="Times New Roman"/>
          <w:sz w:val="24"/>
          <w:szCs w:val="24"/>
        </w:rPr>
      </w:pPr>
    </w:p>
    <w:p w14:paraId="4B44648D" w14:textId="5F7530D6" w:rsidR="003963E2" w:rsidRPr="00B7719C" w:rsidRDefault="00B7719C" w:rsidP="009D4F30">
      <w:pPr>
        <w:spacing w:before="92"/>
        <w:ind w:right="-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Christian Tesado,</w:t>
      </w:r>
      <w:r w:rsidR="009E6402">
        <w:rPr>
          <w:rFonts w:ascii="Times New Roman" w:hAnsi="Times New Roman" w:cs="Times New Roman"/>
          <w:sz w:val="24"/>
          <w:szCs w:val="24"/>
        </w:rPr>
        <w:t xml:space="preserve"> </w:t>
      </w:r>
      <w:r w:rsidR="00B32BB1">
        <w:rPr>
          <w:rFonts w:ascii="Times New Roman" w:hAnsi="Times New Roman" w:cs="Times New Roman"/>
          <w:sz w:val="24"/>
          <w:szCs w:val="24"/>
        </w:rPr>
        <w:t xml:space="preserve">MD, </w:t>
      </w:r>
      <w:r w:rsidR="009D4F30">
        <w:rPr>
          <w:rFonts w:ascii="Times New Roman" w:hAnsi="Times New Roman" w:cs="Times New Roman"/>
          <w:sz w:val="24"/>
          <w:szCs w:val="24"/>
        </w:rPr>
        <w:t>research</w:t>
      </w:r>
      <w:r w:rsidR="00B32BB1">
        <w:rPr>
          <w:rFonts w:ascii="Times New Roman" w:hAnsi="Times New Roman" w:cs="Times New Roman"/>
          <w:sz w:val="24"/>
          <w:szCs w:val="24"/>
        </w:rPr>
        <w:t xml:space="preserve"> of interest is nutrition and hydration. He’s particular interest</w:t>
      </w:r>
      <w:r w:rsidR="009D4F30">
        <w:rPr>
          <w:rFonts w:ascii="Times New Roman" w:hAnsi="Times New Roman" w:cs="Times New Roman"/>
          <w:sz w:val="24"/>
          <w:szCs w:val="24"/>
        </w:rPr>
        <w:t xml:space="preserve">ed in advancing the role of fluids and electrolytes, including energy, in improving health outcomes for common illnesses with dehydration beyond diarrhea. </w:t>
      </w:r>
      <w:r w:rsidR="00C51D94">
        <w:rPr>
          <w:rFonts w:ascii="Times New Roman" w:hAnsi="Times New Roman" w:cs="Times New Roman"/>
          <w:sz w:val="24"/>
          <w:szCs w:val="24"/>
        </w:rPr>
        <w:t>For close to a decade, h</w:t>
      </w:r>
      <w:r w:rsidR="00B32BB1">
        <w:rPr>
          <w:rFonts w:ascii="Times New Roman" w:hAnsi="Times New Roman" w:cs="Times New Roman"/>
          <w:sz w:val="24"/>
          <w:szCs w:val="24"/>
        </w:rPr>
        <w:t xml:space="preserve">e’s been a </w:t>
      </w:r>
      <w:r w:rsidR="009D4F30">
        <w:rPr>
          <w:rFonts w:ascii="Times New Roman" w:hAnsi="Times New Roman" w:cs="Times New Roman"/>
          <w:sz w:val="24"/>
          <w:szCs w:val="24"/>
        </w:rPr>
        <w:t>medical affairs</w:t>
      </w:r>
      <w:r w:rsidR="00B32BB1">
        <w:rPr>
          <w:rFonts w:ascii="Times New Roman" w:hAnsi="Times New Roman" w:cs="Times New Roman"/>
          <w:sz w:val="24"/>
          <w:szCs w:val="24"/>
        </w:rPr>
        <w:t xml:space="preserve"> lead for </w:t>
      </w:r>
      <w:r w:rsidR="009D4F30">
        <w:rPr>
          <w:rFonts w:ascii="Times New Roman" w:hAnsi="Times New Roman" w:cs="Times New Roman"/>
          <w:sz w:val="24"/>
          <w:szCs w:val="24"/>
        </w:rPr>
        <w:t xml:space="preserve">consumer </w:t>
      </w:r>
      <w:r w:rsidR="00B32BB1">
        <w:rPr>
          <w:rFonts w:ascii="Times New Roman" w:hAnsi="Times New Roman" w:cs="Times New Roman"/>
          <w:sz w:val="24"/>
          <w:szCs w:val="24"/>
        </w:rPr>
        <w:t>health</w:t>
      </w:r>
      <w:r w:rsidR="009D4F30">
        <w:rPr>
          <w:rFonts w:ascii="Times New Roman" w:hAnsi="Times New Roman" w:cs="Times New Roman"/>
          <w:sz w:val="24"/>
          <w:szCs w:val="24"/>
        </w:rPr>
        <w:t xml:space="preserve">, with key focus on digestive health, smoking cessation and allergy. </w:t>
      </w:r>
    </w:p>
    <w:p w14:paraId="64AA3F81" w14:textId="231BE375" w:rsidR="00467320" w:rsidRPr="00B7719C" w:rsidRDefault="003963E2" w:rsidP="003963E2">
      <w:pPr>
        <w:spacing w:before="92"/>
        <w:ind w:right="4234"/>
        <w:rPr>
          <w:rFonts w:ascii="Times New Roman" w:hAnsi="Times New Roman" w:cs="Times New Roman"/>
          <w:b/>
          <w:sz w:val="24"/>
          <w:szCs w:val="24"/>
        </w:rPr>
        <w:sectPr w:rsidR="00467320" w:rsidRPr="00B7719C" w:rsidSect="00C566C2"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  <w:r w:rsidRPr="00B7719C">
        <w:rPr>
          <w:rFonts w:ascii="Times New Roman" w:hAnsi="Times New Roman" w:cs="Times New Roman"/>
          <w:b/>
          <w:sz w:val="24"/>
          <w:szCs w:val="24"/>
        </w:rPr>
        <w:t>Notes/Comments: --</w:t>
      </w:r>
    </w:p>
    <w:p w14:paraId="7253154C" w14:textId="77777777" w:rsidR="00AD0691" w:rsidRPr="00B7719C" w:rsidRDefault="00AD0691" w:rsidP="00467320">
      <w:pPr>
        <w:rPr>
          <w:rFonts w:ascii="Times New Roman" w:hAnsi="Times New Roman" w:cs="Times New Roman"/>
          <w:sz w:val="24"/>
          <w:szCs w:val="24"/>
        </w:rPr>
      </w:pPr>
    </w:p>
    <w:sectPr w:rsidR="00AD0691" w:rsidRPr="00B7719C" w:rsidSect="00C566C2">
      <w:type w:val="continuous"/>
      <w:pgSz w:w="11910" w:h="16840"/>
      <w:pgMar w:top="1440" w:right="1440" w:bottom="1440" w:left="1440" w:header="720" w:footer="720" w:gutter="0"/>
      <w:cols w:num="2" w:space="720" w:equalWidth="0">
        <w:col w:w="4394" w:space="138"/>
        <w:col w:w="4498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E01D13" w14:textId="77777777" w:rsidR="001F7394" w:rsidRDefault="001F7394" w:rsidP="00467320">
      <w:pPr>
        <w:spacing w:after="0" w:line="240" w:lineRule="auto"/>
      </w:pPr>
      <w:r>
        <w:separator/>
      </w:r>
    </w:p>
  </w:endnote>
  <w:endnote w:type="continuationSeparator" w:id="0">
    <w:p w14:paraId="051C6291" w14:textId="77777777" w:rsidR="001F7394" w:rsidRDefault="001F7394" w:rsidP="0046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870F9" w14:textId="77777777" w:rsidR="00467320" w:rsidRDefault="004673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7D898C0" wp14:editId="2B68EA8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C9AEFC" w14:textId="77777777" w:rsidR="00467320" w:rsidRPr="005B3A56" w:rsidRDefault="0046732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34AE5AB" w14:textId="77777777" w:rsidR="00467320" w:rsidRPr="005B3A56" w:rsidRDefault="0046732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D898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206wEAAL0DAAAOAAAAZHJzL2Uyb0RvYy54bWysU9tu2zAMfR+wfxD0vjhxi6I14hRdiw4D&#10;ugvQ7gNoWY6F2aJGKbGzrx8lx2m3vhV7ESiKOjrnkFpfj30n9pq8QVvK1WIphbYKa2O3pfzxdP/h&#10;UgofwNbQodWlPGgvrzfv360HV+gcW+xqTYJBrC8GV8o2BFdkmVet7sEv0GnLhw1SD4G3tM1qgoHR&#10;+y7Ll8uLbECqHaHS3nP2bjqUm4TfNFqFb03jdRBdKZlbSCultYprtllDsSVwrVFHGvAGFj0Yy4+e&#10;oO4ggNiReQXVG0XosQkLhX2GTWOUThpYzWr5j5rHFpxOWtgc7042+f8Hq77uv5MwdSmvpLDQc4ue&#10;9BjERxzFWXRncL7gokfHZWHkNHc5KfXuAdVPLyzetmC3+oYIh1ZDzexW8Wb24uqE4yNINXzBmp+B&#10;XcAENDbUR+vYDMHo3KXDqTORiuJkvjq7WJ3zkeKz/PzyKk+ty6CYbzvy4ZPGXsSglMSdT+iwf/Ah&#10;soFiLomPWbw3XZe639m/ElwYM4l9JDxRD2M1JpuStKiswvrAcginmeI/wEGL9FuKgeeplP7XDkhL&#10;0X22bEkcvjmgOajmAKziq6UMUkzhbZiGdOfIbFtGnky3eMO2NSYpemZxpMszkoQe5zkO4ct9qnr+&#10;dZs/AA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BIwDbT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5BC9AEFC" w14:textId="77777777" w:rsidR="00467320" w:rsidRPr="005B3A56" w:rsidRDefault="0046732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34AE5AB" w14:textId="77777777" w:rsidR="00467320" w:rsidRPr="005B3A56" w:rsidRDefault="0046732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FACCCE" wp14:editId="1A8FF3C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0CFCF1" w14:textId="77777777" w:rsidR="00467320" w:rsidRPr="005B3A56" w:rsidRDefault="0046732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A506A85" w14:textId="77777777" w:rsidR="00467320" w:rsidRPr="005B3A56" w:rsidRDefault="0046732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FACCCE" id="Text Box 2" o:spid="_x0000_s1028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p2I6QEAAL0DAAAOAAAAZHJzL2Uyb0RvYy54bWysU8Fu2zAMvQ/YPwi6L45TLCuMOEXXosOA&#10;bivQ7gNoWY6F2aJGKbGzrx8lx1m33opdBIqkHh8fqc3V2HfioMkbtKXMF0sptFVYG7sr5fenu3eX&#10;UvgAtoYOrS7lUXt5tX37ZjO4Qq+wxa7WJBjE+mJwpWxDcEWWedXqHvwCnbYcbJB6CHylXVYTDIze&#10;d9lquVxnA1LtCJX2nr23U1BuE37TaBW+NY3XQXSlZG4hnZTOKp7ZdgPFjsC1Rp1owCtY9GAsFz1D&#10;3UIAsSfzAqo3itBjExYK+wybxiideuBu8uU/3Ty24HTqhcXx7iyT/3+w6uvhgYSpS8mDstDziJ70&#10;GMRHHMUqqjM4X3DSo+O0MLKbp5w69e4e1Q8vLN60YHf6mgiHVkPN7PL4Mnv2dMLxEaQavmDNZWAf&#10;MAGNDfVROhZDMDpP6XieTKSiYsl8/SG/4JDi2EW+vly/TyWgmF878uGTxl5Eo5TEk0/ocLj3IbKB&#10;Yk6JxSzema5L0+/sXw5OjJ7EPhKeqIexGpNMZ1EqrI/cDuG0U/wH2GiRfkkx8D6V0v/cA2kpus+W&#10;JYnLNxs0G9VsgFX8tJRBism8CdOS7h2ZXcvIk+gWr1m2xqSOor4TixNd3pHU6Gmf4xI+v6esP79u&#10;+xsAAP//AwBQSwMEFAAGAAgAAAAhAHWpH53hAAAADQEAAA8AAABkcnMvZG93bnJldi54bWxMj0FP&#10;wzAMhe9I/IfISNxYsmmrutJ0mhCckBBdOXBMW6+N1jilybby7zEnuNl+T8/fy3ezG8QFp2A9aVgu&#10;FAikxreWOg0f1ctDCiJEQ60ZPKGGbwywK25vcpO1/kolXg6xExxCITMa+hjHTMrQ9OhMWPgRibWj&#10;n5yJvE6dbCdz5XA3yJVSiXTGEn/ozYhPPTanw9lp2H9S+Wy/3ur38ljaqtoqek1OWt/fzftHEBHn&#10;+GeGX3xGh4KZan+mNohBw0atV2xlYbNNlyDYkqQp16v5lKx5kkUu/7cofgAAAP//AwBQSwECLQAU&#10;AAYACAAAACEAtoM4kv4AAADhAQAAEwAAAAAAAAAAAAAAAAAAAAAAW0NvbnRlbnRfVHlwZXNdLnht&#10;bFBLAQItABQABgAIAAAAIQA4/SH/1gAAAJQBAAALAAAAAAAAAAAAAAAAAC8BAABfcmVscy8ucmVs&#10;c1BLAQItABQABgAIAAAAIQClop2I6QEAAL0DAAAOAAAAAAAAAAAAAAAAAC4CAABkcnMvZTJvRG9j&#10;LnhtbFBLAQItABQABgAIAAAAIQB1qR+d4QAAAA0BAAAPAAAAAAAAAAAAAAAAAEMEAABkcnMvZG93&#10;bnJldi54bWxQSwUGAAAAAAQABADzAAAAUQUAAAAA&#10;" filled="f" stroked="f">
              <v:textbox inset="0,0,0,0">
                <w:txbxContent>
                  <w:p w14:paraId="210CFCF1" w14:textId="77777777" w:rsidR="00467320" w:rsidRPr="005B3A56" w:rsidRDefault="0046732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A506A85" w14:textId="77777777" w:rsidR="00467320" w:rsidRPr="005B3A56" w:rsidRDefault="0046732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6C8719" w14:textId="77777777" w:rsidR="001F7394" w:rsidRDefault="001F7394" w:rsidP="00467320">
      <w:pPr>
        <w:spacing w:after="0" w:line="240" w:lineRule="auto"/>
      </w:pPr>
      <w:r>
        <w:separator/>
      </w:r>
    </w:p>
  </w:footnote>
  <w:footnote w:type="continuationSeparator" w:id="0">
    <w:p w14:paraId="30F834BF" w14:textId="77777777" w:rsidR="001F7394" w:rsidRDefault="001F7394" w:rsidP="0046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94A751" w14:textId="77777777" w:rsidR="00467320" w:rsidRDefault="004673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459150" wp14:editId="21E48BE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9E89ED" w14:textId="77777777" w:rsidR="00467320" w:rsidRPr="005B3A56" w:rsidRDefault="0046732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F1E2602" w14:textId="77777777" w:rsidR="00467320" w:rsidRPr="005B3A56" w:rsidRDefault="0046732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45915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ES6AEAALcDAAAOAAAAZHJzL2Uyb0RvYy54bWysU8GO0zAQvSPxD5bvNG1FC0RNV8uuFiEt&#10;LNIuHzBxnMQi8Zix26R8PWOnKQvcEBdrMp55fvPmZXc19p04avIGbSFXi6UU2iqsjG0K+fXp7tVb&#10;KXwAW0GHVhfypL282r98sRtcrtfYYldpEgxifT64QrYhuDzLvGp1D36BTlu+rJF6CPxJTVYRDIze&#10;d9l6udxmA1LlCJX2nrO306XcJ/y61io81LXXQXSFZG4hnZTOMp7Zfgd5Q+Bao8404B9Y9GAsP3qB&#10;uoUA4kDmL6jeKEKPdVgo7DOsa6N0moGnWS3/mOaxBafTLCyOdxeZ/P+DVZ+PX0iYinfH8ljoeUdP&#10;egziPY7idZRncD7nqkfHdWHkNJemUb27R/XNC4s3LdhGXxPh0GqomN4qdmbPWiccH0HK4RNW/Awc&#10;AiagsaY+asdqCEZnHqfLaiIVxcntZrPebDdSKL7bLN+t36TdZZDP3Y58+KCxFzEoJPHqEzoc732I&#10;bCCfS+JjFu9M16X1d/a3BBfGTGIfCU/Uw1iOZzVKrE48B+HkJnY/By3SDykGdlIh/fcDkJai+2hZ&#10;i2i7OaA5KOcArOLWQgYppvAmTPY8ODJNy8iT2havWa/apFGisBOLM092R5rw7ORov+ffqerX/7b/&#10;CQAA//8DAFBLAwQUAAYACAAAACEAvZFAFt4AAAAKAQAADwAAAGRycy9kb3ducmV2LnhtbEyPwU7D&#10;MBBE70j8g7VI3KgdDm4T4lQVghMSIg0Hjk68TazG6xC7bfh73BPcZjWrmTfldnEjO+McrCcF2UoA&#10;Q+q8sdQr+GxeHzbAQtRk9OgJFfxggG11e1PqwvgL1Xjex56lEAqFVjDEOBWch25Ap8PKT0jJO/jZ&#10;6ZjOuedm1pcU7kb+KITkTltKDYOe8HnA7rg/OQW7L6pf7Pd7+1Efats0uaA3eVTq/m7ZPQGLuMS/&#10;Z7jiJ3SoElPrT2QCGxWsRZoSFeRSArv6mchyYG1Sa7kBXpX8/4TqFwAA//8DAFBLAQItABQABgAI&#10;AAAAIQC2gziS/gAAAOEBAAATAAAAAAAAAAAAAAAAAAAAAABbQ29udGVudF9UeXBlc10ueG1sUEsB&#10;Ai0AFAAGAAgAAAAhADj9If/WAAAAlAEAAAsAAAAAAAAAAAAAAAAALwEAAF9yZWxzLy5yZWxzUEsB&#10;Ai0AFAAGAAgAAAAhALFBQRLoAQAAtwMAAA4AAAAAAAAAAAAAAAAALgIAAGRycy9lMm9Eb2MueG1s&#10;UEsBAi0AFAAGAAgAAAAhAL2RQBbeAAAACgEAAA8AAAAAAAAAAAAAAAAAQgQAAGRycy9kb3ducmV2&#10;LnhtbFBLBQYAAAAABAAEAPMAAABNBQAAAAA=&#10;" filled="f" stroked="f">
              <v:textbox inset="0,0,0,0">
                <w:txbxContent>
                  <w:p w14:paraId="4A9E89ED" w14:textId="77777777" w:rsidR="00467320" w:rsidRPr="005B3A56" w:rsidRDefault="0046732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F1E2602" w14:textId="77777777" w:rsidR="00467320" w:rsidRPr="005B3A56" w:rsidRDefault="0046732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0714C65"/>
    <w:multiLevelType w:val="hybridMultilevel"/>
    <w:tmpl w:val="FC70137E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B1F"/>
    <w:rsid w:val="00023DF7"/>
    <w:rsid w:val="00046D68"/>
    <w:rsid w:val="00047210"/>
    <w:rsid w:val="000572D3"/>
    <w:rsid w:val="00080058"/>
    <w:rsid w:val="000B5612"/>
    <w:rsid w:val="000E5656"/>
    <w:rsid w:val="000F14D7"/>
    <w:rsid w:val="0012703E"/>
    <w:rsid w:val="00136172"/>
    <w:rsid w:val="001414B5"/>
    <w:rsid w:val="0016121B"/>
    <w:rsid w:val="00172B90"/>
    <w:rsid w:val="00175E5F"/>
    <w:rsid w:val="001824B2"/>
    <w:rsid w:val="001B209B"/>
    <w:rsid w:val="001B213D"/>
    <w:rsid w:val="001E7295"/>
    <w:rsid w:val="001F7394"/>
    <w:rsid w:val="0021453C"/>
    <w:rsid w:val="0021538E"/>
    <w:rsid w:val="00221CD7"/>
    <w:rsid w:val="00284224"/>
    <w:rsid w:val="002B55D8"/>
    <w:rsid w:val="002E5165"/>
    <w:rsid w:val="0039148E"/>
    <w:rsid w:val="0039230E"/>
    <w:rsid w:val="003963E2"/>
    <w:rsid w:val="003A6EB0"/>
    <w:rsid w:val="0040116F"/>
    <w:rsid w:val="004330B3"/>
    <w:rsid w:val="00455593"/>
    <w:rsid w:val="00467320"/>
    <w:rsid w:val="004703A9"/>
    <w:rsid w:val="004716A6"/>
    <w:rsid w:val="00480724"/>
    <w:rsid w:val="004A40E8"/>
    <w:rsid w:val="004B4EF2"/>
    <w:rsid w:val="004C21E0"/>
    <w:rsid w:val="004C38C0"/>
    <w:rsid w:val="004C5180"/>
    <w:rsid w:val="00503B36"/>
    <w:rsid w:val="005365D7"/>
    <w:rsid w:val="00547759"/>
    <w:rsid w:val="00557346"/>
    <w:rsid w:val="00557918"/>
    <w:rsid w:val="005B06FC"/>
    <w:rsid w:val="005D2507"/>
    <w:rsid w:val="005D6F6D"/>
    <w:rsid w:val="005E00FB"/>
    <w:rsid w:val="0060053F"/>
    <w:rsid w:val="006479CB"/>
    <w:rsid w:val="00651A35"/>
    <w:rsid w:val="0065649A"/>
    <w:rsid w:val="00661316"/>
    <w:rsid w:val="00692531"/>
    <w:rsid w:val="006C1E3F"/>
    <w:rsid w:val="006C71B3"/>
    <w:rsid w:val="00721A1C"/>
    <w:rsid w:val="00756949"/>
    <w:rsid w:val="007A61E3"/>
    <w:rsid w:val="007D670E"/>
    <w:rsid w:val="007F6C80"/>
    <w:rsid w:val="00820F80"/>
    <w:rsid w:val="008309B8"/>
    <w:rsid w:val="0087657A"/>
    <w:rsid w:val="00883E0F"/>
    <w:rsid w:val="00892E0B"/>
    <w:rsid w:val="008C6A84"/>
    <w:rsid w:val="008D55A0"/>
    <w:rsid w:val="00903531"/>
    <w:rsid w:val="00911E60"/>
    <w:rsid w:val="00962B56"/>
    <w:rsid w:val="0097000A"/>
    <w:rsid w:val="00971FE3"/>
    <w:rsid w:val="00997737"/>
    <w:rsid w:val="009A0488"/>
    <w:rsid w:val="009C1075"/>
    <w:rsid w:val="009D4F30"/>
    <w:rsid w:val="009E6402"/>
    <w:rsid w:val="00A555B4"/>
    <w:rsid w:val="00A6245A"/>
    <w:rsid w:val="00A7118C"/>
    <w:rsid w:val="00AD0691"/>
    <w:rsid w:val="00B05515"/>
    <w:rsid w:val="00B17B02"/>
    <w:rsid w:val="00B32BB1"/>
    <w:rsid w:val="00B42274"/>
    <w:rsid w:val="00B479B9"/>
    <w:rsid w:val="00B735BF"/>
    <w:rsid w:val="00B7719C"/>
    <w:rsid w:val="00B843FF"/>
    <w:rsid w:val="00B93A13"/>
    <w:rsid w:val="00B96EA0"/>
    <w:rsid w:val="00BC797E"/>
    <w:rsid w:val="00BF3813"/>
    <w:rsid w:val="00C164B1"/>
    <w:rsid w:val="00C51D94"/>
    <w:rsid w:val="00C566C2"/>
    <w:rsid w:val="00CB2E39"/>
    <w:rsid w:val="00DC39D9"/>
    <w:rsid w:val="00DF7F5C"/>
    <w:rsid w:val="00E75625"/>
    <w:rsid w:val="00EA7B1F"/>
    <w:rsid w:val="00EF176C"/>
    <w:rsid w:val="00F03430"/>
    <w:rsid w:val="00F06E47"/>
    <w:rsid w:val="00F15A15"/>
    <w:rsid w:val="00F30C59"/>
    <w:rsid w:val="00F51E10"/>
    <w:rsid w:val="00F61955"/>
    <w:rsid w:val="00F76176"/>
    <w:rsid w:val="00FC4BB0"/>
    <w:rsid w:val="00FC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35E029"/>
  <w15:chartTrackingRefBased/>
  <w15:docId w15:val="{CE31D22F-8035-47D6-9342-0F836D5E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67320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467320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67320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467320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467320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67320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467320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6732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7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320"/>
  </w:style>
  <w:style w:type="paragraph" w:styleId="Footer">
    <w:name w:val="footer"/>
    <w:basedOn w:val="Normal"/>
    <w:link w:val="FooterChar"/>
    <w:uiPriority w:val="99"/>
    <w:unhideWhenUsed/>
    <w:rsid w:val="00467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320"/>
  </w:style>
  <w:style w:type="character" w:styleId="CommentReference">
    <w:name w:val="annotation reference"/>
    <w:basedOn w:val="DefaultParagraphFont"/>
    <w:uiPriority w:val="99"/>
    <w:semiHidden/>
    <w:unhideWhenUsed/>
    <w:rsid w:val="000F14D7"/>
    <w:rPr>
      <w:sz w:val="16"/>
      <w:szCs w:val="16"/>
    </w:rPr>
  </w:style>
  <w:style w:type="paragraph" w:styleId="CommentText">
    <w:name w:val="annotation text"/>
    <w:aliases w:val="Char Char,Char"/>
    <w:basedOn w:val="Normal"/>
    <w:link w:val="CommentTextChar"/>
    <w:uiPriority w:val="99"/>
    <w:unhideWhenUsed/>
    <w:qFormat/>
    <w:rsid w:val="000F14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Char Char Char,Char Char1"/>
    <w:basedOn w:val="DefaultParagraphFont"/>
    <w:link w:val="CommentText"/>
    <w:uiPriority w:val="99"/>
    <w:rsid w:val="000F14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4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4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4D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70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utritioncare.org/uploadedFiles/Documents/Guidelines_and_Clinical_Resources/COVID19/COVID19%20Patient_Nutrition%20Quick%20Facts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utritioncare.org/uploadedFiles/Documents/Guidelines_and_Clinical_Resources/COVID19/COVID19%20Patient%20Nutrition%20Paper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CB7C3-D896-4A98-B899-3D8AFA94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SIRO</dc:creator>
  <cp:keywords/>
  <dc:description/>
  <cp:lastModifiedBy>Chatterjee, Ayan [CONIN]</cp:lastModifiedBy>
  <cp:revision>4</cp:revision>
  <dcterms:created xsi:type="dcterms:W3CDTF">2021-06-21T05:16:00Z</dcterms:created>
  <dcterms:modified xsi:type="dcterms:W3CDTF">2021-06-21T05:30:00Z</dcterms:modified>
</cp:coreProperties>
</file>