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5302E" w14:textId="1C603CFF" w:rsidR="00F0674A" w:rsidRDefault="00F0674A" w:rsidP="00F0674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Identification of Malnourished patients using the Global Leadership Initiative on Malnutrition (GLIM) diagnostic criteria in the United Arab Emirates</w:t>
      </w:r>
    </w:p>
    <w:p w14:paraId="4ADA9E72" w14:textId="6B3BF4D3" w:rsidR="00F0674A" w:rsidRPr="00E66789" w:rsidRDefault="00F0674A" w:rsidP="00F0674A">
      <w:pPr>
        <w:spacing w:line="360" w:lineRule="auto"/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  <w:proofErr w:type="spellStart"/>
      <w:r w:rsidRPr="0015412D">
        <w:rPr>
          <w:rFonts w:asciiTheme="majorBidi" w:hAnsiTheme="majorBidi" w:cstheme="majorBidi"/>
          <w:bCs/>
          <w:color w:val="000000" w:themeColor="text1"/>
          <w:sz w:val="24"/>
          <w:szCs w:val="24"/>
        </w:rPr>
        <w:t>Karavetian</w:t>
      </w:r>
      <w:proofErr w:type="spellEnd"/>
      <w:r w:rsidRPr="0015412D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Mire</w:t>
      </w:r>
      <w:r w:rsidRPr="00396D8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y</w:t>
      </w:r>
      <w:r>
        <w:rPr>
          <w:rFonts w:asciiTheme="majorBidi" w:hAnsiTheme="majorBidi" w:cstheme="majorBidi"/>
          <w:b/>
          <w:color w:val="000000" w:themeColor="text1"/>
          <w:sz w:val="24"/>
          <w:szCs w:val="24"/>
          <w:vertAlign w:val="superscript"/>
        </w:rPr>
        <w:t>a</w:t>
      </w:r>
      <w:r w:rsidRPr="0015412D">
        <w:rPr>
          <w:rFonts w:asciiTheme="majorBidi" w:hAnsiTheme="majorBidi" w:cstheme="majorBidi"/>
          <w:b/>
          <w:color w:val="000000" w:themeColor="text1"/>
          <w:sz w:val="24"/>
          <w:szCs w:val="24"/>
        </w:rPr>
        <w:t xml:space="preserve">, </w:t>
      </w:r>
      <w:proofErr w:type="spellStart"/>
      <w:r w:rsidRPr="00396D8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ElKhoury</w:t>
      </w:r>
      <w:proofErr w:type="spellEnd"/>
      <w:r w:rsidRPr="00396D84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Fakih </w:t>
      </w:r>
      <w:proofErr w:type="spellStart"/>
      <w:r w:rsidRPr="00396D84">
        <w:rPr>
          <w:rFonts w:asciiTheme="majorBidi" w:hAnsiTheme="majorBidi" w:cstheme="majorBidi"/>
          <w:bCs/>
          <w:color w:val="000000" w:themeColor="text1"/>
          <w:sz w:val="24"/>
          <w:szCs w:val="24"/>
        </w:rPr>
        <w:t>Cosette</w:t>
      </w:r>
      <w:r w:rsidRPr="00F0674A"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  <w:t>b</w:t>
      </w:r>
      <w:proofErr w:type="spellEnd"/>
      <w:r w:rsidRPr="00396D84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</w:p>
    <w:p w14:paraId="77AD8E66" w14:textId="40FEBC81" w:rsidR="00F0674A" w:rsidRDefault="00F0674A" w:rsidP="00F0674A">
      <w:pPr>
        <w:spacing w:after="0" w:line="240" w:lineRule="auto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  <w:vertAlign w:val="superscript"/>
        </w:rPr>
        <w:t xml:space="preserve">a </w:t>
      </w:r>
      <w:r w:rsidRPr="003C62FB">
        <w:rPr>
          <w:rFonts w:asciiTheme="majorBidi" w:hAnsiTheme="majorBidi" w:cstheme="majorBidi"/>
          <w:color w:val="000000"/>
          <w:sz w:val="20"/>
          <w:szCs w:val="20"/>
        </w:rPr>
        <w:t xml:space="preserve">College of Natural and Health Sciences, Zayed University, 19282 Dubai, United Arab Emirates; </w:t>
      </w:r>
      <w:hyperlink r:id="rId4" w:history="1">
        <w:r w:rsidRPr="003C62FB">
          <w:rPr>
            <w:rStyle w:val="Hyperlink"/>
            <w:rFonts w:asciiTheme="majorBidi" w:hAnsiTheme="majorBidi" w:cstheme="majorBidi"/>
            <w:sz w:val="20"/>
            <w:szCs w:val="20"/>
          </w:rPr>
          <w:t>mirey.karavetian@zu.ac.ae</w:t>
        </w:r>
      </w:hyperlink>
      <w:r w:rsidRPr="003C62FB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14:paraId="7F2B7399" w14:textId="07926786" w:rsidR="00F0674A" w:rsidRDefault="00F0674A" w:rsidP="00F0674A">
      <w:pPr>
        <w:spacing w:after="0" w:line="240" w:lineRule="auto"/>
        <w:rPr>
          <w:rFonts w:asciiTheme="majorBidi" w:hAnsiTheme="majorBidi" w:cstheme="majorBidi"/>
          <w:color w:val="000000"/>
          <w:sz w:val="20"/>
          <w:szCs w:val="20"/>
          <w:vertAlign w:val="superscript"/>
        </w:rPr>
      </w:pPr>
    </w:p>
    <w:p w14:paraId="169A3E2C" w14:textId="6061F5EE" w:rsidR="00F0674A" w:rsidRDefault="00F0674A" w:rsidP="00F0674A">
      <w:pPr>
        <w:spacing w:after="0" w:line="240" w:lineRule="auto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  <w:vertAlign w:val="superscript"/>
        </w:rPr>
        <w:t xml:space="preserve">b </w:t>
      </w:r>
      <w:r>
        <w:rPr>
          <w:rFonts w:asciiTheme="majorBidi" w:hAnsiTheme="majorBidi" w:cstheme="majorBidi"/>
          <w:color w:val="000000"/>
          <w:sz w:val="20"/>
          <w:szCs w:val="20"/>
        </w:rPr>
        <w:t>Department of Natural Sciences, Lebanese American University,</w:t>
      </w:r>
      <w:r w:rsidR="00F16E48">
        <w:rPr>
          <w:rFonts w:asciiTheme="majorBidi" w:hAnsiTheme="majorBidi" w:cstheme="majorBidi"/>
          <w:color w:val="000000"/>
          <w:sz w:val="20"/>
          <w:szCs w:val="20"/>
        </w:rPr>
        <w:t xml:space="preserve"> Beirut,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F16E48">
        <w:rPr>
          <w:rFonts w:asciiTheme="majorBidi" w:hAnsiTheme="majorBidi" w:cstheme="majorBidi"/>
          <w:color w:val="000000"/>
          <w:sz w:val="20"/>
          <w:szCs w:val="20"/>
        </w:rPr>
        <w:t xml:space="preserve">Lebanon. </w:t>
      </w:r>
      <w:hyperlink r:id="rId5" w:history="1">
        <w:r w:rsidR="00F16E48" w:rsidRPr="00473A40">
          <w:rPr>
            <w:rStyle w:val="Hyperlink"/>
            <w:rFonts w:asciiTheme="majorBidi" w:hAnsiTheme="majorBidi" w:cstheme="majorBidi"/>
            <w:sz w:val="20"/>
            <w:szCs w:val="20"/>
          </w:rPr>
          <w:t>cosette.elkhoury@lau.edu.lb</w:t>
        </w:r>
      </w:hyperlink>
    </w:p>
    <w:p w14:paraId="3310D403" w14:textId="77777777" w:rsidR="00F0674A" w:rsidRDefault="00F0674A" w:rsidP="00F0674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2D57BCA" w14:textId="5BBC339F" w:rsidR="00B1346F" w:rsidRPr="007614B6" w:rsidRDefault="00B1346F" w:rsidP="0045687A">
      <w:pPr>
        <w:rPr>
          <w:rFonts w:asciiTheme="majorBidi" w:hAnsiTheme="majorBidi" w:cstheme="majorBidi"/>
          <w:sz w:val="24"/>
          <w:szCs w:val="24"/>
        </w:rPr>
      </w:pPr>
      <w:r w:rsidRPr="00026852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7614B6">
        <w:rPr>
          <w:rFonts w:asciiTheme="majorBidi" w:hAnsiTheme="majorBidi" w:cstheme="majorBidi"/>
          <w:sz w:val="24"/>
          <w:szCs w:val="24"/>
        </w:rPr>
        <w:t xml:space="preserve"> </w:t>
      </w:r>
      <w:r w:rsidR="007614B6">
        <w:rPr>
          <w:rFonts w:asciiTheme="majorBidi" w:hAnsiTheme="majorBidi" w:cstheme="majorBidi"/>
          <w:sz w:val="24"/>
          <w:szCs w:val="24"/>
        </w:rPr>
        <w:t>M</w:t>
      </w:r>
      <w:r w:rsidR="007614B6" w:rsidRPr="007614B6">
        <w:rPr>
          <w:rFonts w:asciiTheme="majorBidi" w:hAnsiTheme="majorBidi" w:cstheme="majorBidi"/>
          <w:sz w:val="24"/>
          <w:szCs w:val="24"/>
        </w:rPr>
        <w:t xml:space="preserve">alnutrition </w:t>
      </w:r>
      <w:r w:rsidR="007614B6">
        <w:rPr>
          <w:rFonts w:asciiTheme="majorBidi" w:hAnsiTheme="majorBidi" w:cstheme="majorBidi"/>
          <w:sz w:val="24"/>
          <w:szCs w:val="24"/>
        </w:rPr>
        <w:t>is still a common problem in hospital setting</w:t>
      </w:r>
      <w:r w:rsidR="006E5031">
        <w:rPr>
          <w:rFonts w:asciiTheme="majorBidi" w:hAnsiTheme="majorBidi" w:cstheme="majorBidi"/>
          <w:sz w:val="24"/>
          <w:szCs w:val="24"/>
        </w:rPr>
        <w:t>s</w:t>
      </w:r>
      <w:r w:rsidR="007614B6">
        <w:rPr>
          <w:rFonts w:asciiTheme="majorBidi" w:hAnsiTheme="majorBidi" w:cstheme="majorBidi"/>
          <w:sz w:val="24"/>
          <w:szCs w:val="24"/>
        </w:rPr>
        <w:t xml:space="preserve"> with </w:t>
      </w:r>
      <w:r w:rsidR="00FA6B20">
        <w:rPr>
          <w:rFonts w:asciiTheme="majorBidi" w:hAnsiTheme="majorBidi" w:cstheme="majorBidi"/>
          <w:sz w:val="24"/>
          <w:szCs w:val="24"/>
        </w:rPr>
        <w:t>adverse</w:t>
      </w:r>
      <w:r w:rsidR="007614B6">
        <w:rPr>
          <w:rFonts w:asciiTheme="majorBidi" w:hAnsiTheme="majorBidi" w:cstheme="majorBidi"/>
          <w:sz w:val="24"/>
          <w:szCs w:val="24"/>
        </w:rPr>
        <w:t xml:space="preserve"> </w:t>
      </w:r>
      <w:r w:rsidR="006E5031">
        <w:rPr>
          <w:rFonts w:asciiTheme="majorBidi" w:hAnsiTheme="majorBidi" w:cstheme="majorBidi"/>
          <w:sz w:val="24"/>
          <w:szCs w:val="24"/>
        </w:rPr>
        <w:t>impacts on patient functional and</w:t>
      </w:r>
      <w:r w:rsidR="007614B6">
        <w:rPr>
          <w:rFonts w:asciiTheme="majorBidi" w:hAnsiTheme="majorBidi" w:cstheme="majorBidi"/>
          <w:sz w:val="24"/>
          <w:szCs w:val="24"/>
        </w:rPr>
        <w:t xml:space="preserve"> </w:t>
      </w:r>
      <w:r w:rsidR="006E5031">
        <w:rPr>
          <w:rFonts w:asciiTheme="majorBidi" w:hAnsiTheme="majorBidi" w:cstheme="majorBidi"/>
          <w:sz w:val="24"/>
          <w:szCs w:val="24"/>
        </w:rPr>
        <w:t xml:space="preserve">clinical </w:t>
      </w:r>
      <w:r w:rsidR="007614B6">
        <w:rPr>
          <w:rFonts w:asciiTheme="majorBidi" w:hAnsiTheme="majorBidi" w:cstheme="majorBidi"/>
          <w:sz w:val="24"/>
          <w:szCs w:val="24"/>
        </w:rPr>
        <w:t>outcomes</w:t>
      </w:r>
      <w:r w:rsidR="006E5031">
        <w:rPr>
          <w:rFonts w:asciiTheme="majorBidi" w:hAnsiTheme="majorBidi" w:cstheme="majorBidi"/>
          <w:sz w:val="24"/>
          <w:szCs w:val="24"/>
        </w:rPr>
        <w:t xml:space="preserve">. Malnutrition is also associated with increased morbidity, mortality, and </w:t>
      </w:r>
      <w:r w:rsidR="007614B6">
        <w:rPr>
          <w:rFonts w:asciiTheme="majorBidi" w:hAnsiTheme="majorBidi" w:cstheme="majorBidi"/>
          <w:sz w:val="24"/>
          <w:szCs w:val="24"/>
        </w:rPr>
        <w:t xml:space="preserve">costs. </w:t>
      </w:r>
      <w:r w:rsidR="00F32519">
        <w:rPr>
          <w:rFonts w:asciiTheme="majorBidi" w:hAnsiTheme="majorBidi" w:cstheme="majorBidi"/>
          <w:sz w:val="24"/>
          <w:szCs w:val="24"/>
        </w:rPr>
        <w:t>Prevalence of malnutrition often cannot be compared across studies due to the lack of uniform diagnostic criteria. GLIM criteria propose a global scheme for the diagnosis of malnutrition</w:t>
      </w:r>
      <w:r w:rsidR="00516EDC">
        <w:rPr>
          <w:rFonts w:asciiTheme="majorBidi" w:hAnsiTheme="majorBidi" w:cstheme="majorBidi"/>
          <w:sz w:val="24"/>
          <w:szCs w:val="24"/>
        </w:rPr>
        <w:t xml:space="preserve"> that include three phenotypic criteria </w:t>
      </w:r>
      <w:r w:rsidR="00B83E16">
        <w:rPr>
          <w:rFonts w:asciiTheme="majorBidi" w:hAnsiTheme="majorBidi" w:cstheme="majorBidi"/>
          <w:sz w:val="24"/>
          <w:szCs w:val="24"/>
        </w:rPr>
        <w:t xml:space="preserve">(Low BMI, weight loss and reduced muscle mass) </w:t>
      </w:r>
      <w:r w:rsidR="00516EDC">
        <w:rPr>
          <w:rFonts w:asciiTheme="majorBidi" w:hAnsiTheme="majorBidi" w:cstheme="majorBidi"/>
          <w:sz w:val="24"/>
          <w:szCs w:val="24"/>
        </w:rPr>
        <w:t>and two etiologic criteria</w:t>
      </w:r>
      <w:r w:rsidR="00B83E16">
        <w:rPr>
          <w:rFonts w:asciiTheme="majorBidi" w:hAnsiTheme="majorBidi" w:cstheme="majorBidi"/>
          <w:sz w:val="24"/>
          <w:szCs w:val="24"/>
        </w:rPr>
        <w:t xml:space="preserve"> (reduced food intake and inflammation)</w:t>
      </w:r>
      <w:r w:rsidR="00516EDC">
        <w:rPr>
          <w:rFonts w:asciiTheme="majorBidi" w:hAnsiTheme="majorBidi" w:cstheme="majorBidi"/>
          <w:sz w:val="24"/>
          <w:szCs w:val="24"/>
        </w:rPr>
        <w:t xml:space="preserve">. To establish a </w:t>
      </w:r>
      <w:r w:rsidR="00FA6B20">
        <w:rPr>
          <w:rFonts w:asciiTheme="majorBidi" w:hAnsiTheme="majorBidi" w:cstheme="majorBidi"/>
          <w:sz w:val="24"/>
          <w:szCs w:val="24"/>
        </w:rPr>
        <w:t>diagnosis,</w:t>
      </w:r>
      <w:r w:rsidR="00516EDC">
        <w:rPr>
          <w:rFonts w:asciiTheme="majorBidi" w:hAnsiTheme="majorBidi" w:cstheme="majorBidi"/>
          <w:sz w:val="24"/>
          <w:szCs w:val="24"/>
        </w:rPr>
        <w:t xml:space="preserve"> </w:t>
      </w:r>
      <w:r w:rsidR="00FA6B20">
        <w:rPr>
          <w:rFonts w:asciiTheme="majorBidi" w:hAnsiTheme="majorBidi" w:cstheme="majorBidi"/>
          <w:sz w:val="24"/>
          <w:szCs w:val="24"/>
        </w:rPr>
        <w:t xml:space="preserve">it is proposed that at least one phenotypic and one etiologic criterion are identified. This study aims at </w:t>
      </w:r>
      <w:r w:rsidR="00B83E16">
        <w:rPr>
          <w:rFonts w:asciiTheme="majorBidi" w:hAnsiTheme="majorBidi" w:cstheme="majorBidi"/>
          <w:sz w:val="24"/>
          <w:szCs w:val="24"/>
        </w:rPr>
        <w:t xml:space="preserve">identifying </w:t>
      </w:r>
      <w:r w:rsidR="00FA6B20">
        <w:rPr>
          <w:rFonts w:asciiTheme="majorBidi" w:hAnsiTheme="majorBidi" w:cstheme="majorBidi"/>
          <w:sz w:val="24"/>
          <w:szCs w:val="24"/>
        </w:rPr>
        <w:t>maln</w:t>
      </w:r>
      <w:r w:rsidR="00B83E16">
        <w:rPr>
          <w:rFonts w:asciiTheme="majorBidi" w:hAnsiTheme="majorBidi" w:cstheme="majorBidi"/>
          <w:sz w:val="24"/>
          <w:szCs w:val="24"/>
        </w:rPr>
        <w:t>ourished hospitalized patients</w:t>
      </w:r>
      <w:r w:rsidR="00FA6B20">
        <w:rPr>
          <w:rFonts w:asciiTheme="majorBidi" w:hAnsiTheme="majorBidi" w:cstheme="majorBidi"/>
          <w:sz w:val="24"/>
          <w:szCs w:val="24"/>
        </w:rPr>
        <w:t xml:space="preserve"> </w:t>
      </w:r>
      <w:r w:rsidR="0045687A">
        <w:rPr>
          <w:rFonts w:asciiTheme="majorBidi" w:hAnsiTheme="majorBidi" w:cstheme="majorBidi"/>
          <w:sz w:val="24"/>
          <w:szCs w:val="24"/>
        </w:rPr>
        <w:t>using the proposed GLIM criteria</w:t>
      </w:r>
      <w:r w:rsidR="00B83E16">
        <w:rPr>
          <w:rFonts w:asciiTheme="majorBidi" w:hAnsiTheme="majorBidi" w:cstheme="majorBidi"/>
          <w:sz w:val="24"/>
          <w:szCs w:val="24"/>
        </w:rPr>
        <w:t>.</w:t>
      </w:r>
    </w:p>
    <w:p w14:paraId="5FC8980C" w14:textId="3707AF66" w:rsidR="0045687A" w:rsidRPr="007614B6" w:rsidRDefault="00B1346F" w:rsidP="00F021F6">
      <w:pPr>
        <w:rPr>
          <w:rFonts w:asciiTheme="majorBidi" w:hAnsiTheme="majorBidi" w:cstheme="majorBidi"/>
          <w:sz w:val="24"/>
          <w:szCs w:val="24"/>
        </w:rPr>
      </w:pPr>
      <w:r w:rsidRPr="00026852">
        <w:rPr>
          <w:rFonts w:asciiTheme="majorBidi" w:hAnsiTheme="majorBidi" w:cstheme="majorBidi"/>
          <w:b/>
          <w:bCs/>
          <w:sz w:val="24"/>
          <w:szCs w:val="24"/>
        </w:rPr>
        <w:t>Methods</w:t>
      </w:r>
      <w:r w:rsidRPr="00026852">
        <w:rPr>
          <w:rFonts w:asciiTheme="majorBidi" w:hAnsiTheme="majorBidi" w:cstheme="majorBidi"/>
          <w:sz w:val="24"/>
          <w:szCs w:val="24"/>
        </w:rPr>
        <w:t xml:space="preserve">: </w:t>
      </w:r>
      <w:r w:rsidR="0045687A">
        <w:rPr>
          <w:rFonts w:asciiTheme="majorBidi" w:hAnsiTheme="majorBidi" w:cstheme="majorBidi"/>
          <w:sz w:val="24"/>
          <w:szCs w:val="24"/>
        </w:rPr>
        <w:t xml:space="preserve">A cross sectional, multicenter study in the United Arab Emirates aimed at identifying </w:t>
      </w:r>
      <w:r w:rsidR="00B11C20">
        <w:rPr>
          <w:rFonts w:asciiTheme="majorBidi" w:hAnsiTheme="majorBidi" w:cstheme="majorBidi"/>
          <w:sz w:val="24"/>
          <w:szCs w:val="24"/>
        </w:rPr>
        <w:t>malnourished patients</w:t>
      </w:r>
      <w:r w:rsidR="0045687A">
        <w:rPr>
          <w:rFonts w:asciiTheme="majorBidi" w:hAnsiTheme="majorBidi" w:cstheme="majorBidi"/>
          <w:sz w:val="24"/>
          <w:szCs w:val="24"/>
        </w:rPr>
        <w:t xml:space="preserve"> using the proposed GLIM criteria. A total of 371 patients were assessed in two hospitals in the UAE. Patients were assessed for the identification of 2 phenotypic (Low BMI and weight loss) and 2 etiologic criteria (reduced food intake and inflammation). </w:t>
      </w:r>
      <w:r w:rsidR="00F021F6">
        <w:rPr>
          <w:rFonts w:asciiTheme="majorBidi" w:hAnsiTheme="majorBidi" w:cstheme="majorBidi"/>
          <w:sz w:val="24"/>
          <w:szCs w:val="24"/>
        </w:rPr>
        <w:t>G</w:t>
      </w:r>
      <w:r w:rsidR="0045687A">
        <w:rPr>
          <w:rFonts w:asciiTheme="majorBidi" w:hAnsiTheme="majorBidi" w:cstheme="majorBidi"/>
          <w:sz w:val="24"/>
          <w:szCs w:val="24"/>
        </w:rPr>
        <w:t xml:space="preserve">iven that reduced muscle mass was not assessed due to limited resources, handgrip strength was measured and used as supportive </w:t>
      </w:r>
      <w:r w:rsidR="00B11C20">
        <w:rPr>
          <w:rFonts w:asciiTheme="majorBidi" w:hAnsiTheme="majorBidi" w:cstheme="majorBidi"/>
          <w:sz w:val="24"/>
          <w:szCs w:val="24"/>
        </w:rPr>
        <w:t>measure</w:t>
      </w:r>
      <w:r w:rsidR="0045687A">
        <w:rPr>
          <w:rFonts w:asciiTheme="majorBidi" w:hAnsiTheme="majorBidi" w:cstheme="majorBidi"/>
          <w:sz w:val="24"/>
          <w:szCs w:val="24"/>
        </w:rPr>
        <w:t>.</w:t>
      </w:r>
      <w:r w:rsidR="00F021F6">
        <w:rPr>
          <w:rFonts w:asciiTheme="majorBidi" w:hAnsiTheme="majorBidi" w:cstheme="majorBidi"/>
          <w:sz w:val="24"/>
          <w:szCs w:val="24"/>
        </w:rPr>
        <w:t xml:space="preserve"> CRP was also considered </w:t>
      </w:r>
      <w:r w:rsidR="00B11C20">
        <w:rPr>
          <w:rFonts w:asciiTheme="majorBidi" w:hAnsiTheme="majorBidi" w:cstheme="majorBidi"/>
          <w:sz w:val="24"/>
          <w:szCs w:val="24"/>
        </w:rPr>
        <w:t xml:space="preserve">as a </w:t>
      </w:r>
      <w:r w:rsidR="00F021F6">
        <w:rPr>
          <w:rFonts w:asciiTheme="majorBidi" w:hAnsiTheme="majorBidi" w:cstheme="majorBidi"/>
          <w:sz w:val="24"/>
          <w:szCs w:val="24"/>
        </w:rPr>
        <w:t>supportive</w:t>
      </w:r>
      <w:r w:rsidR="00B11C20">
        <w:rPr>
          <w:rFonts w:asciiTheme="majorBidi" w:hAnsiTheme="majorBidi" w:cstheme="majorBidi"/>
          <w:sz w:val="24"/>
          <w:szCs w:val="24"/>
        </w:rPr>
        <w:t xml:space="preserve"> measure</w:t>
      </w:r>
      <w:r w:rsidR="00F021F6">
        <w:rPr>
          <w:rFonts w:asciiTheme="majorBidi" w:hAnsiTheme="majorBidi" w:cstheme="majorBidi"/>
          <w:sz w:val="24"/>
          <w:szCs w:val="24"/>
        </w:rPr>
        <w:t xml:space="preserve"> for the identification of inflammation.</w:t>
      </w:r>
      <w:r w:rsidR="0045687A">
        <w:rPr>
          <w:rFonts w:asciiTheme="majorBidi" w:hAnsiTheme="majorBidi" w:cstheme="majorBidi"/>
          <w:sz w:val="24"/>
          <w:szCs w:val="24"/>
        </w:rPr>
        <w:t xml:space="preserve"> Having at least one phenotypic and one etiologic criterion was used to identify the diagnosis of malnutrition.</w:t>
      </w:r>
    </w:p>
    <w:p w14:paraId="41C5FCB9" w14:textId="253840D7" w:rsidR="00B11C20" w:rsidRPr="00B11C20" w:rsidRDefault="00B1346F" w:rsidP="00B11C20">
      <w:pPr>
        <w:rPr>
          <w:rFonts w:asciiTheme="majorBidi" w:hAnsiTheme="majorBidi" w:cstheme="majorBidi"/>
          <w:sz w:val="24"/>
          <w:szCs w:val="24"/>
        </w:rPr>
      </w:pPr>
      <w:r w:rsidRPr="00026852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Pr="00026852">
        <w:rPr>
          <w:rFonts w:asciiTheme="majorBidi" w:hAnsiTheme="majorBidi" w:cstheme="majorBidi"/>
          <w:sz w:val="24"/>
          <w:szCs w:val="24"/>
        </w:rPr>
        <w:t xml:space="preserve">: </w:t>
      </w:r>
      <w:r w:rsidR="00F021F6" w:rsidRPr="00F021F6">
        <w:rPr>
          <w:rFonts w:asciiTheme="majorBidi" w:hAnsiTheme="majorBidi" w:cstheme="majorBidi"/>
          <w:sz w:val="24"/>
          <w:szCs w:val="24"/>
        </w:rPr>
        <w:t xml:space="preserve">A total of 371 patients were equally recruited </w:t>
      </w:r>
      <w:r w:rsidR="00F021F6">
        <w:rPr>
          <w:rFonts w:asciiTheme="majorBidi" w:hAnsiTheme="majorBidi" w:cstheme="majorBidi"/>
          <w:sz w:val="24"/>
          <w:szCs w:val="24"/>
        </w:rPr>
        <w:t xml:space="preserve">and included </w:t>
      </w:r>
      <w:r w:rsidR="00F021F6" w:rsidRPr="00F021F6">
        <w:rPr>
          <w:rFonts w:asciiTheme="majorBidi" w:hAnsiTheme="majorBidi" w:cstheme="majorBidi"/>
          <w:sz w:val="24"/>
          <w:szCs w:val="24"/>
        </w:rPr>
        <w:t xml:space="preserve">from two hospital sites, </w:t>
      </w:r>
      <w:r w:rsidR="00F021F6">
        <w:rPr>
          <w:rFonts w:asciiTheme="majorBidi" w:hAnsiTheme="majorBidi" w:cstheme="majorBidi"/>
          <w:sz w:val="24"/>
          <w:szCs w:val="24"/>
        </w:rPr>
        <w:t xml:space="preserve">Al </w:t>
      </w:r>
      <w:r w:rsidR="00F021F6" w:rsidRPr="00F021F6">
        <w:rPr>
          <w:rFonts w:asciiTheme="majorBidi" w:hAnsiTheme="majorBidi" w:cstheme="majorBidi"/>
          <w:sz w:val="24"/>
          <w:szCs w:val="24"/>
        </w:rPr>
        <w:t>Ra</w:t>
      </w:r>
      <w:r w:rsidR="00F021F6">
        <w:rPr>
          <w:rFonts w:asciiTheme="majorBidi" w:hAnsiTheme="majorBidi" w:cstheme="majorBidi"/>
          <w:sz w:val="24"/>
          <w:szCs w:val="24"/>
        </w:rPr>
        <w:t>s</w:t>
      </w:r>
      <w:r w:rsidR="00F021F6" w:rsidRPr="00F021F6">
        <w:rPr>
          <w:rFonts w:asciiTheme="majorBidi" w:hAnsiTheme="majorBidi" w:cstheme="majorBidi"/>
          <w:sz w:val="24"/>
          <w:szCs w:val="24"/>
        </w:rPr>
        <w:t>hid</w:t>
      </w:r>
      <w:r w:rsidR="00F021F6">
        <w:rPr>
          <w:rFonts w:asciiTheme="majorBidi" w:hAnsiTheme="majorBidi" w:cstheme="majorBidi"/>
          <w:sz w:val="24"/>
          <w:szCs w:val="24"/>
        </w:rPr>
        <w:t>i (Dubai)</w:t>
      </w:r>
      <w:r w:rsidR="00F021F6" w:rsidRPr="00F021F6">
        <w:rPr>
          <w:rFonts w:asciiTheme="majorBidi" w:hAnsiTheme="majorBidi" w:cstheme="majorBidi"/>
          <w:sz w:val="24"/>
          <w:szCs w:val="24"/>
        </w:rPr>
        <w:t xml:space="preserve"> and </w:t>
      </w:r>
      <w:r w:rsidR="00F021F6">
        <w:rPr>
          <w:rFonts w:asciiTheme="majorBidi" w:hAnsiTheme="majorBidi" w:cstheme="majorBidi"/>
          <w:sz w:val="24"/>
          <w:szCs w:val="24"/>
        </w:rPr>
        <w:t xml:space="preserve">Al </w:t>
      </w:r>
      <w:r w:rsidR="00F021F6" w:rsidRPr="00F021F6">
        <w:rPr>
          <w:rFonts w:asciiTheme="majorBidi" w:hAnsiTheme="majorBidi" w:cstheme="majorBidi"/>
          <w:sz w:val="24"/>
          <w:szCs w:val="24"/>
        </w:rPr>
        <w:t xml:space="preserve">Qassimi </w:t>
      </w:r>
      <w:r w:rsidR="00F021F6">
        <w:rPr>
          <w:rFonts w:asciiTheme="majorBidi" w:hAnsiTheme="majorBidi" w:cstheme="majorBidi"/>
          <w:sz w:val="24"/>
          <w:szCs w:val="24"/>
        </w:rPr>
        <w:t xml:space="preserve">(Sharjah) </w:t>
      </w:r>
      <w:r w:rsidR="00F021F6" w:rsidRPr="00F021F6">
        <w:rPr>
          <w:rFonts w:asciiTheme="majorBidi" w:hAnsiTheme="majorBidi" w:cstheme="majorBidi"/>
          <w:sz w:val="24"/>
          <w:szCs w:val="24"/>
        </w:rPr>
        <w:t>(50.94% vs. 49.06%</w:t>
      </w:r>
      <w:r w:rsidR="00F021F6">
        <w:rPr>
          <w:rFonts w:asciiTheme="majorBidi" w:hAnsiTheme="majorBidi" w:cstheme="majorBidi"/>
          <w:sz w:val="24"/>
          <w:szCs w:val="24"/>
        </w:rPr>
        <w:t xml:space="preserve"> respectively</w:t>
      </w:r>
      <w:r w:rsidR="00F021F6" w:rsidRPr="00F021F6">
        <w:rPr>
          <w:rFonts w:asciiTheme="majorBidi" w:hAnsiTheme="majorBidi" w:cstheme="majorBidi"/>
          <w:sz w:val="24"/>
          <w:szCs w:val="24"/>
        </w:rPr>
        <w:t xml:space="preserve">). The mean age of the participants was 50.85 (SD = 16.55). A total of 103 patients out of the 371 (27.76%) were diagnosed as malnourished according to GLIM criteria. Among those that did not fit the diagnosis of malnutrition, 67.81% (99/146) </w:t>
      </w:r>
      <w:r w:rsidR="00324DAE">
        <w:rPr>
          <w:rFonts w:asciiTheme="majorBidi" w:hAnsiTheme="majorBidi" w:cstheme="majorBidi"/>
          <w:sz w:val="24"/>
          <w:szCs w:val="24"/>
        </w:rPr>
        <w:t xml:space="preserve">of females </w:t>
      </w:r>
      <w:r w:rsidR="00F021F6" w:rsidRPr="00F021F6">
        <w:rPr>
          <w:rFonts w:asciiTheme="majorBidi" w:hAnsiTheme="majorBidi" w:cstheme="majorBidi"/>
          <w:sz w:val="24"/>
          <w:szCs w:val="24"/>
        </w:rPr>
        <w:t>had handgrip strength values that were</w:t>
      </w:r>
      <w:r w:rsidR="00324DAE">
        <w:rPr>
          <w:rFonts w:asciiTheme="majorBidi" w:hAnsiTheme="majorBidi" w:cstheme="majorBidi"/>
          <w:sz w:val="24"/>
          <w:szCs w:val="24"/>
        </w:rPr>
        <w:t xml:space="preserve"> </w:t>
      </w:r>
      <w:r w:rsidR="00F021F6" w:rsidRPr="00F021F6">
        <w:rPr>
          <w:rFonts w:asciiTheme="majorBidi" w:hAnsiTheme="majorBidi" w:cstheme="majorBidi"/>
          <w:sz w:val="24"/>
          <w:szCs w:val="24"/>
        </w:rPr>
        <w:t xml:space="preserve">≤18.5 kg. </w:t>
      </w:r>
      <w:r w:rsidR="00324DAE">
        <w:rPr>
          <w:rFonts w:ascii="Times New Roman" w:hAnsi="Times New Roman" w:cs="Times New Roman"/>
        </w:rPr>
        <w:t>As for males, the mean handgrip strength was 27.84 kg (SD= 12.25) with 57.50% (69/120) having values that were ≤ 30 kg</w:t>
      </w:r>
      <w:r w:rsidR="00324DAE">
        <w:rPr>
          <w:rFonts w:ascii="Times New Roman" w:hAnsi="Times New Roman" w:cs="Times New Roman"/>
        </w:rPr>
        <w:t xml:space="preserve">. </w:t>
      </w:r>
      <w:r w:rsidR="00F021F6" w:rsidRPr="00F021F6">
        <w:rPr>
          <w:rFonts w:asciiTheme="majorBidi" w:hAnsiTheme="majorBidi" w:cstheme="majorBidi"/>
          <w:sz w:val="24"/>
          <w:szCs w:val="24"/>
        </w:rPr>
        <w:t xml:space="preserve">Among those patients, 68.42% were positive for the presence of disease (65/95) and 14.74% (14/95) </w:t>
      </w:r>
      <w:bookmarkStart w:id="0" w:name="_GoBack"/>
      <w:bookmarkEnd w:id="0"/>
      <w:r w:rsidR="00F021F6" w:rsidRPr="00F021F6">
        <w:rPr>
          <w:rFonts w:asciiTheme="majorBidi" w:hAnsiTheme="majorBidi" w:cstheme="majorBidi"/>
          <w:sz w:val="24"/>
          <w:szCs w:val="24"/>
        </w:rPr>
        <w:t>had both</w:t>
      </w:r>
      <w:r w:rsidR="00F021F6">
        <w:rPr>
          <w:rFonts w:asciiTheme="majorBidi" w:hAnsiTheme="majorBidi" w:cstheme="majorBidi"/>
          <w:sz w:val="24"/>
          <w:szCs w:val="24"/>
        </w:rPr>
        <w:t>.</w:t>
      </w:r>
      <w:r w:rsidR="00F021F6" w:rsidRPr="00F021F6">
        <w:t xml:space="preserve"> </w:t>
      </w:r>
      <w:r w:rsidR="00F021F6" w:rsidRPr="00F021F6">
        <w:rPr>
          <w:rFonts w:asciiTheme="majorBidi" w:hAnsiTheme="majorBidi" w:cstheme="majorBidi"/>
          <w:sz w:val="24"/>
          <w:szCs w:val="24"/>
        </w:rPr>
        <w:t>There was no significant correlation between the low handgrip strength and BMI in both genders.</w:t>
      </w:r>
      <w:r w:rsidR="00B11C20" w:rsidRPr="00B11C20">
        <w:rPr>
          <w:rFonts w:asciiTheme="majorBidi" w:hAnsiTheme="majorBidi" w:cstheme="majorBidi"/>
          <w:sz w:val="24"/>
          <w:szCs w:val="24"/>
        </w:rPr>
        <w:t xml:space="preserve"> However, there was a significantly negative correlation between handgrip strength and CRP (rho/ρ = -0.14, p = 0.0294)</w:t>
      </w:r>
      <w:r w:rsidR="00B11C20">
        <w:rPr>
          <w:rFonts w:asciiTheme="majorBidi" w:hAnsiTheme="majorBidi" w:cstheme="majorBidi"/>
          <w:sz w:val="24"/>
          <w:szCs w:val="24"/>
        </w:rPr>
        <w:t>.</w:t>
      </w:r>
    </w:p>
    <w:p w14:paraId="531577A9" w14:textId="6016757B" w:rsidR="00B1346F" w:rsidRPr="00026852" w:rsidRDefault="00B1346F" w:rsidP="000B2792">
      <w:pPr>
        <w:rPr>
          <w:rFonts w:asciiTheme="majorBidi" w:hAnsiTheme="majorBidi" w:cstheme="majorBidi"/>
          <w:sz w:val="24"/>
          <w:szCs w:val="24"/>
        </w:rPr>
      </w:pPr>
      <w:r w:rsidRPr="00026852">
        <w:rPr>
          <w:rFonts w:asciiTheme="majorBidi" w:hAnsiTheme="majorBidi" w:cstheme="majorBidi"/>
          <w:b/>
          <w:bCs/>
          <w:sz w:val="24"/>
          <w:szCs w:val="24"/>
        </w:rPr>
        <w:t>Conclusions and Implications</w:t>
      </w:r>
      <w:r w:rsidRPr="00026852">
        <w:rPr>
          <w:rFonts w:asciiTheme="majorBidi" w:hAnsiTheme="majorBidi" w:cstheme="majorBidi"/>
          <w:sz w:val="24"/>
          <w:szCs w:val="24"/>
        </w:rPr>
        <w:t xml:space="preserve">: </w:t>
      </w:r>
      <w:r w:rsidR="00B11C20">
        <w:rPr>
          <w:rFonts w:asciiTheme="majorBidi" w:hAnsiTheme="majorBidi" w:cstheme="majorBidi"/>
          <w:sz w:val="24"/>
          <w:szCs w:val="24"/>
        </w:rPr>
        <w:t xml:space="preserve">A total of 27.76% of the sample was identified to have </w:t>
      </w:r>
      <w:r w:rsidR="00415561">
        <w:rPr>
          <w:rFonts w:asciiTheme="majorBidi" w:hAnsiTheme="majorBidi" w:cstheme="majorBidi"/>
          <w:sz w:val="24"/>
          <w:szCs w:val="24"/>
        </w:rPr>
        <w:t xml:space="preserve">a diagnosis of malnutrition using GLIM criteria. </w:t>
      </w:r>
      <w:r w:rsidR="002B10A9">
        <w:rPr>
          <w:rFonts w:asciiTheme="majorBidi" w:hAnsiTheme="majorBidi" w:cstheme="majorBidi"/>
          <w:sz w:val="24"/>
          <w:szCs w:val="24"/>
        </w:rPr>
        <w:t>In clinical settings with limited resources, h</w:t>
      </w:r>
      <w:r w:rsidR="00415561">
        <w:rPr>
          <w:rFonts w:asciiTheme="majorBidi" w:hAnsiTheme="majorBidi" w:cstheme="majorBidi"/>
          <w:sz w:val="24"/>
          <w:szCs w:val="24"/>
        </w:rPr>
        <w:t>andgrip strength can be considered a useful tool to identify</w:t>
      </w:r>
      <w:r w:rsidR="002B10A9">
        <w:rPr>
          <w:rFonts w:asciiTheme="majorBidi" w:hAnsiTheme="majorBidi" w:cstheme="majorBidi"/>
          <w:sz w:val="24"/>
          <w:szCs w:val="24"/>
        </w:rPr>
        <w:t xml:space="preserve"> malnourished </w:t>
      </w:r>
      <w:r w:rsidR="00415561">
        <w:rPr>
          <w:rFonts w:asciiTheme="majorBidi" w:hAnsiTheme="majorBidi" w:cstheme="majorBidi"/>
          <w:sz w:val="24"/>
          <w:szCs w:val="24"/>
        </w:rPr>
        <w:t>patien</w:t>
      </w:r>
      <w:r w:rsidR="002B10A9">
        <w:rPr>
          <w:rFonts w:asciiTheme="majorBidi" w:hAnsiTheme="majorBidi" w:cstheme="majorBidi"/>
          <w:sz w:val="24"/>
          <w:szCs w:val="24"/>
        </w:rPr>
        <w:t xml:space="preserve">ts irrespective of BMI. </w:t>
      </w:r>
    </w:p>
    <w:p w14:paraId="4B4DB45E" w14:textId="77777777" w:rsidR="001F478A" w:rsidRDefault="001F478A"/>
    <w:sectPr w:rsidR="001F4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NLQ0NjazMDEwNDVT0lEKTi0uzszPAykwqQUA6Kk8lSwAAAA="/>
  </w:docVars>
  <w:rsids>
    <w:rsidRoot w:val="00B1346F"/>
    <w:rsid w:val="000B2792"/>
    <w:rsid w:val="001F478A"/>
    <w:rsid w:val="002B10A9"/>
    <w:rsid w:val="00324DAE"/>
    <w:rsid w:val="00415561"/>
    <w:rsid w:val="0045687A"/>
    <w:rsid w:val="00516EDC"/>
    <w:rsid w:val="006E5031"/>
    <w:rsid w:val="00747ABE"/>
    <w:rsid w:val="007614B6"/>
    <w:rsid w:val="00B11C20"/>
    <w:rsid w:val="00B1346F"/>
    <w:rsid w:val="00B83E16"/>
    <w:rsid w:val="00D70D40"/>
    <w:rsid w:val="00F021F6"/>
    <w:rsid w:val="00F0674A"/>
    <w:rsid w:val="00F16E48"/>
    <w:rsid w:val="00F32519"/>
    <w:rsid w:val="00FA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93C8"/>
  <w15:chartTrackingRefBased/>
  <w15:docId w15:val="{800AD9A1-406A-4B18-ADBE-83C6B5E8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13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46F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rsid w:val="00F0674A"/>
  </w:style>
  <w:style w:type="character" w:styleId="Hyperlink">
    <w:name w:val="Hyperlink"/>
    <w:basedOn w:val="DefaultParagraphFont"/>
    <w:uiPriority w:val="99"/>
    <w:unhideWhenUsed/>
    <w:rsid w:val="00F067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6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sette.elkhoury@lau.edu.lb" TargetMode="External"/><Relationship Id="rId4" Type="http://schemas.openxmlformats.org/officeDocument/2006/relationships/hyperlink" Target="mailto:mirey.karavetian@zu.ac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Cosette Fakih</dc:creator>
  <cp:keywords/>
  <dc:description/>
  <cp:lastModifiedBy>Cosette Fakih</cp:lastModifiedBy>
  <cp:revision>6</cp:revision>
  <dcterms:created xsi:type="dcterms:W3CDTF">2019-10-23T09:01:00Z</dcterms:created>
  <dcterms:modified xsi:type="dcterms:W3CDTF">2019-10-23T10:50:00Z</dcterms:modified>
</cp:coreProperties>
</file>