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FA7" w:rsidRPr="00482FA7" w:rsidRDefault="00482FA7" w:rsidP="00482FA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482FA7">
        <w:rPr>
          <w:rFonts w:asciiTheme="majorBidi" w:hAnsiTheme="majorBidi" w:cstheme="majorBidi"/>
          <w:sz w:val="32"/>
          <w:szCs w:val="32"/>
        </w:rPr>
        <w:t>Iron metabolism in type 1 diabetes: relation to insulin resistance</w:t>
      </w:r>
    </w:p>
    <w:p w:rsidR="00C41FE6" w:rsidRDefault="00482FA7" w:rsidP="00482FA7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 w:rsidRPr="00C41FE6">
        <w:rPr>
          <w:rFonts w:asciiTheme="majorBidi" w:hAnsiTheme="majorBidi" w:cstheme="majorBidi"/>
          <w:sz w:val="20"/>
          <w:szCs w:val="20"/>
        </w:rPr>
        <w:t>Iman Z. Ahmed</w:t>
      </w:r>
      <w:r w:rsidRPr="00482FA7">
        <w:rPr>
          <w:rFonts w:asciiTheme="majorBidi" w:hAnsiTheme="majorBidi" w:cstheme="majorBidi"/>
          <w:sz w:val="24"/>
          <w:szCs w:val="24"/>
        </w:rPr>
        <w:t xml:space="preserve">, </w:t>
      </w:r>
      <w:r w:rsidR="00C41FE6">
        <w:rPr>
          <w:rFonts w:ascii="TimesNewRomanPS-ItalicMT" w:hAnsi="TimesNewRomanPS-ItalicMT" w:cs="TimesNewRomanPS-ItalicMT"/>
          <w:i/>
          <w:iCs/>
          <w:sz w:val="20"/>
          <w:szCs w:val="20"/>
        </w:rPr>
        <w:t>Internal Medicine - Endocrinology and Metabolism unit, Ain-Shams University, Egypt</w:t>
      </w:r>
    </w:p>
    <w:p w:rsidR="00C41FE6" w:rsidRDefault="00482FA7" w:rsidP="00482FA7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 w:rsidRPr="00C41FE6">
        <w:rPr>
          <w:rFonts w:asciiTheme="majorBidi" w:hAnsiTheme="majorBidi" w:cstheme="majorBidi"/>
          <w:sz w:val="20"/>
          <w:szCs w:val="20"/>
        </w:rPr>
        <w:t>Yara M. Eid</w:t>
      </w:r>
      <w:r w:rsidRPr="00482FA7">
        <w:rPr>
          <w:rFonts w:asciiTheme="majorBidi" w:hAnsiTheme="majorBidi" w:cstheme="majorBidi"/>
          <w:sz w:val="24"/>
          <w:szCs w:val="24"/>
        </w:rPr>
        <w:t xml:space="preserve">, </w:t>
      </w:r>
      <w:r w:rsidR="00C41FE6">
        <w:rPr>
          <w:rFonts w:ascii="TimesNewRomanPS-ItalicMT" w:hAnsi="TimesNewRomanPS-ItalicMT" w:cs="TimesNewRomanPS-ItalicMT"/>
          <w:i/>
          <w:iCs/>
          <w:sz w:val="20"/>
          <w:szCs w:val="20"/>
        </w:rPr>
        <w:t>Internal Medicine - Endocrinology and Metabolism unit, Ain-Shams University, Egypt</w:t>
      </w:r>
    </w:p>
    <w:p w:rsidR="00482FA7" w:rsidRDefault="00482FA7" w:rsidP="00482FA7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proofErr w:type="spellStart"/>
      <w:r w:rsidRPr="00C41FE6">
        <w:rPr>
          <w:rFonts w:asciiTheme="majorBidi" w:hAnsiTheme="majorBidi" w:cstheme="majorBidi"/>
          <w:sz w:val="20"/>
          <w:szCs w:val="20"/>
        </w:rPr>
        <w:t>Rasha</w:t>
      </w:r>
      <w:proofErr w:type="spellEnd"/>
      <w:r w:rsidRPr="00C41FE6">
        <w:rPr>
          <w:rFonts w:asciiTheme="majorBidi" w:hAnsiTheme="majorBidi" w:cstheme="majorBidi"/>
          <w:sz w:val="20"/>
          <w:szCs w:val="20"/>
        </w:rPr>
        <w:t xml:space="preserve"> A. El-</w:t>
      </w:r>
      <w:proofErr w:type="gramStart"/>
      <w:r w:rsidRPr="00C41FE6">
        <w:rPr>
          <w:rFonts w:asciiTheme="majorBidi" w:hAnsiTheme="majorBidi" w:cstheme="majorBidi"/>
          <w:sz w:val="20"/>
          <w:szCs w:val="20"/>
        </w:rPr>
        <w:t>Gamal</w:t>
      </w:r>
      <w:r w:rsidR="00C41FE6" w:rsidRPr="00C41FE6">
        <w:rPr>
          <w:rFonts w:asciiTheme="majorBidi" w:hAnsiTheme="majorBidi" w:cstheme="majorBidi"/>
          <w:sz w:val="20"/>
          <w:szCs w:val="20"/>
        </w:rPr>
        <w:t>,</w:t>
      </w:r>
      <w:r w:rsidR="00C41FE6">
        <w:rPr>
          <w:rFonts w:asciiTheme="majorBidi" w:hAnsiTheme="majorBidi" w:cstheme="majorBidi"/>
          <w:sz w:val="24"/>
          <w:szCs w:val="24"/>
        </w:rPr>
        <w:t xml:space="preserve"> </w:t>
      </w:r>
      <w:r w:rsidR="00C41FE6" w:rsidRPr="00C41FE6">
        <w:rPr>
          <w:rFonts w:asciiTheme="majorBidi" w:hAnsiTheme="majorBidi" w:cstheme="majorBidi"/>
          <w:i/>
          <w:iCs/>
        </w:rPr>
        <w:t xml:space="preserve"> </w:t>
      </w:r>
      <w:r w:rsidR="00C41FE6" w:rsidRPr="00C41FE6">
        <w:rPr>
          <w:rFonts w:ascii="TimesNewRomanPS-ItalicMT" w:hAnsi="TimesNewRomanPS-ItalicMT" w:cs="TimesNewRomanPS-ItalicMT"/>
          <w:i/>
          <w:iCs/>
          <w:sz w:val="20"/>
          <w:szCs w:val="20"/>
        </w:rPr>
        <w:t>clinical</w:t>
      </w:r>
      <w:proofErr w:type="gramEnd"/>
      <w:r w:rsidR="00C41FE6" w:rsidRPr="00C41FE6"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 Pathology</w:t>
      </w:r>
      <w:r w:rsidR="00C41FE6"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 </w:t>
      </w:r>
      <w:proofErr w:type="spellStart"/>
      <w:r w:rsidR="00C41FE6">
        <w:rPr>
          <w:rFonts w:ascii="TimesNewRomanPS-ItalicMT" w:hAnsi="TimesNewRomanPS-ItalicMT" w:cs="TimesNewRomanPS-ItalicMT"/>
          <w:i/>
          <w:iCs/>
          <w:sz w:val="20"/>
          <w:szCs w:val="20"/>
        </w:rPr>
        <w:t>deparment</w:t>
      </w:r>
      <w:proofErr w:type="spellEnd"/>
      <w:r w:rsidR="00C41FE6" w:rsidRPr="00C41FE6">
        <w:rPr>
          <w:rFonts w:ascii="TimesNewRomanPS-ItalicMT" w:hAnsi="TimesNewRomanPS-ItalicMT" w:cs="TimesNewRomanPS-ItalicMT"/>
          <w:i/>
          <w:iCs/>
          <w:sz w:val="20"/>
          <w:szCs w:val="20"/>
        </w:rPr>
        <w:t>, Ain-Shams University, Egypt</w:t>
      </w:r>
    </w:p>
    <w:p w:rsidR="00C41FE6" w:rsidRPr="00482FA7" w:rsidRDefault="00C41FE6" w:rsidP="00482FA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C41FE6" w:rsidRDefault="00C41FE6" w:rsidP="00C41F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  <w:sectPr w:rsidR="00C41FE6" w:rsidSect="00482FA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="00C41FE6" w:rsidRPr="00C41FE6">
        <w:rPr>
          <w:rFonts w:asciiTheme="majorBidi" w:hAnsiTheme="majorBidi" w:cstheme="majorBidi"/>
          <w:sz w:val="24"/>
          <w:szCs w:val="24"/>
        </w:rPr>
        <w:t xml:space="preserve">: </w:t>
      </w:r>
      <w:r w:rsidRPr="00C41FE6">
        <w:rPr>
          <w:rFonts w:asciiTheme="majorBidi" w:hAnsiTheme="majorBidi" w:cstheme="majorBidi"/>
          <w:sz w:val="24"/>
          <w:szCs w:val="24"/>
        </w:rPr>
        <w:t>An evidence-based association was established between iron metabolism and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insulin-resistant (IR) conditions, among which was type 2 diabetes. Previous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studies have reported elevated hepcidin and ferritin levels in type 2 diabetics.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Aim</w:t>
      </w:r>
      <w:r w:rsidR="00C41FE6" w:rsidRPr="00C41FE6">
        <w:rPr>
          <w:rFonts w:asciiTheme="majorBidi" w:hAnsiTheme="majorBidi" w:cstheme="majorBidi"/>
          <w:sz w:val="24"/>
          <w:szCs w:val="24"/>
        </w:rPr>
        <w:t>:</w:t>
      </w:r>
      <w:r w:rsidRPr="00C41FE6">
        <w:rPr>
          <w:rFonts w:asciiTheme="majorBidi" w:hAnsiTheme="majorBidi" w:cstheme="majorBidi"/>
          <w:sz w:val="24"/>
          <w:szCs w:val="24"/>
        </w:rPr>
        <w:t xml:space="preserve"> to investigate the possible relationship between hepcidin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or ferritin and the development of IR in type 1 diabetes mellitus (T1DM).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b/>
          <w:bCs/>
          <w:sz w:val="24"/>
          <w:szCs w:val="24"/>
        </w:rPr>
        <w:t>Methodology</w:t>
      </w:r>
      <w:r w:rsidR="00C41FE6" w:rsidRPr="00C41FE6">
        <w:rPr>
          <w:rFonts w:asciiTheme="majorBidi" w:hAnsiTheme="majorBidi" w:cstheme="majorBidi"/>
          <w:sz w:val="24"/>
          <w:szCs w:val="24"/>
        </w:rPr>
        <w:t xml:space="preserve">: </w:t>
      </w:r>
      <w:r w:rsidRPr="00C41FE6">
        <w:rPr>
          <w:rFonts w:asciiTheme="majorBidi" w:hAnsiTheme="majorBidi" w:cstheme="majorBidi"/>
          <w:sz w:val="24"/>
          <w:szCs w:val="24"/>
        </w:rPr>
        <w:t>The study included 60male participants who</w:t>
      </w:r>
      <w:r w:rsidR="00C41FE6" w:rsidRPr="00C41FE6">
        <w:rPr>
          <w:rFonts w:asciiTheme="majorBidi" w:hAnsiTheme="majorBidi" w:cstheme="majorBidi"/>
          <w:sz w:val="24"/>
          <w:szCs w:val="24"/>
        </w:rPr>
        <w:t xml:space="preserve"> </w:t>
      </w:r>
      <w:r w:rsidRPr="00C41FE6">
        <w:rPr>
          <w:rFonts w:asciiTheme="majorBidi" w:hAnsiTheme="majorBidi" w:cstheme="majorBidi"/>
          <w:sz w:val="24"/>
          <w:szCs w:val="24"/>
        </w:rPr>
        <w:t>were categorized as follows: 20 patients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having T1DMwith IR (group 1), 20 patients having TIDM</w:t>
      </w:r>
      <w:r w:rsidR="00C41FE6" w:rsidRPr="00C41FE6">
        <w:rPr>
          <w:rFonts w:asciiTheme="majorBidi" w:hAnsiTheme="majorBidi" w:cstheme="majorBidi"/>
          <w:sz w:val="24"/>
          <w:szCs w:val="24"/>
        </w:rPr>
        <w:t xml:space="preserve"> </w:t>
      </w:r>
      <w:r w:rsidRPr="00C41FE6">
        <w:rPr>
          <w:rFonts w:asciiTheme="majorBidi" w:hAnsiTheme="majorBidi" w:cstheme="majorBidi"/>
          <w:sz w:val="24"/>
          <w:szCs w:val="24"/>
        </w:rPr>
        <w:t>without IR (group 2), and 20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age-matched and BMI-matched healthy individuals. IR was evaluated using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estimated glucose disposal rate (</w:t>
      </w:r>
      <w:proofErr w:type="spellStart"/>
      <w:r w:rsidRPr="00C41FE6">
        <w:rPr>
          <w:rFonts w:asciiTheme="majorBidi" w:hAnsiTheme="majorBidi" w:cstheme="majorBidi"/>
          <w:sz w:val="24"/>
          <w:szCs w:val="24"/>
        </w:rPr>
        <w:t>eGDR</w:t>
      </w:r>
      <w:proofErr w:type="spellEnd"/>
      <w:r w:rsidRPr="00C41FE6">
        <w:rPr>
          <w:rFonts w:asciiTheme="majorBidi" w:hAnsiTheme="majorBidi" w:cstheme="majorBidi"/>
          <w:sz w:val="24"/>
          <w:szCs w:val="24"/>
        </w:rPr>
        <w:t>) and insulin (U/day). All patients were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tested for fasting blood sugar, postprandial blood sugar, hemoglobin A1c, lipid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profile, high-sensitivity C-reactive protein, C-peptide, ferritin, and hepcidin.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="00C41FE6" w:rsidRPr="00C41FE6">
        <w:rPr>
          <w:rFonts w:asciiTheme="majorBidi" w:hAnsiTheme="majorBidi" w:cstheme="majorBidi"/>
          <w:sz w:val="24"/>
          <w:szCs w:val="24"/>
        </w:rPr>
        <w:t xml:space="preserve">: </w:t>
      </w:r>
      <w:r w:rsidRPr="00C41FE6">
        <w:rPr>
          <w:rFonts w:asciiTheme="majorBidi" w:hAnsiTheme="majorBidi" w:cstheme="majorBidi"/>
          <w:sz w:val="24"/>
          <w:szCs w:val="24"/>
        </w:rPr>
        <w:t>Serum hepcidin showed a nonsignificant difference between groups 1 and 2, and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was not correlated to any IR-related variables. Serum ferritin was significantly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higher in group 1, positively correlated to BMI, waist circumference, insulin (U/kg/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 xml:space="preserve">day), and negatively correlated to </w:t>
      </w:r>
      <w:proofErr w:type="spellStart"/>
      <w:r w:rsidRPr="00C41FE6">
        <w:rPr>
          <w:rFonts w:asciiTheme="majorBidi" w:hAnsiTheme="majorBidi" w:cstheme="majorBidi"/>
          <w:sz w:val="24"/>
          <w:szCs w:val="24"/>
        </w:rPr>
        <w:t>eGDR</w:t>
      </w:r>
      <w:proofErr w:type="spellEnd"/>
      <w:r w:rsidRPr="00C41FE6">
        <w:rPr>
          <w:rFonts w:asciiTheme="majorBidi" w:hAnsiTheme="majorBidi" w:cstheme="majorBidi"/>
          <w:sz w:val="24"/>
          <w:szCs w:val="24"/>
        </w:rPr>
        <w:t>. Out of all the significantly correlated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 xml:space="preserve">variables, the hemoglobin A1c and waist/hip ratio </w:t>
      </w:r>
      <w:proofErr w:type="gramStart"/>
      <w:r w:rsidRPr="00C41FE6">
        <w:rPr>
          <w:rFonts w:asciiTheme="majorBidi" w:hAnsiTheme="majorBidi" w:cstheme="majorBidi"/>
          <w:sz w:val="24"/>
          <w:szCs w:val="24"/>
        </w:rPr>
        <w:t>were able to</w:t>
      </w:r>
      <w:proofErr w:type="gramEnd"/>
      <w:r w:rsidRPr="00C41FE6">
        <w:rPr>
          <w:rFonts w:asciiTheme="majorBidi" w:hAnsiTheme="majorBidi" w:cstheme="majorBidi"/>
          <w:sz w:val="24"/>
          <w:szCs w:val="24"/>
        </w:rPr>
        <w:t xml:space="preserve"> predict </w:t>
      </w:r>
      <w:proofErr w:type="spellStart"/>
      <w:r w:rsidRPr="00C41FE6">
        <w:rPr>
          <w:rFonts w:asciiTheme="majorBidi" w:hAnsiTheme="majorBidi" w:cstheme="majorBidi"/>
          <w:sz w:val="24"/>
          <w:szCs w:val="24"/>
        </w:rPr>
        <w:t>eGDR</w:t>
      </w:r>
      <w:proofErr w:type="spellEnd"/>
      <w:r w:rsidRPr="00C41FE6">
        <w:rPr>
          <w:rFonts w:asciiTheme="majorBidi" w:hAnsiTheme="majorBidi" w:cstheme="majorBidi"/>
          <w:sz w:val="24"/>
          <w:szCs w:val="24"/>
        </w:rPr>
        <w:t xml:space="preserve"> using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>the multivariate analysis.</w:t>
      </w:r>
      <w:r w:rsidR="00C41FE6" w:rsidRPr="00C41FE6">
        <w:rPr>
          <w:rFonts w:asciiTheme="majorBidi" w:hAnsiTheme="majorBidi" w:cstheme="majorBidi"/>
          <w:sz w:val="24"/>
          <w:szCs w:val="24"/>
        </w:rPr>
        <w:t xml:space="preserve"> </w:t>
      </w:r>
      <w:r w:rsidRPr="00C41FE6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C41FE6" w:rsidRPr="00C41FE6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C41FE6">
        <w:rPr>
          <w:rFonts w:asciiTheme="majorBidi" w:hAnsiTheme="majorBidi" w:cstheme="majorBidi"/>
          <w:sz w:val="24"/>
          <w:szCs w:val="24"/>
        </w:rPr>
        <w:t>Hepcidin plays no role in T1DM IR patients. Although ferritin was higher in T1DM</w:t>
      </w:r>
    </w:p>
    <w:p w:rsidR="00482FA7" w:rsidRPr="00C41FE6" w:rsidRDefault="00482FA7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 xml:space="preserve">patients and was negatively correlated to </w:t>
      </w:r>
      <w:proofErr w:type="spellStart"/>
      <w:r w:rsidRPr="00C41FE6">
        <w:rPr>
          <w:rFonts w:asciiTheme="majorBidi" w:hAnsiTheme="majorBidi" w:cstheme="majorBidi"/>
          <w:sz w:val="24"/>
          <w:szCs w:val="24"/>
        </w:rPr>
        <w:t>eGDR</w:t>
      </w:r>
      <w:proofErr w:type="spellEnd"/>
      <w:r w:rsidRPr="00C41FE6">
        <w:rPr>
          <w:rFonts w:asciiTheme="majorBidi" w:hAnsiTheme="majorBidi" w:cstheme="majorBidi"/>
          <w:sz w:val="24"/>
          <w:szCs w:val="24"/>
        </w:rPr>
        <w:t>, it failed to demonstrate an</w:t>
      </w:r>
    </w:p>
    <w:p w:rsidR="00C41FE6" w:rsidRPr="00C41FE6" w:rsidRDefault="00482FA7" w:rsidP="00AD2D83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C41FE6">
        <w:rPr>
          <w:rFonts w:asciiTheme="majorBidi" w:hAnsiTheme="majorBidi" w:cstheme="majorBidi"/>
          <w:sz w:val="24"/>
          <w:szCs w:val="24"/>
        </w:rPr>
        <w:t xml:space="preserve">independent influence on </w:t>
      </w:r>
      <w:proofErr w:type="spellStart"/>
      <w:r w:rsidRPr="00C41FE6">
        <w:rPr>
          <w:rFonts w:asciiTheme="majorBidi" w:hAnsiTheme="majorBidi" w:cstheme="majorBidi"/>
          <w:sz w:val="24"/>
          <w:szCs w:val="24"/>
        </w:rPr>
        <w:t>eGDR</w:t>
      </w:r>
      <w:proofErr w:type="spellEnd"/>
      <w:r w:rsidRPr="00C41FE6">
        <w:rPr>
          <w:rFonts w:asciiTheme="majorBidi" w:hAnsiTheme="majorBidi" w:cstheme="majorBidi"/>
          <w:sz w:val="24"/>
          <w:szCs w:val="24"/>
        </w:rPr>
        <w:t>, hindering its potential use as a predictor of IR.</w:t>
      </w:r>
    </w:p>
    <w:p w:rsidR="00C41FE6" w:rsidRDefault="00C41FE6" w:rsidP="00AD2D83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b/>
          <w:bCs/>
          <w:i/>
          <w:iCs/>
          <w:color w:val="FF0000"/>
          <w:sz w:val="28"/>
          <w:szCs w:val="28"/>
        </w:rPr>
      </w:pPr>
    </w:p>
    <w:p w:rsidR="00D72AAC" w:rsidRDefault="00D72AAC" w:rsidP="00AD2D83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b/>
          <w:bCs/>
          <w:i/>
          <w:iCs/>
          <w:color w:val="FF0000"/>
          <w:sz w:val="28"/>
          <w:szCs w:val="28"/>
        </w:rPr>
      </w:pPr>
      <w:r>
        <w:rPr>
          <w:rFonts w:asciiTheme="majorBidi" w:hAnsiTheme="majorBidi" w:cstheme="majorBidi"/>
          <w:b/>
          <w:bCs/>
          <w:i/>
          <w:iCs/>
          <w:color w:val="FF0000"/>
          <w:sz w:val="28"/>
          <w:szCs w:val="28"/>
        </w:rPr>
        <w:t>Recent publications:</w:t>
      </w:r>
    </w:p>
    <w:p w:rsidR="009118F9" w:rsidRPr="00AD2D83" w:rsidRDefault="00D815FD" w:rsidP="00AD2D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D2D83">
        <w:rPr>
          <w:rFonts w:asciiTheme="majorBidi" w:hAnsiTheme="majorBidi" w:cstheme="majorBidi"/>
          <w:sz w:val="24"/>
          <w:szCs w:val="24"/>
        </w:rPr>
        <w:t xml:space="preserve">Iman Z Ahmed, Yara M Eid, Hussein El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Orabi</w:t>
      </w:r>
      <w:proofErr w:type="spellEnd"/>
      <w:r w:rsidR="00464D19"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Pr="00AD2D83">
        <w:rPr>
          <w:rFonts w:asciiTheme="majorBidi" w:hAnsiTheme="majorBidi" w:cstheme="majorBidi"/>
          <w:sz w:val="24"/>
          <w:szCs w:val="24"/>
        </w:rPr>
        <w:t xml:space="preserve">and Hani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Refat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Ibrahim</w:t>
      </w:r>
      <w:r w:rsidR="00AD2D83" w:rsidRPr="00AD2D83">
        <w:rPr>
          <w:rFonts w:asciiTheme="majorBidi" w:hAnsiTheme="majorBidi" w:cstheme="majorBidi"/>
          <w:sz w:val="24"/>
          <w:szCs w:val="24"/>
        </w:rPr>
        <w:t xml:space="preserve"> (2014)</w:t>
      </w:r>
      <w:r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="009118F9" w:rsidRPr="00AD2D83">
        <w:rPr>
          <w:rFonts w:asciiTheme="majorBidi" w:hAnsiTheme="majorBidi" w:cstheme="majorBidi"/>
          <w:sz w:val="24"/>
          <w:szCs w:val="24"/>
        </w:rPr>
        <w:t>Comparison of universal and targeted</w:t>
      </w:r>
    </w:p>
    <w:p w:rsidR="009118F9" w:rsidRPr="00AD2D83" w:rsidRDefault="009118F9" w:rsidP="00AD2D8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D2D83">
        <w:rPr>
          <w:rFonts w:asciiTheme="majorBidi" w:hAnsiTheme="majorBidi" w:cstheme="majorBidi"/>
          <w:sz w:val="24"/>
          <w:szCs w:val="24"/>
        </w:rPr>
        <w:t>screening for thyroid dysfunction in</w:t>
      </w:r>
    </w:p>
    <w:p w:rsidR="009118F9" w:rsidRPr="00AD2D83" w:rsidRDefault="009118F9" w:rsidP="00AD2D83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i/>
          <w:iCs/>
          <w:color w:val="FF0000"/>
          <w:sz w:val="24"/>
          <w:szCs w:val="24"/>
        </w:rPr>
      </w:pPr>
      <w:r w:rsidRPr="00AD2D83">
        <w:rPr>
          <w:rFonts w:asciiTheme="majorBidi" w:hAnsiTheme="majorBidi" w:cstheme="majorBidi"/>
          <w:sz w:val="24"/>
          <w:szCs w:val="24"/>
        </w:rPr>
        <w:t xml:space="preserve">pregnant Egyptian </w:t>
      </w:r>
      <w:proofErr w:type="gramStart"/>
      <w:r w:rsidRPr="00AD2D83">
        <w:rPr>
          <w:rFonts w:asciiTheme="majorBidi" w:hAnsiTheme="majorBidi" w:cstheme="majorBidi"/>
          <w:sz w:val="24"/>
          <w:szCs w:val="24"/>
        </w:rPr>
        <w:t>women</w:t>
      </w:r>
      <w:r w:rsidR="00AD2D83"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Pr="00AD2D83">
        <w:rPr>
          <w:rFonts w:asciiTheme="majorBidi" w:hAnsiTheme="majorBidi" w:cstheme="majorBidi"/>
          <w:sz w:val="24"/>
          <w:szCs w:val="24"/>
        </w:rPr>
        <w:t>.</w:t>
      </w:r>
      <w:proofErr w:type="gramEnd"/>
      <w:r w:rsidR="00367D50" w:rsidRPr="00AD2D8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67D50" w:rsidRPr="00AD2D83">
        <w:rPr>
          <w:rFonts w:asciiTheme="majorBidi" w:hAnsiTheme="majorBidi" w:cstheme="majorBidi"/>
          <w:sz w:val="24"/>
          <w:szCs w:val="24"/>
        </w:rPr>
        <w:t>Eur</w:t>
      </w:r>
      <w:proofErr w:type="spellEnd"/>
      <w:r w:rsidR="00367D50"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Pr="00AD2D83">
        <w:rPr>
          <w:rFonts w:asciiTheme="majorBidi" w:hAnsiTheme="majorBidi" w:cstheme="majorBidi"/>
          <w:sz w:val="24"/>
          <w:szCs w:val="24"/>
        </w:rPr>
        <w:t xml:space="preserve">J </w:t>
      </w:r>
      <w:r w:rsidR="00367D50" w:rsidRPr="00AD2D83">
        <w:rPr>
          <w:rFonts w:asciiTheme="majorBidi" w:hAnsiTheme="majorBidi" w:cstheme="majorBidi"/>
          <w:sz w:val="24"/>
          <w:szCs w:val="24"/>
        </w:rPr>
        <w:t>Endocrinol,</w:t>
      </w:r>
      <w:r w:rsidR="00AD2D83" w:rsidRPr="00AD2D83">
        <w:rPr>
          <w:rFonts w:asciiTheme="majorBidi" w:hAnsiTheme="majorBidi" w:cstheme="majorBidi"/>
          <w:sz w:val="24"/>
          <w:szCs w:val="24"/>
        </w:rPr>
        <w:t xml:space="preserve"> 171(</w:t>
      </w:r>
      <w:r w:rsidRPr="00AD2D83">
        <w:rPr>
          <w:rFonts w:asciiTheme="majorBidi" w:hAnsiTheme="majorBidi" w:cstheme="majorBidi"/>
          <w:sz w:val="24"/>
          <w:szCs w:val="24"/>
        </w:rPr>
        <w:t>2</w:t>
      </w:r>
      <w:r w:rsidR="00AD2D83" w:rsidRPr="00AD2D83">
        <w:rPr>
          <w:rFonts w:asciiTheme="majorBidi" w:hAnsiTheme="majorBidi" w:cstheme="majorBidi"/>
          <w:sz w:val="24"/>
          <w:szCs w:val="24"/>
        </w:rPr>
        <w:t>)</w:t>
      </w:r>
      <w:r w:rsidRPr="00AD2D83">
        <w:rPr>
          <w:rFonts w:asciiTheme="majorBidi" w:hAnsiTheme="majorBidi" w:cstheme="majorBidi"/>
          <w:sz w:val="24"/>
          <w:szCs w:val="24"/>
        </w:rPr>
        <w:t>: 285-291</w:t>
      </w:r>
    </w:p>
    <w:p w:rsidR="00D72AAC" w:rsidRPr="00464D19" w:rsidRDefault="00D72AAC" w:rsidP="00AD2D83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i/>
          <w:iCs/>
          <w:color w:val="FF0000"/>
          <w:sz w:val="24"/>
          <w:szCs w:val="24"/>
        </w:rPr>
      </w:pPr>
    </w:p>
    <w:p w:rsidR="00AD2D83" w:rsidRPr="00AD2D83" w:rsidRDefault="00367D50" w:rsidP="00AD2D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AD2D83">
        <w:rPr>
          <w:rFonts w:asciiTheme="majorBidi" w:hAnsiTheme="majorBidi" w:cstheme="majorBidi"/>
          <w:sz w:val="24"/>
          <w:szCs w:val="24"/>
        </w:rPr>
        <w:t>Nermin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A.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Sheriba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, Iman Z. Ahmed, Mona M.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Abdelsalam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, Yara M. Eid,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Maram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M.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Mahdy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and Hany K. Mansour (2017</w:t>
      </w:r>
      <w:proofErr w:type="gramStart"/>
      <w:r w:rsidRPr="00AD2D83">
        <w:rPr>
          <w:rFonts w:asciiTheme="majorBidi" w:hAnsiTheme="majorBidi" w:cstheme="majorBidi"/>
          <w:sz w:val="24"/>
          <w:szCs w:val="24"/>
        </w:rPr>
        <w:t>)</w:t>
      </w:r>
      <w:r w:rsidR="00D815FD"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="00AD2D83">
        <w:rPr>
          <w:rFonts w:asciiTheme="majorBidi" w:hAnsiTheme="majorBidi" w:cstheme="majorBidi"/>
          <w:sz w:val="24"/>
          <w:szCs w:val="24"/>
        </w:rPr>
        <w:t xml:space="preserve"> </w:t>
      </w:r>
      <w:r w:rsidR="00D72AAC" w:rsidRPr="00AD2D83">
        <w:rPr>
          <w:rFonts w:asciiTheme="majorBidi" w:hAnsiTheme="majorBidi" w:cstheme="majorBidi"/>
          <w:sz w:val="24"/>
          <w:szCs w:val="24"/>
        </w:rPr>
        <w:t>Effect</w:t>
      </w:r>
      <w:proofErr w:type="gramEnd"/>
      <w:r w:rsidR="00D72AAC" w:rsidRPr="00AD2D83">
        <w:rPr>
          <w:rFonts w:asciiTheme="majorBidi" w:hAnsiTheme="majorBidi" w:cstheme="majorBidi"/>
          <w:sz w:val="24"/>
          <w:szCs w:val="24"/>
        </w:rPr>
        <w:t xml:space="preserve"> of Metformin Therapy on Serum Fetuin Levels in Insulin Resistant</w:t>
      </w:r>
      <w:r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="00D72AAC" w:rsidRPr="00AD2D83">
        <w:rPr>
          <w:rFonts w:asciiTheme="majorBidi" w:hAnsiTheme="majorBidi" w:cstheme="majorBidi"/>
          <w:sz w:val="24"/>
          <w:szCs w:val="24"/>
        </w:rPr>
        <w:t>Type 1 Diabetics</w:t>
      </w:r>
      <w:r w:rsidRPr="00AD2D83">
        <w:rPr>
          <w:rFonts w:asciiTheme="majorBidi" w:hAnsiTheme="majorBidi" w:cstheme="majorBidi"/>
          <w:color w:val="000000"/>
          <w:sz w:val="24"/>
          <w:szCs w:val="24"/>
        </w:rPr>
        <w:t xml:space="preserve">   </w:t>
      </w:r>
      <w:proofErr w:type="spellStart"/>
      <w:r w:rsidRPr="00AD2D83">
        <w:rPr>
          <w:rFonts w:asciiTheme="majorBidi" w:hAnsiTheme="majorBidi" w:cstheme="majorBidi"/>
          <w:color w:val="000000"/>
          <w:sz w:val="24"/>
          <w:szCs w:val="24"/>
        </w:rPr>
        <w:t>Curr</w:t>
      </w:r>
      <w:proofErr w:type="spellEnd"/>
      <w:r w:rsidRPr="00AD2D83">
        <w:rPr>
          <w:rFonts w:asciiTheme="majorBidi" w:hAnsiTheme="majorBidi" w:cstheme="majorBidi"/>
          <w:color w:val="000000"/>
          <w:sz w:val="24"/>
          <w:szCs w:val="24"/>
        </w:rPr>
        <w:t xml:space="preserve"> Diab</w:t>
      </w:r>
      <w:r w:rsidR="00D815FD" w:rsidRPr="00AD2D83">
        <w:rPr>
          <w:rFonts w:asciiTheme="majorBidi" w:hAnsiTheme="majorBidi" w:cstheme="majorBidi"/>
          <w:color w:val="000000"/>
          <w:sz w:val="24"/>
          <w:szCs w:val="24"/>
        </w:rPr>
        <w:t>etes</w:t>
      </w:r>
      <w:r w:rsidRPr="00AD2D83">
        <w:rPr>
          <w:rFonts w:asciiTheme="majorBidi" w:hAnsiTheme="majorBidi" w:cstheme="majorBidi"/>
          <w:color w:val="000000"/>
          <w:sz w:val="24"/>
          <w:szCs w:val="24"/>
        </w:rPr>
        <w:t xml:space="preserve"> R</w:t>
      </w:r>
      <w:r w:rsidR="00464D19" w:rsidRPr="00AD2D83">
        <w:rPr>
          <w:rFonts w:asciiTheme="majorBidi" w:hAnsiTheme="majorBidi" w:cstheme="majorBidi"/>
          <w:color w:val="000000"/>
          <w:sz w:val="24"/>
          <w:szCs w:val="24"/>
        </w:rPr>
        <w:t>ev  (</w:t>
      </w:r>
      <w:r w:rsidR="00D815FD" w:rsidRPr="00AD2D83">
        <w:rPr>
          <w:rFonts w:asciiTheme="majorBidi" w:hAnsiTheme="majorBidi" w:cstheme="majorBidi"/>
          <w:color w:val="000000"/>
          <w:sz w:val="24"/>
          <w:szCs w:val="24"/>
        </w:rPr>
        <w:t>ahead of print)</w:t>
      </w:r>
      <w:r w:rsidR="00AD2D83" w:rsidRPr="00AD2D83">
        <w:rPr>
          <w:rFonts w:asciiTheme="majorBidi" w:hAnsiTheme="majorBidi" w:cstheme="majorBidi"/>
          <w:i/>
          <w:iCs/>
          <w:color w:val="006621"/>
          <w:sz w:val="24"/>
          <w:szCs w:val="24"/>
        </w:rPr>
        <w:t xml:space="preserve"> </w:t>
      </w:r>
      <w:hyperlink r:id="rId5" w:history="1">
        <w:r w:rsidR="00AD2D83" w:rsidRPr="00AD2D83">
          <w:rPr>
            <w:rStyle w:val="Hyperlink"/>
            <w:rFonts w:asciiTheme="majorBidi" w:eastAsia="Times New Roman" w:hAnsiTheme="majorBidi" w:cstheme="majorBidi"/>
            <w:sz w:val="24"/>
            <w:szCs w:val="24"/>
          </w:rPr>
          <w:t>https://www.ncbi.nlm.nih.gov/pubmed/28081696</w:t>
        </w:r>
      </w:hyperlink>
    </w:p>
    <w:p w:rsidR="00AD2D83" w:rsidRPr="00AD2D83" w:rsidRDefault="00AD2D83" w:rsidP="00AD2D8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D2D83" w:rsidRPr="00AD2D83" w:rsidRDefault="00D815FD" w:rsidP="00AD2D83">
      <w:pPr>
        <w:pStyle w:val="ListParagraph"/>
        <w:numPr>
          <w:ilvl w:val="0"/>
          <w:numId w:val="3"/>
        </w:numPr>
        <w:shd w:val="clear" w:color="auto" w:fill="FFFFFF"/>
        <w:spacing w:line="240" w:lineRule="atLeast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D2D83">
        <w:rPr>
          <w:rFonts w:asciiTheme="majorBidi" w:hAnsiTheme="majorBidi" w:cstheme="majorBidi"/>
          <w:sz w:val="24"/>
          <w:szCs w:val="24"/>
        </w:rPr>
        <w:t xml:space="preserve">Iman Z </w:t>
      </w:r>
      <w:proofErr w:type="gramStart"/>
      <w:r w:rsidRPr="00AD2D83">
        <w:rPr>
          <w:rFonts w:asciiTheme="majorBidi" w:hAnsiTheme="majorBidi" w:cstheme="majorBidi"/>
          <w:sz w:val="24"/>
          <w:szCs w:val="24"/>
        </w:rPr>
        <w:t>Ahmed ,</w:t>
      </w:r>
      <w:proofErr w:type="gramEnd"/>
      <w:r w:rsidRPr="00AD2D8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Maram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M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Mahdy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and Hussein El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Oraby,</w:t>
      </w:r>
      <w:r w:rsidR="00D72AAC" w:rsidRPr="00AD2D83">
        <w:rPr>
          <w:rFonts w:asciiTheme="majorBidi" w:hAnsiTheme="majorBidi" w:cstheme="majorBidi"/>
          <w:sz w:val="24"/>
          <w:szCs w:val="24"/>
        </w:rPr>
        <w:t>Association</w:t>
      </w:r>
      <w:proofErr w:type="spellEnd"/>
      <w:r w:rsidR="00D72AAC" w:rsidRPr="00AD2D83">
        <w:rPr>
          <w:rFonts w:asciiTheme="majorBidi" w:hAnsiTheme="majorBidi" w:cstheme="majorBidi"/>
          <w:sz w:val="24"/>
          <w:szCs w:val="24"/>
        </w:rPr>
        <w:t xml:space="preserve"> of sex hormones with metabolic syndrome among</w:t>
      </w:r>
      <w:r w:rsidR="00367D50"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="00D72AAC" w:rsidRPr="00AD2D83">
        <w:rPr>
          <w:rFonts w:asciiTheme="majorBidi" w:hAnsiTheme="majorBidi" w:cstheme="majorBidi"/>
          <w:sz w:val="24"/>
          <w:szCs w:val="24"/>
        </w:rPr>
        <w:t>Egyptian males</w:t>
      </w:r>
      <w:r w:rsidR="00367D50" w:rsidRPr="00AD2D83">
        <w:rPr>
          <w:rFonts w:asciiTheme="majorBidi" w:hAnsiTheme="majorBidi" w:cstheme="majorBidi"/>
          <w:sz w:val="24"/>
          <w:szCs w:val="24"/>
        </w:rPr>
        <w:t xml:space="preserve">. </w:t>
      </w:r>
      <w:r w:rsidR="00367D50" w:rsidRPr="00AD2D83">
        <w:rPr>
          <w:rFonts w:asciiTheme="majorBidi" w:hAnsiTheme="majorBidi" w:cstheme="majorBidi"/>
          <w:color w:val="000000"/>
          <w:sz w:val="24"/>
          <w:szCs w:val="24"/>
        </w:rPr>
        <w:t xml:space="preserve">Diabetes and Metabolic Syndrome Clinical Research and Reviews, 2017. </w:t>
      </w:r>
      <w:proofErr w:type="spellStart"/>
      <w:r w:rsidR="00367D50" w:rsidRPr="00AD2D83">
        <w:rPr>
          <w:rFonts w:asciiTheme="majorBidi" w:hAnsiTheme="majorBidi" w:cstheme="majorBidi"/>
          <w:color w:val="000000"/>
          <w:sz w:val="24"/>
          <w:szCs w:val="24"/>
        </w:rPr>
        <w:t>Pii</w:t>
      </w:r>
      <w:proofErr w:type="spellEnd"/>
      <w:r w:rsidR="00367D50" w:rsidRPr="00AD2D83">
        <w:rPr>
          <w:rFonts w:asciiTheme="majorBidi" w:hAnsiTheme="majorBidi" w:cstheme="majorBidi"/>
          <w:color w:val="000000"/>
          <w:sz w:val="24"/>
          <w:szCs w:val="24"/>
        </w:rPr>
        <w:t xml:space="preserve">: S1871-4021(17)30256-4. </w:t>
      </w:r>
      <w:proofErr w:type="spellStart"/>
      <w:r w:rsidR="00367D50" w:rsidRPr="00AD2D83">
        <w:rPr>
          <w:rFonts w:asciiTheme="majorBidi" w:hAnsiTheme="majorBidi" w:cstheme="majorBidi"/>
          <w:color w:val="000000"/>
          <w:sz w:val="24"/>
          <w:szCs w:val="24"/>
        </w:rPr>
        <w:t>Doi</w:t>
      </w:r>
      <w:proofErr w:type="spellEnd"/>
      <w:r w:rsidR="00367D50" w:rsidRPr="00AD2D83">
        <w:rPr>
          <w:rFonts w:asciiTheme="majorBidi" w:hAnsiTheme="majorBidi" w:cstheme="majorBidi"/>
          <w:color w:val="000000"/>
          <w:sz w:val="24"/>
          <w:szCs w:val="24"/>
        </w:rPr>
        <w:t>: 10.1016/j.dsx.2017.07.</w:t>
      </w:r>
      <w:proofErr w:type="gramStart"/>
      <w:r w:rsidR="00367D50" w:rsidRPr="00AD2D83">
        <w:rPr>
          <w:rFonts w:asciiTheme="majorBidi" w:hAnsiTheme="majorBidi" w:cstheme="majorBidi"/>
          <w:color w:val="000000"/>
          <w:sz w:val="24"/>
          <w:szCs w:val="24"/>
        </w:rPr>
        <w:t>042</w:t>
      </w:r>
      <w:r w:rsidR="00AD2D83" w:rsidRPr="00AD2D83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AD2D83">
        <w:rPr>
          <w:rFonts w:asciiTheme="majorBidi" w:hAnsiTheme="majorBidi" w:cstheme="majorBidi"/>
          <w:color w:val="000000"/>
          <w:sz w:val="24"/>
          <w:szCs w:val="24"/>
        </w:rPr>
        <w:t>(</w:t>
      </w:r>
      <w:proofErr w:type="gramEnd"/>
      <w:r w:rsidR="00AD2D83">
        <w:rPr>
          <w:rFonts w:asciiTheme="majorBidi" w:hAnsiTheme="majorBidi" w:cstheme="majorBidi"/>
          <w:color w:val="000000"/>
          <w:sz w:val="24"/>
          <w:szCs w:val="24"/>
        </w:rPr>
        <w:t>full text)</w:t>
      </w:r>
    </w:p>
    <w:p w:rsidR="00367D50" w:rsidRDefault="00367D50" w:rsidP="00AD2D83">
      <w:pPr>
        <w:pStyle w:val="ListParagraph"/>
        <w:shd w:val="clear" w:color="auto" w:fill="FFFFFF"/>
        <w:spacing w:line="240" w:lineRule="atLeast"/>
        <w:jc w:val="both"/>
        <w:rPr>
          <w:rFonts w:asciiTheme="majorBidi" w:hAnsiTheme="majorBidi" w:cstheme="majorBidi"/>
          <w:color w:val="000000"/>
          <w:sz w:val="24"/>
          <w:szCs w:val="24"/>
          <w:lang w:bidi="ar-EG"/>
        </w:rPr>
      </w:pPr>
      <w:r w:rsidRPr="00AD2D83">
        <w:rPr>
          <w:rFonts w:asciiTheme="majorBidi" w:hAnsiTheme="majorBidi" w:cstheme="majorBidi"/>
          <w:color w:val="000000"/>
          <w:sz w:val="24"/>
          <w:szCs w:val="24"/>
          <w:lang w:bidi="ar-EG"/>
        </w:rPr>
        <w:t xml:space="preserve">Endocrine Abstracts (2016) 41 EP 838 </w:t>
      </w:r>
      <w:proofErr w:type="gramStart"/>
      <w:r w:rsidRPr="00AD2D83">
        <w:rPr>
          <w:rFonts w:asciiTheme="majorBidi" w:hAnsiTheme="majorBidi" w:cstheme="majorBidi"/>
          <w:color w:val="000000"/>
          <w:sz w:val="24"/>
          <w:szCs w:val="24"/>
          <w:lang w:bidi="ar-EG"/>
        </w:rPr>
        <w:t xml:space="preserve">   (</w:t>
      </w:r>
      <w:proofErr w:type="gramEnd"/>
      <w:r w:rsidRPr="00AD2D83">
        <w:rPr>
          <w:rFonts w:asciiTheme="majorBidi" w:hAnsiTheme="majorBidi" w:cstheme="majorBidi"/>
          <w:color w:val="000000"/>
          <w:sz w:val="24"/>
          <w:szCs w:val="24"/>
          <w:lang w:bidi="ar-EG"/>
        </w:rPr>
        <w:t>abstract)</w:t>
      </w:r>
    </w:p>
    <w:p w:rsidR="00AD2D83" w:rsidRPr="00AD2D83" w:rsidRDefault="00AD2D83" w:rsidP="00AD2D83">
      <w:pPr>
        <w:pStyle w:val="ListParagraph"/>
        <w:shd w:val="clear" w:color="auto" w:fill="FFFFFF"/>
        <w:spacing w:line="240" w:lineRule="atLeast"/>
        <w:jc w:val="both"/>
        <w:rPr>
          <w:rFonts w:asciiTheme="majorBidi" w:hAnsiTheme="majorBidi" w:cstheme="majorBidi"/>
          <w:color w:val="000000"/>
          <w:sz w:val="24"/>
          <w:szCs w:val="24"/>
          <w:lang w:bidi="ar-EG"/>
        </w:rPr>
      </w:pPr>
    </w:p>
    <w:p w:rsidR="00367D50" w:rsidRPr="00AD2D83" w:rsidRDefault="00D815FD" w:rsidP="00AD2D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AD2D83">
        <w:rPr>
          <w:rFonts w:asciiTheme="majorBidi" w:hAnsiTheme="majorBidi" w:cstheme="majorBidi"/>
          <w:sz w:val="24"/>
          <w:szCs w:val="24"/>
        </w:rPr>
        <w:t>Marwa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S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Zaki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and Iman Z Ahmed. </w:t>
      </w:r>
      <w:r w:rsidR="009118F9" w:rsidRPr="00AD2D83">
        <w:rPr>
          <w:rFonts w:asciiTheme="majorBidi" w:hAnsiTheme="majorBidi" w:cstheme="majorBidi"/>
          <w:sz w:val="24"/>
          <w:szCs w:val="24"/>
        </w:rPr>
        <w:t>Female pattern hair loss: the relation to metabolic</w:t>
      </w:r>
      <w:r w:rsidR="00AD2D83">
        <w:rPr>
          <w:rFonts w:asciiTheme="majorBidi" w:hAnsiTheme="majorBidi" w:cstheme="majorBidi"/>
          <w:sz w:val="24"/>
          <w:szCs w:val="24"/>
        </w:rPr>
        <w:t xml:space="preserve"> </w:t>
      </w:r>
      <w:r w:rsidR="009118F9" w:rsidRPr="00AD2D83">
        <w:rPr>
          <w:rFonts w:asciiTheme="majorBidi" w:hAnsiTheme="majorBidi" w:cstheme="majorBidi"/>
          <w:sz w:val="24"/>
          <w:szCs w:val="24"/>
        </w:rPr>
        <w:t xml:space="preserve">syndrome in premenopausal women </w:t>
      </w:r>
      <w:r w:rsidR="00367D50" w:rsidRPr="00AD2D83">
        <w:rPr>
          <w:rFonts w:asciiTheme="majorBidi" w:hAnsiTheme="majorBidi" w:cstheme="majorBidi"/>
          <w:sz w:val="24"/>
          <w:szCs w:val="24"/>
        </w:rPr>
        <w:t>Journal of the Egyptian Women’s Dermatologic</w:t>
      </w:r>
    </w:p>
    <w:p w:rsidR="00367D50" w:rsidRPr="00AD2D83" w:rsidRDefault="00367D50" w:rsidP="00AD2D8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D2D83">
        <w:rPr>
          <w:rFonts w:asciiTheme="majorBidi" w:hAnsiTheme="majorBidi" w:cstheme="majorBidi"/>
          <w:sz w:val="24"/>
          <w:szCs w:val="24"/>
        </w:rPr>
        <w:t>Society 2012, 9:18–21</w:t>
      </w:r>
    </w:p>
    <w:p w:rsidR="00367D50" w:rsidRPr="00464D19" w:rsidRDefault="00367D50" w:rsidP="00AD2D8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118F9" w:rsidRPr="00AD2D83" w:rsidRDefault="00464D19" w:rsidP="00AD2D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D2D83">
        <w:rPr>
          <w:rFonts w:asciiTheme="majorBidi" w:hAnsiTheme="majorBidi" w:cstheme="majorBidi"/>
          <w:sz w:val="24"/>
          <w:szCs w:val="24"/>
        </w:rPr>
        <w:t xml:space="preserve">Nadia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Abdelaaty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Abdelkader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Soha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Saoud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Abdelmoniem2, Dina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Sabry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, </w:t>
      </w:r>
      <w:r w:rsidRPr="00AD2D83">
        <w:rPr>
          <w:rFonts w:asciiTheme="majorBidi" w:hAnsiTheme="majorBidi" w:cstheme="majorBidi"/>
          <w:sz w:val="24"/>
          <w:szCs w:val="24"/>
        </w:rPr>
        <w:lastRenderedPageBreak/>
        <w:t>Amin</w:t>
      </w:r>
      <w:r w:rsidR="00AD2D83">
        <w:rPr>
          <w:rFonts w:asciiTheme="majorBidi" w:hAnsiTheme="majorBidi" w:cstheme="majorBidi"/>
          <w:sz w:val="24"/>
          <w:szCs w:val="24"/>
        </w:rPr>
        <w:t xml:space="preserve"> </w:t>
      </w:r>
      <w:r w:rsidRPr="00AD2D83">
        <w:rPr>
          <w:rFonts w:asciiTheme="majorBidi" w:hAnsiTheme="majorBidi" w:cstheme="majorBidi"/>
          <w:sz w:val="24"/>
          <w:szCs w:val="24"/>
        </w:rPr>
        <w:t xml:space="preserve">Mohamad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Abdelbaky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Maram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Maher,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Eman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Zaky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Wesam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Elsayed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="00AD2D83">
        <w:rPr>
          <w:rFonts w:asciiTheme="majorBidi" w:hAnsiTheme="majorBidi" w:cstheme="majorBidi"/>
          <w:sz w:val="24"/>
          <w:szCs w:val="24"/>
        </w:rPr>
        <w:t xml:space="preserve">(2014) </w:t>
      </w:r>
      <w:r w:rsidR="009118F9" w:rsidRPr="00AD2D83">
        <w:rPr>
          <w:rFonts w:asciiTheme="majorBidi" w:hAnsiTheme="majorBidi" w:cstheme="majorBidi"/>
          <w:sz w:val="24"/>
          <w:szCs w:val="24"/>
        </w:rPr>
        <w:t>Vitamin D and IL28B Genotyping as Predictors for Antiviral</w:t>
      </w:r>
      <w:r w:rsidR="00AD2D83" w:rsidRPr="00AD2D83">
        <w:rPr>
          <w:rFonts w:asciiTheme="majorBidi" w:hAnsiTheme="majorBidi" w:cstheme="majorBidi"/>
          <w:sz w:val="24"/>
          <w:szCs w:val="24"/>
        </w:rPr>
        <w:t xml:space="preserve"> </w:t>
      </w:r>
      <w:r w:rsidR="009118F9" w:rsidRPr="00AD2D83">
        <w:rPr>
          <w:rFonts w:asciiTheme="majorBidi" w:hAnsiTheme="majorBidi" w:cstheme="majorBidi"/>
          <w:sz w:val="24"/>
          <w:szCs w:val="24"/>
        </w:rPr>
        <w:t>Therapy: A Retrospective Study in Egyptian HCV Genotype</w:t>
      </w:r>
    </w:p>
    <w:p w:rsidR="009118F9" w:rsidRPr="00AD2D83" w:rsidRDefault="009118F9" w:rsidP="00AD2D83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AD2D83">
        <w:rPr>
          <w:rFonts w:asciiTheme="majorBidi" w:hAnsiTheme="majorBidi" w:cstheme="majorBidi"/>
          <w:sz w:val="24"/>
          <w:szCs w:val="24"/>
        </w:rPr>
        <w:t>4a</w:t>
      </w:r>
      <w:r w:rsidR="00A43ECA" w:rsidRPr="00AD2D83">
        <w:rPr>
          <w:rFonts w:asciiTheme="majorBidi" w:hAnsiTheme="majorBidi" w:cstheme="majorBidi"/>
          <w:sz w:val="24"/>
          <w:szCs w:val="24"/>
        </w:rPr>
        <w:t xml:space="preserve"> Tropical Journal of Pharma</w:t>
      </w:r>
      <w:r w:rsidR="00AD2D83">
        <w:rPr>
          <w:rFonts w:asciiTheme="majorBidi" w:hAnsiTheme="majorBidi" w:cstheme="majorBidi"/>
          <w:sz w:val="24"/>
          <w:szCs w:val="24"/>
        </w:rPr>
        <w:t xml:space="preserve">ceutical Research October </w:t>
      </w:r>
      <w:r w:rsidR="00A43ECA" w:rsidRPr="00AD2D83">
        <w:rPr>
          <w:rFonts w:asciiTheme="majorBidi" w:hAnsiTheme="majorBidi" w:cstheme="majorBidi"/>
          <w:sz w:val="24"/>
          <w:szCs w:val="24"/>
        </w:rPr>
        <w:t>13 (10): 1319-1326</w:t>
      </w:r>
    </w:p>
    <w:p w:rsidR="00464D19" w:rsidRPr="00AD2D83" w:rsidRDefault="00464D19" w:rsidP="00AD2D83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64D19" w:rsidRPr="00AD2D83" w:rsidRDefault="00464D19" w:rsidP="00AD2D83">
      <w:pPr>
        <w:pStyle w:val="ListParagraph"/>
        <w:numPr>
          <w:ilvl w:val="0"/>
          <w:numId w:val="3"/>
        </w:numPr>
        <w:shd w:val="clear" w:color="auto" w:fill="FFFFFF"/>
        <w:spacing w:after="450" w:line="240" w:lineRule="auto"/>
        <w:jc w:val="both"/>
        <w:outlineLvl w:val="0"/>
        <w:rPr>
          <w:rFonts w:asciiTheme="majorBidi" w:eastAsia="Times New Roman" w:hAnsiTheme="majorBidi" w:cstheme="majorBidi"/>
          <w:color w:val="222222"/>
          <w:kern w:val="36"/>
          <w:sz w:val="24"/>
          <w:szCs w:val="24"/>
        </w:rPr>
      </w:pPr>
      <w:r w:rsidRPr="00AD2D83">
        <w:rPr>
          <w:rFonts w:asciiTheme="majorBidi" w:hAnsiTheme="majorBidi" w:cstheme="majorBidi"/>
          <w:sz w:val="24"/>
          <w:szCs w:val="24"/>
        </w:rPr>
        <w:t xml:space="preserve">Azzam </w:t>
      </w:r>
      <w:proofErr w:type="gramStart"/>
      <w:r w:rsidRPr="00AD2D83">
        <w:rPr>
          <w:rFonts w:asciiTheme="majorBidi" w:hAnsiTheme="majorBidi" w:cstheme="majorBidi"/>
          <w:sz w:val="24"/>
          <w:szCs w:val="24"/>
        </w:rPr>
        <w:t>H. ,</w:t>
      </w:r>
      <w:proofErr w:type="gramEnd"/>
      <w:r w:rsidRPr="00AD2D83">
        <w:rPr>
          <w:rFonts w:asciiTheme="majorBidi" w:hAnsiTheme="majorBidi" w:cstheme="majorBidi"/>
          <w:sz w:val="24"/>
          <w:szCs w:val="24"/>
        </w:rPr>
        <w:t xml:space="preserve"> Ahmed I. ,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Sayyah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H., Sultan M., Eid Y., and Abd El </w:t>
      </w:r>
      <w:proofErr w:type="spellStart"/>
      <w:r w:rsidRPr="00AD2D83">
        <w:rPr>
          <w:rFonts w:asciiTheme="majorBidi" w:hAnsiTheme="majorBidi" w:cstheme="majorBidi"/>
          <w:sz w:val="24"/>
          <w:szCs w:val="24"/>
        </w:rPr>
        <w:t>Moneim</w:t>
      </w:r>
      <w:proofErr w:type="spellEnd"/>
      <w:r w:rsidRPr="00AD2D83">
        <w:rPr>
          <w:rFonts w:asciiTheme="majorBidi" w:hAnsiTheme="majorBidi" w:cstheme="majorBidi"/>
          <w:sz w:val="24"/>
          <w:szCs w:val="24"/>
        </w:rPr>
        <w:t xml:space="preserve"> T.</w:t>
      </w:r>
      <w:r w:rsidRPr="00AD2D83">
        <w:rPr>
          <w:rFonts w:asciiTheme="majorBidi" w:eastAsia="Times New Roman" w:hAnsiTheme="majorBidi" w:cstheme="majorBidi"/>
          <w:color w:val="222222"/>
          <w:kern w:val="36"/>
          <w:sz w:val="24"/>
          <w:szCs w:val="24"/>
        </w:rPr>
        <w:t xml:space="preserve"> (2009) Metabolic Derangement in Schizophrenia: Relation To Antipsychotic Treatment</w:t>
      </w:r>
      <w:r w:rsidR="00AD2D83">
        <w:rPr>
          <w:rFonts w:asciiTheme="majorBidi" w:eastAsia="Times New Roman" w:hAnsiTheme="majorBidi" w:cstheme="majorBidi"/>
          <w:color w:val="222222"/>
          <w:kern w:val="36"/>
          <w:sz w:val="24"/>
          <w:szCs w:val="24"/>
        </w:rPr>
        <w:t xml:space="preserve">. </w:t>
      </w:r>
      <w:r w:rsidRPr="00AD2D83">
        <w:rPr>
          <w:rFonts w:asciiTheme="majorBidi" w:eastAsia="Times New Roman" w:hAnsiTheme="majorBidi" w:cstheme="majorBidi"/>
          <w:color w:val="222222"/>
          <w:kern w:val="36"/>
          <w:sz w:val="24"/>
          <w:szCs w:val="24"/>
        </w:rPr>
        <w:t>Current psychiatry 16(1): 14-27</w:t>
      </w:r>
    </w:p>
    <w:p w:rsidR="00464D19" w:rsidRPr="00464D19" w:rsidRDefault="00464D19" w:rsidP="00AD2D83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118F9" w:rsidRPr="00464D19" w:rsidRDefault="009118F9" w:rsidP="00AD2D83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i/>
          <w:iCs/>
          <w:color w:val="FF0000"/>
          <w:sz w:val="24"/>
          <w:szCs w:val="24"/>
        </w:rPr>
      </w:pPr>
    </w:p>
    <w:p w:rsidR="00E1708C" w:rsidRPr="00464D19" w:rsidRDefault="00E1708C" w:rsidP="00E1708C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i/>
          <w:iCs/>
          <w:color w:val="FF0000"/>
          <w:sz w:val="24"/>
          <w:szCs w:val="24"/>
        </w:rPr>
        <w:sectPr w:rsidR="00E1708C" w:rsidRPr="00464D19" w:rsidSect="00C41FE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1708C" w:rsidRPr="00E1708C" w:rsidRDefault="00E1708C" w:rsidP="00E1708C">
      <w:pPr>
        <w:spacing w:before="41" w:line="240" w:lineRule="auto"/>
        <w:ind w:left="213" w:right="231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E1708C">
        <w:rPr>
          <w:rFonts w:asciiTheme="majorBidi" w:hAnsiTheme="majorBidi" w:cstheme="majorBidi"/>
          <w:i/>
          <w:iCs/>
          <w:sz w:val="20"/>
          <w:szCs w:val="20"/>
        </w:rPr>
        <w:t>Biography:</w:t>
      </w:r>
    </w:p>
    <w:p w:rsidR="00725BB8" w:rsidRPr="00E1708C" w:rsidRDefault="00725BB8" w:rsidP="00E1708C">
      <w:pPr>
        <w:spacing w:before="41" w:line="240" w:lineRule="auto"/>
        <w:ind w:left="213" w:right="231"/>
        <w:jc w:val="both"/>
        <w:rPr>
          <w:rFonts w:asciiTheme="majorBidi" w:hAnsiTheme="majorBidi" w:cstheme="majorBidi"/>
          <w:sz w:val="20"/>
          <w:szCs w:val="20"/>
        </w:rPr>
      </w:pPr>
      <w:r w:rsidRPr="00E1708C">
        <w:rPr>
          <w:rFonts w:asciiTheme="majorBidi" w:hAnsiTheme="majorBidi" w:cstheme="majorBidi"/>
          <w:sz w:val="20"/>
          <w:szCs w:val="20"/>
        </w:rPr>
        <w:t xml:space="preserve">Iman Z Ahmed is consultant Endocrinologist since 2009. She </w:t>
      </w:r>
      <w:r w:rsidR="008901CC" w:rsidRPr="00E1708C">
        <w:rPr>
          <w:rFonts w:asciiTheme="majorBidi" w:hAnsiTheme="majorBidi" w:cstheme="majorBidi"/>
          <w:sz w:val="20"/>
          <w:szCs w:val="20"/>
        </w:rPr>
        <w:t xml:space="preserve">received her MBBCH and </w:t>
      </w:r>
      <w:proofErr w:type="gramStart"/>
      <w:r w:rsidR="008901CC" w:rsidRPr="00E1708C">
        <w:rPr>
          <w:rFonts w:asciiTheme="majorBidi" w:hAnsiTheme="majorBidi" w:cstheme="majorBidi"/>
          <w:sz w:val="20"/>
          <w:szCs w:val="20"/>
        </w:rPr>
        <w:t>MD  from</w:t>
      </w:r>
      <w:proofErr w:type="gramEnd"/>
      <w:r w:rsidR="008901CC" w:rsidRPr="00E1708C">
        <w:rPr>
          <w:rFonts w:asciiTheme="majorBidi" w:hAnsiTheme="majorBidi" w:cstheme="majorBidi"/>
          <w:sz w:val="20"/>
          <w:szCs w:val="20"/>
        </w:rPr>
        <w:t xml:space="preserve">  Ain Shams University school of Medical, Cairo</w:t>
      </w:r>
      <w:r w:rsidR="00E1708C">
        <w:rPr>
          <w:rFonts w:asciiTheme="majorBidi" w:hAnsiTheme="majorBidi" w:cstheme="majorBidi"/>
          <w:sz w:val="20"/>
          <w:szCs w:val="20"/>
        </w:rPr>
        <w:t xml:space="preserve"> - Egypt</w:t>
      </w:r>
      <w:r w:rsidR="008901CC" w:rsidRPr="00E1708C">
        <w:rPr>
          <w:rFonts w:asciiTheme="majorBidi" w:hAnsiTheme="majorBidi" w:cstheme="majorBidi"/>
          <w:sz w:val="20"/>
          <w:szCs w:val="20"/>
        </w:rPr>
        <w:t>.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 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She completed her internship and residency in Internal Medicine as well as her 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>training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 in Endocrinology and Metabolism at 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Ain Shams University Hospitals, which are </w:t>
      </w:r>
      <w:r w:rsidR="00E1708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>tertiary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 hospitals in  Cairo</w:t>
      </w:r>
      <w:r w:rsidR="008901CC" w:rsidRPr="00E1708C">
        <w:rPr>
          <w:rFonts w:asciiTheme="majorBidi" w:hAnsiTheme="majorBidi" w:cstheme="majorBidi"/>
          <w:sz w:val="20"/>
          <w:szCs w:val="20"/>
        </w:rPr>
        <w:t xml:space="preserve"> </w:t>
      </w:r>
      <w:r w:rsidR="00E1708C">
        <w:rPr>
          <w:rFonts w:asciiTheme="majorBidi" w:hAnsiTheme="majorBidi" w:cstheme="majorBidi"/>
          <w:sz w:val="20"/>
          <w:szCs w:val="20"/>
        </w:rPr>
        <w:t>.</w:t>
      </w:r>
      <w:bookmarkStart w:id="0" w:name="_GoBack"/>
      <w:bookmarkEnd w:id="0"/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Dr. 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>Iman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 has a large academic clinical practice involving a broad spectrum of patie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>nts with endocrine diseases. Her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 specific clinical interests include </w:t>
      </w:r>
      <w:proofErr w:type="gramStart"/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diabetes 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>,</w:t>
      </w:r>
      <w:proofErr w:type="gramEnd"/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 thyroid disorders </w:t>
      </w:r>
      <w:r w:rsid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in addition to 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>pituitary/adrenal disorders. Her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 current research involves stu</w:t>
      </w:r>
      <w:r w:rsidR="008901C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 xml:space="preserve">dies on the link between type 1 </w:t>
      </w:r>
      <w:r w:rsidR="00E1708C" w:rsidRPr="00E1708C">
        <w:rPr>
          <w:rFonts w:asciiTheme="majorBidi" w:hAnsiTheme="majorBidi" w:cstheme="majorBidi"/>
          <w:color w:val="1A1A1A"/>
          <w:sz w:val="20"/>
          <w:szCs w:val="20"/>
          <w:shd w:val="clear" w:color="auto" w:fill="FFFFFF"/>
        </w:rPr>
        <w:t>diabetes and insulin resistance.</w:t>
      </w:r>
    </w:p>
    <w:p w:rsidR="00D72AAC" w:rsidRPr="00E1708C" w:rsidRDefault="00D72AAC" w:rsidP="00E1708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FF0000"/>
          <w:sz w:val="20"/>
          <w:szCs w:val="20"/>
        </w:rPr>
      </w:pPr>
    </w:p>
    <w:sectPr w:rsidR="00D72AAC" w:rsidRPr="00E1708C" w:rsidSect="00482FA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A3E45"/>
    <w:multiLevelType w:val="hybridMultilevel"/>
    <w:tmpl w:val="55A87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D28A0"/>
    <w:multiLevelType w:val="hybridMultilevel"/>
    <w:tmpl w:val="6A26B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C27CD"/>
    <w:multiLevelType w:val="hybridMultilevel"/>
    <w:tmpl w:val="4A889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4F7"/>
    <w:rsid w:val="00367D50"/>
    <w:rsid w:val="00464D19"/>
    <w:rsid w:val="00482FA7"/>
    <w:rsid w:val="005254D4"/>
    <w:rsid w:val="00725BB8"/>
    <w:rsid w:val="008901CC"/>
    <w:rsid w:val="008E7BEB"/>
    <w:rsid w:val="009118F9"/>
    <w:rsid w:val="00A43ECA"/>
    <w:rsid w:val="00A914F7"/>
    <w:rsid w:val="00AD2D83"/>
    <w:rsid w:val="00BE2605"/>
    <w:rsid w:val="00C41FE6"/>
    <w:rsid w:val="00CA3530"/>
    <w:rsid w:val="00D253B9"/>
    <w:rsid w:val="00D72AAC"/>
    <w:rsid w:val="00D815FD"/>
    <w:rsid w:val="00E1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6D698"/>
  <w15:chartTrackingRefBased/>
  <w15:docId w15:val="{B7882679-F960-4B9C-8411-2F6FA64B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64D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367D50"/>
    <w:pPr>
      <w:bidi/>
      <w:spacing w:after="0" w:line="240" w:lineRule="auto"/>
      <w:ind w:hanging="908"/>
      <w:jc w:val="lowKashida"/>
    </w:pPr>
    <w:rPr>
      <w:rFonts w:ascii="Times New Roman" w:eastAsia="Times New Roman" w:hAnsi="Times New Roman" w:cs="Tahoma"/>
      <w:b/>
      <w:bCs/>
      <w:sz w:val="28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D815F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64D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D2D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D8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D2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7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ubmed/280816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2017-08-27T00:43:00Z</dcterms:created>
  <dcterms:modified xsi:type="dcterms:W3CDTF">2017-08-27T01:12:00Z</dcterms:modified>
</cp:coreProperties>
</file>