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0CD" w:rsidRDefault="001A10CD" w:rsidP="001A10CD">
      <w:r w:rsidRPr="001A10CD">
        <w:rPr>
          <w:b/>
        </w:rPr>
        <w:t>Title:</w:t>
      </w:r>
      <w:r>
        <w:t xml:space="preserve">  </w:t>
      </w:r>
      <w:r w:rsidRPr="003C45AB">
        <w:rPr>
          <w:b/>
        </w:rPr>
        <w:t>Efficacy and Cardiovascular Effects of Dipeptidyl Peptidase-4 (DPP4) Inhibitors: A Systematic Review</w:t>
      </w:r>
    </w:p>
    <w:p w:rsidR="001A10CD" w:rsidRPr="001A10CD" w:rsidRDefault="001A10CD" w:rsidP="001A10CD">
      <w:pPr>
        <w:rPr>
          <w:color w:val="A6A6A6" w:themeColor="background1" w:themeShade="A6"/>
        </w:rPr>
      </w:pPr>
      <w:r w:rsidRPr="001A10CD">
        <w:rPr>
          <w:color w:val="A6A6A6" w:themeColor="background1" w:themeShade="A6"/>
        </w:rPr>
        <w:t xml:space="preserve">Title </w:t>
      </w:r>
      <w:r>
        <w:rPr>
          <w:color w:val="A6A6A6" w:themeColor="background1" w:themeShade="A6"/>
        </w:rPr>
        <w:t>Charact</w:t>
      </w:r>
      <w:r w:rsidRPr="001A10CD">
        <w:rPr>
          <w:color w:val="A6A6A6" w:themeColor="background1" w:themeShade="A6"/>
        </w:rPr>
        <w:t>e</w:t>
      </w:r>
      <w:r>
        <w:rPr>
          <w:color w:val="A6A6A6" w:themeColor="background1" w:themeShade="A6"/>
        </w:rPr>
        <w:t>r</w:t>
      </w:r>
      <w:r w:rsidRPr="001A10CD">
        <w:rPr>
          <w:color w:val="A6A6A6" w:themeColor="background1" w:themeShade="A6"/>
        </w:rPr>
        <w:t>s (excluding spaces):  89 (120 allowed)</w:t>
      </w:r>
    </w:p>
    <w:p w:rsidR="001A10CD" w:rsidRDefault="001A10CD" w:rsidP="001A10CD">
      <w:r w:rsidRPr="001A10CD">
        <w:rPr>
          <w:b/>
        </w:rPr>
        <w:t>Authors:</w:t>
      </w:r>
      <w:r>
        <w:t xml:space="preserve"> Muhammad Umar Wahab</w:t>
      </w:r>
      <w:r w:rsidR="00E84764">
        <w:rPr>
          <w:vertAlign w:val="superscript"/>
        </w:rPr>
        <w:t>1</w:t>
      </w:r>
      <w:r>
        <w:t>, Jamie Smith</w:t>
      </w:r>
      <w:r>
        <w:rPr>
          <w:vertAlign w:val="superscript"/>
        </w:rPr>
        <w:t>2</w:t>
      </w:r>
    </w:p>
    <w:p w:rsidR="001A10CD" w:rsidRPr="001A10CD" w:rsidRDefault="001A10CD" w:rsidP="001A10CD">
      <w:r w:rsidRPr="001A10CD">
        <w:rPr>
          <w:b/>
        </w:rPr>
        <w:t>Affiliations:</w:t>
      </w:r>
      <w:r w:rsidR="00E84764">
        <w:t xml:space="preserve"> </w:t>
      </w:r>
      <w:r>
        <w:t>University of Leicester, UK.</w:t>
      </w:r>
    </w:p>
    <w:p w:rsidR="001A10CD" w:rsidRDefault="001A10CD" w:rsidP="001A10CD">
      <w:r w:rsidRPr="001A10CD">
        <w:rPr>
          <w:b/>
        </w:rPr>
        <w:t>Abstract Category:</w:t>
      </w:r>
      <w:r>
        <w:t xml:space="preserve"> </w:t>
      </w:r>
      <w:proofErr w:type="spellStart"/>
      <w:r>
        <w:t>Incretin</w:t>
      </w:r>
      <w:proofErr w:type="spellEnd"/>
      <w:r>
        <w:t xml:space="preserve"> Therapies</w:t>
      </w:r>
    </w:p>
    <w:p w:rsidR="001A10CD" w:rsidRDefault="001A10CD">
      <w:pPr>
        <w:rPr>
          <w:b/>
        </w:rPr>
      </w:pPr>
    </w:p>
    <w:p w:rsidR="00BB134C" w:rsidRPr="00E82F6F" w:rsidRDefault="00BB134C">
      <w:pPr>
        <w:rPr>
          <w:lang w:val="en-US"/>
        </w:rPr>
      </w:pPr>
      <w:r w:rsidRPr="00E82F6F">
        <w:rPr>
          <w:b/>
        </w:rPr>
        <w:t>Background:</w:t>
      </w:r>
      <w:r w:rsidRPr="00E82F6F">
        <w:t xml:space="preserve">  The dipeptidyl peptidase-4 (DPP4) inhibitors </w:t>
      </w:r>
      <w:r w:rsidR="007B3F30">
        <w:t xml:space="preserve">(or “gliptins”) </w:t>
      </w:r>
      <w:r w:rsidRPr="00E82F6F">
        <w:t xml:space="preserve">are an important new class of </w:t>
      </w:r>
      <w:proofErr w:type="spellStart"/>
      <w:r w:rsidRPr="00E82F6F">
        <w:t>incretin</w:t>
      </w:r>
      <w:proofErr w:type="spellEnd"/>
      <w:r w:rsidRPr="00E82F6F">
        <w:t xml:space="preserve">-based therapy for treatment of type </w:t>
      </w:r>
      <w:r w:rsidR="001A10CD">
        <w:t>2</w:t>
      </w:r>
      <w:r w:rsidRPr="00E82F6F">
        <w:t xml:space="preserve"> diabetes mellitus (T2DM).  These </w:t>
      </w:r>
      <w:r w:rsidRPr="00E82F6F">
        <w:rPr>
          <w:lang w:val="en-US"/>
        </w:rPr>
        <w:t xml:space="preserve">drugs prolong the action of </w:t>
      </w:r>
      <w:proofErr w:type="spellStart"/>
      <w:r w:rsidRPr="00E82F6F">
        <w:rPr>
          <w:lang w:val="en-US"/>
        </w:rPr>
        <w:t>incretin</w:t>
      </w:r>
      <w:proofErr w:type="spellEnd"/>
      <w:r w:rsidRPr="00E82F6F">
        <w:rPr>
          <w:lang w:val="en-US"/>
        </w:rPr>
        <w:t xml:space="preserve"> hormones </w:t>
      </w:r>
      <w:r w:rsidRPr="00E82F6F">
        <w:t xml:space="preserve">glucagon-like peptide-1 (GLP-1) and glucose-dependent </w:t>
      </w:r>
      <w:proofErr w:type="spellStart"/>
      <w:r w:rsidRPr="00E82F6F">
        <w:t>insulinotropic</w:t>
      </w:r>
      <w:proofErr w:type="spellEnd"/>
      <w:r w:rsidRPr="00E82F6F">
        <w:rPr>
          <w:lang w:val="en-US"/>
        </w:rPr>
        <w:t xml:space="preserve"> </w:t>
      </w:r>
      <w:r w:rsidRPr="00E82F6F">
        <w:t xml:space="preserve">polypeptide (GIP), by inhibiting their breakdown. The </w:t>
      </w:r>
      <w:proofErr w:type="spellStart"/>
      <w:r w:rsidRPr="00E82F6F">
        <w:t>incretin</w:t>
      </w:r>
      <w:proofErr w:type="spellEnd"/>
      <w:r w:rsidRPr="00E82F6F">
        <w:t xml:space="preserve"> hormones</w:t>
      </w:r>
      <w:r w:rsidRPr="00E82F6F">
        <w:rPr>
          <w:lang w:val="en-US"/>
        </w:rPr>
        <w:t xml:space="preserve"> </w:t>
      </w:r>
      <w:r w:rsidRPr="00E82F6F">
        <w:t>increase insulin secretion and suppress</w:t>
      </w:r>
      <w:r w:rsidRPr="00E82F6F">
        <w:rPr>
          <w:lang w:val="en-US"/>
        </w:rPr>
        <w:t xml:space="preserve"> </w:t>
      </w:r>
      <w:r w:rsidRPr="00E82F6F">
        <w:t>glucagon levels.</w:t>
      </w:r>
      <w:r w:rsidR="00007D6A">
        <w:t xml:space="preserve">  </w:t>
      </w:r>
      <w:r w:rsidR="00C430A6">
        <w:t>Evidence on t</w:t>
      </w:r>
      <w:r w:rsidR="00007D6A">
        <w:t xml:space="preserve">he </w:t>
      </w:r>
      <w:r w:rsidR="00C430A6">
        <w:t>efficacy</w:t>
      </w:r>
      <w:r w:rsidR="00007D6A">
        <w:t xml:space="preserve"> of these drugs in controlling </w:t>
      </w:r>
      <w:proofErr w:type="spellStart"/>
      <w:r w:rsidR="00007D6A">
        <w:t>glycemic</w:t>
      </w:r>
      <w:proofErr w:type="spellEnd"/>
      <w:r w:rsidR="00007D6A">
        <w:t xml:space="preserve"> levels in T2DM</w:t>
      </w:r>
      <w:r w:rsidR="003C45AB">
        <w:t xml:space="preserve"> </w:t>
      </w:r>
      <w:r w:rsidR="003C45AB" w:rsidRPr="003C45AB">
        <w:t>has been accumulating</w:t>
      </w:r>
      <w:r w:rsidR="00007D6A">
        <w:t>.  Furthermore, given</w:t>
      </w:r>
      <w:r w:rsidR="00C430A6">
        <w:t xml:space="preserve"> that</w:t>
      </w:r>
      <w:r w:rsidR="00007D6A">
        <w:t xml:space="preserve"> the risk of cardiovascular (CV) disease is substantially greater in people with diabetes compared to those without diabetes</w:t>
      </w:r>
      <w:r w:rsidR="009A21E3">
        <w:t xml:space="preserve">, CV safety profiles of these agents </w:t>
      </w:r>
      <w:r w:rsidR="00C430A6">
        <w:t xml:space="preserve">have been considered </w:t>
      </w:r>
      <w:r w:rsidR="009A21E3">
        <w:t xml:space="preserve">important in their selection for </w:t>
      </w:r>
      <w:r w:rsidR="00C430A6">
        <w:t xml:space="preserve">T2DM </w:t>
      </w:r>
      <w:r w:rsidR="009A21E3">
        <w:t>treatment</w:t>
      </w:r>
      <w:r w:rsidR="00007D6A">
        <w:t>.</w:t>
      </w:r>
    </w:p>
    <w:p w:rsidR="00BB134C" w:rsidRPr="00E82F6F" w:rsidRDefault="00BB134C" w:rsidP="00007D6A">
      <w:r w:rsidRPr="00E82F6F">
        <w:rPr>
          <w:b/>
        </w:rPr>
        <w:t>Aims:</w:t>
      </w:r>
      <w:r w:rsidRPr="00E82F6F">
        <w:t xml:space="preserve"> This paper reviews the efficacy and </w:t>
      </w:r>
      <w:r w:rsidR="009A21E3">
        <w:t>CV</w:t>
      </w:r>
      <w:r w:rsidRPr="00E82F6F">
        <w:t xml:space="preserve"> effects </w:t>
      </w:r>
      <w:r w:rsidR="00B36E86" w:rsidRPr="00E82F6F">
        <w:t xml:space="preserve">of DPP-4 inhibitors </w:t>
      </w:r>
      <w:r w:rsidRPr="00E82F6F">
        <w:t xml:space="preserve">from </w:t>
      </w:r>
      <w:r w:rsidR="00B36E86">
        <w:t xml:space="preserve">published reports and </w:t>
      </w:r>
      <w:r w:rsidRPr="00E82F6F">
        <w:t xml:space="preserve">randomized controlled trials </w:t>
      </w:r>
      <w:r w:rsidR="00B36E86">
        <w:t xml:space="preserve">(RCT), e.g. </w:t>
      </w:r>
      <w:r w:rsidRPr="00E82F6F">
        <w:t xml:space="preserve">SAVOR-TIMI 53, EXAMINE, and </w:t>
      </w:r>
      <w:r w:rsidR="00B36E86">
        <w:t>TECOS,</w:t>
      </w:r>
      <w:r w:rsidRPr="00E82F6F">
        <w:t xml:space="preserve"> for evidence that these drugs are effective </w:t>
      </w:r>
      <w:r w:rsidR="003C45AB">
        <w:t xml:space="preserve">in controlling gyclemia </w:t>
      </w:r>
      <w:r w:rsidRPr="00E82F6F">
        <w:t xml:space="preserve">and have acceptable CV profiles </w:t>
      </w:r>
      <w:r w:rsidR="00B36E86">
        <w:t>in</w:t>
      </w:r>
      <w:r w:rsidRPr="00E82F6F">
        <w:t xml:space="preserve"> adult patients with T2DM.</w:t>
      </w:r>
    </w:p>
    <w:p w:rsidR="00BB134C" w:rsidRPr="00E82F6F" w:rsidRDefault="00BB134C" w:rsidP="00017083">
      <w:pPr>
        <w:pStyle w:val="CM3"/>
        <w:rPr>
          <w:rFonts w:cs="Calibri"/>
          <w:color w:val="000000"/>
          <w:sz w:val="22"/>
          <w:szCs w:val="22"/>
        </w:rPr>
      </w:pPr>
      <w:r w:rsidRPr="00E82F6F">
        <w:rPr>
          <w:b/>
          <w:sz w:val="22"/>
          <w:szCs w:val="22"/>
        </w:rPr>
        <w:t>Method:</w:t>
      </w:r>
      <w:r w:rsidRPr="00E82F6F">
        <w:rPr>
          <w:sz w:val="22"/>
          <w:szCs w:val="22"/>
        </w:rPr>
        <w:t xml:space="preserve"> </w:t>
      </w:r>
      <w:r w:rsidRPr="00E82F6F">
        <w:rPr>
          <w:rFonts w:cs="Calibri"/>
          <w:color w:val="000000"/>
          <w:sz w:val="22"/>
          <w:szCs w:val="22"/>
        </w:rPr>
        <w:t xml:space="preserve">Relevant studies were searched on Medline, PubMed, </w:t>
      </w:r>
      <w:proofErr w:type="spellStart"/>
      <w:r w:rsidRPr="00E82F6F">
        <w:rPr>
          <w:rFonts w:cs="Calibri"/>
          <w:color w:val="000000"/>
          <w:sz w:val="22"/>
          <w:szCs w:val="22"/>
        </w:rPr>
        <w:t>Embase</w:t>
      </w:r>
      <w:proofErr w:type="spellEnd"/>
      <w:r w:rsidRPr="00E82F6F">
        <w:rPr>
          <w:rFonts w:cs="Calibri"/>
          <w:color w:val="000000"/>
          <w:sz w:val="22"/>
          <w:szCs w:val="22"/>
        </w:rPr>
        <w:t xml:space="preserve"> and Cochrane Central Register of RCT.  We also searched relevant web sites, citations, references l</w:t>
      </w:r>
      <w:r w:rsidR="00017083" w:rsidRPr="00E82F6F">
        <w:rPr>
          <w:rFonts w:cs="Calibri"/>
          <w:color w:val="000000"/>
          <w:sz w:val="22"/>
          <w:szCs w:val="22"/>
        </w:rPr>
        <w:t>ists</w:t>
      </w:r>
      <w:r w:rsidRPr="00E82F6F">
        <w:rPr>
          <w:rFonts w:cs="Calibri"/>
          <w:color w:val="000000"/>
          <w:sz w:val="22"/>
          <w:szCs w:val="22"/>
        </w:rPr>
        <w:t xml:space="preserve">, and </w:t>
      </w:r>
      <w:r w:rsidR="00017083" w:rsidRPr="00E82F6F">
        <w:rPr>
          <w:rFonts w:cs="Calibri"/>
          <w:color w:val="000000"/>
          <w:sz w:val="22"/>
          <w:szCs w:val="22"/>
        </w:rPr>
        <w:t xml:space="preserve">published </w:t>
      </w:r>
      <w:r w:rsidRPr="00E82F6F">
        <w:rPr>
          <w:rFonts w:cs="Calibri"/>
          <w:color w:val="000000"/>
          <w:sz w:val="22"/>
          <w:szCs w:val="22"/>
        </w:rPr>
        <w:t>abstracts presented at seminars and conferences. We reviewed RCT pub</w:t>
      </w:r>
      <w:r w:rsidR="00007D6A">
        <w:rPr>
          <w:rFonts w:cs="Calibri"/>
          <w:color w:val="000000"/>
          <w:sz w:val="22"/>
          <w:szCs w:val="22"/>
        </w:rPr>
        <w:t>lished in English from 2000-2015</w:t>
      </w:r>
      <w:r w:rsidRPr="00E82F6F">
        <w:rPr>
          <w:rFonts w:cs="Calibri"/>
          <w:color w:val="000000"/>
          <w:sz w:val="22"/>
          <w:szCs w:val="22"/>
        </w:rPr>
        <w:t xml:space="preserve"> on therapy efficacy and CV effects of DPP-4 Inhibitors</w:t>
      </w:r>
      <w:r w:rsidR="00017083" w:rsidRPr="00E82F6F">
        <w:rPr>
          <w:rFonts w:cs="Calibri"/>
          <w:color w:val="000000"/>
          <w:sz w:val="22"/>
          <w:szCs w:val="22"/>
        </w:rPr>
        <w:t>.  The inclusion criteria</w:t>
      </w:r>
      <w:r w:rsidRPr="00E82F6F">
        <w:rPr>
          <w:rFonts w:cs="Calibri"/>
          <w:color w:val="000000"/>
          <w:sz w:val="22"/>
          <w:szCs w:val="22"/>
        </w:rPr>
        <w:t xml:space="preserve"> for </w:t>
      </w:r>
      <w:r w:rsidR="00017083" w:rsidRPr="00E82F6F">
        <w:rPr>
          <w:rFonts w:cs="Calibri"/>
          <w:color w:val="000000"/>
          <w:sz w:val="22"/>
          <w:szCs w:val="22"/>
        </w:rPr>
        <w:t xml:space="preserve">analysis included study duration of </w:t>
      </w:r>
      <w:r w:rsidRPr="00E82F6F">
        <w:rPr>
          <w:rFonts w:cs="Calibri"/>
          <w:color w:val="000000"/>
          <w:sz w:val="22"/>
          <w:szCs w:val="22"/>
        </w:rPr>
        <w:t>at least 12 weeks</w:t>
      </w:r>
      <w:r w:rsidR="003C45AB">
        <w:rPr>
          <w:rFonts w:cs="Calibri"/>
          <w:color w:val="000000"/>
          <w:sz w:val="22"/>
          <w:szCs w:val="22"/>
        </w:rPr>
        <w:t xml:space="preserve"> and</w:t>
      </w:r>
      <w:r w:rsidRPr="00E82F6F">
        <w:rPr>
          <w:rFonts w:cs="Calibri"/>
          <w:color w:val="000000"/>
          <w:sz w:val="22"/>
          <w:szCs w:val="22"/>
        </w:rPr>
        <w:t xml:space="preserve"> enro</w:t>
      </w:r>
      <w:r w:rsidR="003C45AB">
        <w:rPr>
          <w:rFonts w:cs="Calibri"/>
          <w:color w:val="000000"/>
          <w:sz w:val="22"/>
          <w:szCs w:val="22"/>
        </w:rPr>
        <w:t>lment of</w:t>
      </w:r>
      <w:r w:rsidRPr="00E82F6F">
        <w:rPr>
          <w:rFonts w:cs="Calibri"/>
          <w:color w:val="000000"/>
          <w:sz w:val="22"/>
          <w:szCs w:val="22"/>
        </w:rPr>
        <w:t xml:space="preserve"> more than 30 participants</w:t>
      </w:r>
      <w:r w:rsidR="00017083" w:rsidRPr="00E82F6F">
        <w:rPr>
          <w:rFonts w:cs="Calibri"/>
          <w:color w:val="000000"/>
          <w:sz w:val="22"/>
          <w:szCs w:val="22"/>
        </w:rPr>
        <w:t xml:space="preserve">.  </w:t>
      </w:r>
      <w:r w:rsidRPr="00E82F6F">
        <w:rPr>
          <w:rFonts w:cs="Calibri"/>
          <w:color w:val="000000"/>
          <w:sz w:val="22"/>
          <w:szCs w:val="22"/>
        </w:rPr>
        <w:t>HbA</w:t>
      </w:r>
      <w:r w:rsidRPr="007B3F30">
        <w:rPr>
          <w:rFonts w:cs="Calibri"/>
          <w:color w:val="000000"/>
          <w:sz w:val="22"/>
          <w:szCs w:val="22"/>
          <w:vertAlign w:val="subscript"/>
        </w:rPr>
        <w:t>1c</w:t>
      </w:r>
      <w:r w:rsidRPr="00E82F6F">
        <w:rPr>
          <w:rFonts w:cs="Calibri"/>
          <w:color w:val="000000"/>
          <w:sz w:val="22"/>
          <w:szCs w:val="22"/>
        </w:rPr>
        <w:t xml:space="preserve"> </w:t>
      </w:r>
      <w:r w:rsidR="00017083" w:rsidRPr="00E82F6F">
        <w:rPr>
          <w:rFonts w:cs="Calibri"/>
          <w:color w:val="000000"/>
          <w:sz w:val="22"/>
          <w:szCs w:val="22"/>
        </w:rPr>
        <w:t xml:space="preserve">reduction of at least </w:t>
      </w:r>
      <w:r w:rsidRPr="00E82F6F">
        <w:rPr>
          <w:rFonts w:cs="Calibri"/>
          <w:color w:val="000000"/>
          <w:sz w:val="22"/>
          <w:szCs w:val="22"/>
        </w:rPr>
        <w:t xml:space="preserve">0.5%-1.0% </w:t>
      </w:r>
      <w:r w:rsidR="00017083" w:rsidRPr="00E82F6F">
        <w:rPr>
          <w:rFonts w:cs="Calibri"/>
          <w:color w:val="000000"/>
          <w:sz w:val="22"/>
          <w:szCs w:val="22"/>
        </w:rPr>
        <w:t>was selected</w:t>
      </w:r>
      <w:r w:rsidRPr="00E82F6F">
        <w:rPr>
          <w:rFonts w:cs="Calibri"/>
          <w:color w:val="000000"/>
          <w:sz w:val="22"/>
          <w:szCs w:val="22"/>
        </w:rPr>
        <w:t xml:space="preserve"> as efficacy outcome.  </w:t>
      </w:r>
      <w:r w:rsidR="00017083" w:rsidRPr="00E82F6F">
        <w:rPr>
          <w:rFonts w:cs="Calibri"/>
          <w:color w:val="000000"/>
          <w:sz w:val="22"/>
          <w:szCs w:val="22"/>
        </w:rPr>
        <w:t>CV</w:t>
      </w:r>
      <w:r w:rsidRPr="00E82F6F">
        <w:rPr>
          <w:rFonts w:cs="Calibri"/>
          <w:color w:val="000000"/>
          <w:sz w:val="22"/>
          <w:szCs w:val="22"/>
        </w:rPr>
        <w:t xml:space="preserve"> effects </w:t>
      </w:r>
      <w:r w:rsidR="00017083" w:rsidRPr="00E82F6F">
        <w:rPr>
          <w:rFonts w:cs="Calibri"/>
          <w:color w:val="000000"/>
          <w:sz w:val="22"/>
          <w:szCs w:val="22"/>
        </w:rPr>
        <w:t>were considered</w:t>
      </w:r>
      <w:r w:rsidRPr="00E82F6F">
        <w:rPr>
          <w:rFonts w:cs="Calibri"/>
          <w:color w:val="000000"/>
          <w:sz w:val="22"/>
          <w:szCs w:val="22"/>
        </w:rPr>
        <w:t xml:space="preserve"> </w:t>
      </w:r>
      <w:r w:rsidR="00017083" w:rsidRPr="00E82F6F">
        <w:rPr>
          <w:rFonts w:cs="Calibri"/>
          <w:color w:val="000000"/>
          <w:sz w:val="22"/>
          <w:szCs w:val="22"/>
        </w:rPr>
        <w:t>as</w:t>
      </w:r>
      <w:r w:rsidRPr="00E82F6F">
        <w:rPr>
          <w:rFonts w:cs="Calibri"/>
          <w:color w:val="000000"/>
          <w:sz w:val="22"/>
          <w:szCs w:val="22"/>
        </w:rPr>
        <w:t xml:space="preserve"> </w:t>
      </w:r>
      <w:r w:rsidR="00017083" w:rsidRPr="00E82F6F">
        <w:rPr>
          <w:rFonts w:cs="Calibri"/>
          <w:color w:val="000000"/>
          <w:sz w:val="22"/>
          <w:szCs w:val="22"/>
        </w:rPr>
        <w:t>major adverse c</w:t>
      </w:r>
      <w:r w:rsidRPr="00E82F6F">
        <w:rPr>
          <w:rFonts w:cs="Calibri"/>
          <w:color w:val="000000"/>
          <w:sz w:val="22"/>
          <w:szCs w:val="22"/>
        </w:rPr>
        <w:t>ardiovascular event</w:t>
      </w:r>
      <w:r w:rsidR="00017083" w:rsidRPr="00E82F6F">
        <w:rPr>
          <w:rFonts w:cs="Calibri"/>
          <w:color w:val="000000"/>
          <w:sz w:val="22"/>
          <w:szCs w:val="22"/>
        </w:rPr>
        <w:t>s (MACE)</w:t>
      </w:r>
      <w:r w:rsidRPr="00E82F6F">
        <w:rPr>
          <w:rFonts w:cs="Calibri"/>
          <w:color w:val="000000"/>
          <w:sz w:val="22"/>
          <w:szCs w:val="22"/>
        </w:rPr>
        <w:t xml:space="preserve"> in non-pregnant adult</w:t>
      </w:r>
      <w:r w:rsidR="00007D6A">
        <w:rPr>
          <w:rFonts w:cs="Calibri"/>
          <w:color w:val="000000"/>
          <w:sz w:val="22"/>
          <w:szCs w:val="22"/>
        </w:rPr>
        <w:t>s</w:t>
      </w:r>
      <w:r w:rsidRPr="00E82F6F">
        <w:rPr>
          <w:rFonts w:cs="Calibri"/>
          <w:color w:val="000000"/>
          <w:sz w:val="22"/>
          <w:szCs w:val="22"/>
        </w:rPr>
        <w:t xml:space="preserve"> </w:t>
      </w:r>
      <w:r w:rsidR="00017083" w:rsidRPr="00E82F6F">
        <w:rPr>
          <w:rFonts w:cs="Calibri"/>
          <w:color w:val="000000"/>
          <w:sz w:val="22"/>
          <w:szCs w:val="22"/>
        </w:rPr>
        <w:t xml:space="preserve">with T2DM.  Type 1 diabetes mellitus </w:t>
      </w:r>
      <w:r w:rsidRPr="00E82F6F">
        <w:rPr>
          <w:rFonts w:cs="Calibri"/>
          <w:color w:val="000000"/>
          <w:sz w:val="22"/>
          <w:szCs w:val="22"/>
        </w:rPr>
        <w:t xml:space="preserve">patients </w:t>
      </w:r>
      <w:r w:rsidR="00017083" w:rsidRPr="00E82F6F">
        <w:rPr>
          <w:rFonts w:cs="Calibri"/>
          <w:color w:val="000000"/>
          <w:sz w:val="22"/>
          <w:szCs w:val="22"/>
        </w:rPr>
        <w:t>were</w:t>
      </w:r>
      <w:r w:rsidRPr="00E82F6F">
        <w:rPr>
          <w:rFonts w:cs="Calibri"/>
          <w:color w:val="000000"/>
          <w:sz w:val="22"/>
          <w:szCs w:val="22"/>
        </w:rPr>
        <w:t xml:space="preserve"> excluded from </w:t>
      </w:r>
      <w:r w:rsidR="003C45AB">
        <w:rPr>
          <w:rFonts w:cs="Calibri"/>
          <w:color w:val="000000"/>
          <w:sz w:val="22"/>
          <w:szCs w:val="22"/>
        </w:rPr>
        <w:t xml:space="preserve">this </w:t>
      </w:r>
      <w:r w:rsidRPr="00E82F6F">
        <w:rPr>
          <w:rFonts w:cs="Calibri"/>
          <w:color w:val="000000"/>
          <w:sz w:val="22"/>
          <w:szCs w:val="22"/>
        </w:rPr>
        <w:t xml:space="preserve">review. </w:t>
      </w:r>
    </w:p>
    <w:p w:rsidR="00BB134C" w:rsidRPr="00E82F6F" w:rsidRDefault="00BB134C" w:rsidP="00BB134C">
      <w:pPr>
        <w:pStyle w:val="CM5"/>
        <w:ind w:right="152"/>
        <w:rPr>
          <w:rFonts w:cs="Calibri"/>
          <w:color w:val="000000"/>
          <w:sz w:val="22"/>
          <w:szCs w:val="22"/>
        </w:rPr>
      </w:pPr>
    </w:p>
    <w:p w:rsidR="00957EB2" w:rsidRDefault="00BB134C" w:rsidP="009A21E3">
      <w:pPr>
        <w:rPr>
          <w:b/>
        </w:rPr>
      </w:pPr>
      <w:r w:rsidRPr="00E82F6F">
        <w:rPr>
          <w:b/>
        </w:rPr>
        <w:t>Results:</w:t>
      </w:r>
      <w:r w:rsidR="00017083" w:rsidRPr="00E82F6F">
        <w:rPr>
          <w:b/>
        </w:rPr>
        <w:t xml:space="preserve"> </w:t>
      </w:r>
      <w:r w:rsidR="00957EB2" w:rsidRPr="00957EB2">
        <w:t>A total of 59 studies met the selection criteria</w:t>
      </w:r>
      <w:r w:rsidR="00957EB2">
        <w:rPr>
          <w:b/>
        </w:rPr>
        <w:t xml:space="preserve"> </w:t>
      </w:r>
      <w:r w:rsidR="00957EB2">
        <w:t>(</w:t>
      </w:r>
      <w:proofErr w:type="spellStart"/>
      <w:r w:rsidR="00957EB2">
        <w:t>Alogliptin</w:t>
      </w:r>
      <w:proofErr w:type="spellEnd"/>
      <w:r w:rsidR="00957EB2">
        <w:t xml:space="preserve"> 7, </w:t>
      </w:r>
      <w:proofErr w:type="spellStart"/>
      <w:r w:rsidR="00957EB2">
        <w:t>Linagliptin</w:t>
      </w:r>
      <w:proofErr w:type="spellEnd"/>
      <w:r w:rsidR="00957EB2">
        <w:t xml:space="preserve"> 7, </w:t>
      </w:r>
      <w:proofErr w:type="spellStart"/>
      <w:r w:rsidR="00957EB2">
        <w:t>Saxagliptin</w:t>
      </w:r>
      <w:proofErr w:type="spellEnd"/>
      <w:r w:rsidR="00957EB2">
        <w:t xml:space="preserve"> 8, </w:t>
      </w:r>
      <w:proofErr w:type="spellStart"/>
      <w:r w:rsidR="00957EB2">
        <w:t>Vildagliptin</w:t>
      </w:r>
      <w:proofErr w:type="spellEnd"/>
      <w:r w:rsidR="00957EB2">
        <w:t xml:space="preserve"> 15, </w:t>
      </w:r>
      <w:proofErr w:type="spellStart"/>
      <w:proofErr w:type="gramStart"/>
      <w:r w:rsidR="00957EB2">
        <w:t>Sitagliptin</w:t>
      </w:r>
      <w:proofErr w:type="spellEnd"/>
      <w:proofErr w:type="gramEnd"/>
      <w:r w:rsidR="00957EB2">
        <w:t xml:space="preserve"> 22).  </w:t>
      </w:r>
      <w:r w:rsidR="00957EB2" w:rsidRPr="00E82F6F">
        <w:t>The reviewed studies</w:t>
      </w:r>
      <w:r w:rsidR="00957EB2">
        <w:t xml:space="preserve"> </w:t>
      </w:r>
      <w:r w:rsidR="00E82F6F" w:rsidRPr="00E82F6F">
        <w:t>differ</w:t>
      </w:r>
      <w:r w:rsidR="00957EB2">
        <w:t>ed</w:t>
      </w:r>
      <w:r w:rsidR="00E82F6F" w:rsidRPr="00E82F6F">
        <w:t xml:space="preserve"> with regard to patient population and duration.  However, DPP-4 inhibitors conclusively show</w:t>
      </w:r>
      <w:r w:rsidR="007B3F30">
        <w:t>ed</w:t>
      </w:r>
      <w:r w:rsidR="00E82F6F" w:rsidRPr="00E82F6F">
        <w:t xml:space="preserve"> efficacy in lowering </w:t>
      </w:r>
      <w:proofErr w:type="spellStart"/>
      <w:r w:rsidR="00E82F6F" w:rsidRPr="00E82F6F">
        <w:t>glycemic</w:t>
      </w:r>
      <w:proofErr w:type="spellEnd"/>
      <w:r w:rsidR="00E82F6F" w:rsidRPr="00E82F6F">
        <w:t xml:space="preserve"> levels and achieving a </w:t>
      </w:r>
      <w:r w:rsidR="005507C2">
        <w:t>meaningful</w:t>
      </w:r>
      <w:r w:rsidR="00E82F6F" w:rsidRPr="00E82F6F">
        <w:t xml:space="preserve"> reduction of HbA</w:t>
      </w:r>
      <w:r w:rsidR="00E82F6F" w:rsidRPr="003C45AB">
        <w:rPr>
          <w:vertAlign w:val="subscript"/>
        </w:rPr>
        <w:t>1c</w:t>
      </w:r>
      <w:r w:rsidR="00E82F6F" w:rsidRPr="00E82F6F">
        <w:t xml:space="preserve"> from the baseline </w:t>
      </w:r>
      <w:r w:rsidR="005507C2">
        <w:t>when used as a monother</w:t>
      </w:r>
      <w:r w:rsidR="003C45AB">
        <w:t>apy or as an add-on</w:t>
      </w:r>
      <w:r w:rsidR="005507C2">
        <w:t xml:space="preserve"> therapy, </w:t>
      </w:r>
      <w:r w:rsidR="00E82F6F" w:rsidRPr="00E82F6F">
        <w:t xml:space="preserve">with a majority of T2DM patients achieving HbA1c levels </w:t>
      </w:r>
      <w:r w:rsidR="005507C2">
        <w:t>of</w:t>
      </w:r>
      <w:r w:rsidR="00E82F6F" w:rsidRPr="00E82F6F">
        <w:t xml:space="preserve"> </w:t>
      </w:r>
      <w:r w:rsidR="005507C2" w:rsidRPr="005507C2">
        <w:t>&lt;</w:t>
      </w:r>
      <w:r w:rsidR="00E82F6F" w:rsidRPr="00E82F6F">
        <w:t>7%</w:t>
      </w:r>
      <w:r w:rsidR="005507C2">
        <w:t xml:space="preserve"> (Table</w:t>
      </w:r>
      <w:r w:rsidR="00957EB2">
        <w:t>)</w:t>
      </w:r>
      <w:r w:rsidR="00E82F6F" w:rsidRPr="00E82F6F">
        <w:t>.</w:t>
      </w:r>
      <w:r w:rsidR="00E82F6F" w:rsidRPr="00E82F6F">
        <w:rPr>
          <w:b/>
        </w:rPr>
        <w:t xml:space="preserve">  </w:t>
      </w:r>
    </w:p>
    <w:tbl>
      <w:tblPr>
        <w:tblW w:w="930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1417"/>
        <w:gridCol w:w="1276"/>
        <w:gridCol w:w="1276"/>
        <w:gridCol w:w="1417"/>
        <w:gridCol w:w="1258"/>
      </w:tblGrid>
      <w:tr w:rsidR="00957EB2" w:rsidTr="00771B32">
        <w:trPr>
          <w:trHeight w:val="175"/>
        </w:trPr>
        <w:tc>
          <w:tcPr>
            <w:tcW w:w="26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57EB2" w:rsidRDefault="00957EB2" w:rsidP="00771B32">
            <w:pPr>
              <w:pStyle w:val="Default"/>
              <w:rPr>
                <w:rFonts w:cstheme="minorBidi"/>
                <w:color w:val="auto"/>
              </w:rPr>
            </w:pPr>
          </w:p>
          <w:p w:rsidR="00957EB2" w:rsidRDefault="00957EB2" w:rsidP="00771B32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57EB2" w:rsidRDefault="00957EB2" w:rsidP="00771B32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Sitagliptin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57EB2" w:rsidRDefault="00957EB2" w:rsidP="00771B32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Vildagliptin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57EB2" w:rsidRDefault="00957EB2" w:rsidP="00771B32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Linagliptin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57EB2" w:rsidRDefault="00957EB2" w:rsidP="00771B32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Saxagliptin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57EB2" w:rsidRDefault="00957EB2" w:rsidP="00771B32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Alogliptin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957EB2" w:rsidTr="00771B32">
        <w:trPr>
          <w:trHeight w:val="285"/>
        </w:trPr>
        <w:tc>
          <w:tcPr>
            <w:tcW w:w="26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57EB2" w:rsidRDefault="00957EB2" w:rsidP="00771B3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Weighted mean HbA1c change from baseline (95% CI)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57EB2" w:rsidRDefault="00957EB2" w:rsidP="00771B3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-0.75</w:t>
            </w:r>
          </w:p>
          <w:p w:rsidR="00957EB2" w:rsidRDefault="00957EB2" w:rsidP="00771B3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(-0.90 to -0.60)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57EB2" w:rsidRDefault="00957EB2" w:rsidP="00771B3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0.67</w:t>
            </w:r>
          </w:p>
          <w:p w:rsidR="00957EB2" w:rsidRDefault="00957EB2" w:rsidP="00771B3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(-0.87 to </w:t>
            </w:r>
            <w:r>
              <w:rPr>
                <w:sz w:val="18"/>
                <w:szCs w:val="18"/>
              </w:rPr>
              <w:softHyphen/>
              <w:t xml:space="preserve">0.47)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57EB2" w:rsidRDefault="00957EB2" w:rsidP="00771B3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-0.74</w:t>
            </w:r>
          </w:p>
          <w:p w:rsidR="00957EB2" w:rsidRDefault="00957EB2" w:rsidP="00771B3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(-0.96 to</w:t>
            </w:r>
            <w:r>
              <w:rPr>
                <w:sz w:val="18"/>
                <w:szCs w:val="18"/>
              </w:rPr>
              <w:softHyphen/>
            </w:r>
            <w:r w:rsidR="007B3F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0.51)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57EB2" w:rsidRDefault="00957EB2" w:rsidP="00771B3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-0.61</w:t>
            </w:r>
          </w:p>
          <w:p w:rsidR="00957EB2" w:rsidRDefault="00957EB2" w:rsidP="00771B3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(-0.91 to -0.31) 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57EB2" w:rsidRDefault="00957EB2" w:rsidP="00771B3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-0.74</w:t>
            </w:r>
          </w:p>
          <w:p w:rsidR="00957EB2" w:rsidRDefault="00957EB2" w:rsidP="00771B3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(-0.99 to </w:t>
            </w:r>
            <w:r>
              <w:rPr>
                <w:sz w:val="18"/>
                <w:szCs w:val="18"/>
              </w:rPr>
              <w:softHyphen/>
              <w:t xml:space="preserve">0.49) </w:t>
            </w:r>
          </w:p>
        </w:tc>
      </w:tr>
      <w:tr w:rsidR="00957EB2" w:rsidTr="00771B32">
        <w:trPr>
          <w:trHeight w:val="305"/>
        </w:trPr>
        <w:tc>
          <w:tcPr>
            <w:tcW w:w="26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57EB2" w:rsidRDefault="00957EB2" w:rsidP="00771B3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Achieving HbA1c &lt;7% Odds Ratio (95% CI)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57EB2" w:rsidRDefault="00957EB2" w:rsidP="00771B3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3.64 </w:t>
            </w:r>
          </w:p>
          <w:p w:rsidR="00957EB2" w:rsidRDefault="00957EB2" w:rsidP="00771B3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(2.18 to 5.71)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57EB2" w:rsidRDefault="00957EB2" w:rsidP="00771B3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4.02</w:t>
            </w:r>
          </w:p>
          <w:p w:rsidR="00957EB2" w:rsidRDefault="00957EB2" w:rsidP="00771B3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(2.11 to 6.89)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57EB2" w:rsidRDefault="00957EB2" w:rsidP="00771B3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3.33</w:t>
            </w:r>
          </w:p>
          <w:p w:rsidR="00957EB2" w:rsidRDefault="00957EB2" w:rsidP="00771B3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(1.60 to 6.27)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57EB2" w:rsidRDefault="00957EB2" w:rsidP="00771B3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2.11</w:t>
            </w:r>
          </w:p>
          <w:p w:rsidR="00957EB2" w:rsidRDefault="00957EB2" w:rsidP="00771B3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(0.86 to 4.39) 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57EB2" w:rsidRDefault="00957EB2" w:rsidP="00771B3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4.29</w:t>
            </w:r>
          </w:p>
          <w:p w:rsidR="00957EB2" w:rsidRDefault="00957EB2" w:rsidP="00771B3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(2.10 to 8.00) </w:t>
            </w:r>
          </w:p>
        </w:tc>
      </w:tr>
    </w:tbl>
    <w:p w:rsidR="00957EB2" w:rsidRDefault="00957EB2" w:rsidP="009A21E3">
      <w:pPr>
        <w:rPr>
          <w:b/>
        </w:rPr>
      </w:pPr>
    </w:p>
    <w:p w:rsidR="00BB134C" w:rsidRDefault="00E82F6F" w:rsidP="009A21E3">
      <w:r w:rsidRPr="00E82F6F">
        <w:lastRenderedPageBreak/>
        <w:t>The</w:t>
      </w:r>
      <w:r w:rsidRPr="00E82F6F">
        <w:rPr>
          <w:b/>
        </w:rPr>
        <w:t xml:space="preserve"> </w:t>
      </w:r>
      <w:proofErr w:type="spellStart"/>
      <w:r w:rsidR="007B3F30" w:rsidRPr="007B3F30">
        <w:t>Saxagliptin</w:t>
      </w:r>
      <w:proofErr w:type="spellEnd"/>
      <w:r w:rsidR="007B3F30">
        <w:rPr>
          <w:b/>
        </w:rPr>
        <w:t xml:space="preserve"> </w:t>
      </w:r>
      <w:r w:rsidR="00017083" w:rsidRPr="00282C4D">
        <w:t xml:space="preserve">SAVOR-TIMI 53 </w:t>
      </w:r>
      <w:r w:rsidR="007B3F30">
        <w:t>trial</w:t>
      </w:r>
      <w:r w:rsidRPr="00E82F6F">
        <w:t xml:space="preserve"> showed that</w:t>
      </w:r>
      <w:r w:rsidR="00017083" w:rsidRPr="00E82F6F">
        <w:t xml:space="preserve"> </w:t>
      </w:r>
      <w:r w:rsidR="007B3F30">
        <w:t>the drug</w:t>
      </w:r>
      <w:r w:rsidR="00017083" w:rsidRPr="00E82F6F">
        <w:t xml:space="preserve"> </w:t>
      </w:r>
      <w:r w:rsidR="007B3F30">
        <w:t>is</w:t>
      </w:r>
      <w:r w:rsidR="00017083" w:rsidRPr="00E82F6F">
        <w:t xml:space="preserve"> safe for cardiovascular patients with no significant increase in endpoint of MACE (HR1.02, CI 0.94-1.11, p=0.66)</w:t>
      </w:r>
      <w:r w:rsidRPr="00E82F6F">
        <w:t>,</w:t>
      </w:r>
      <w:r w:rsidR="00017083" w:rsidRPr="00E82F6F">
        <w:t xml:space="preserve"> but slightly increases the risk of hospitalization with heart failures. </w:t>
      </w:r>
      <w:r w:rsidR="00017083" w:rsidRPr="00282C4D">
        <w:t>EXAMINE</w:t>
      </w:r>
      <w:r w:rsidR="00017083" w:rsidRPr="00E82F6F">
        <w:t xml:space="preserve"> trial </w:t>
      </w:r>
      <w:r w:rsidR="003C45AB">
        <w:t>using</w:t>
      </w:r>
      <w:r w:rsidR="007B3F30">
        <w:t xml:space="preserve"> </w:t>
      </w:r>
      <w:proofErr w:type="spellStart"/>
      <w:r w:rsidR="007B3F30">
        <w:t>Alogliptin</w:t>
      </w:r>
      <w:proofErr w:type="spellEnd"/>
      <w:r w:rsidR="007B3F30">
        <w:t xml:space="preserve"> </w:t>
      </w:r>
      <w:r w:rsidR="00017083" w:rsidRPr="00E82F6F">
        <w:t xml:space="preserve">also </w:t>
      </w:r>
      <w:r w:rsidRPr="00E82F6F">
        <w:t>showed</w:t>
      </w:r>
      <w:r w:rsidR="00017083" w:rsidRPr="00E82F6F">
        <w:t xml:space="preserve"> the same results with no significant increase in MAC</w:t>
      </w:r>
      <w:r w:rsidRPr="00E82F6F">
        <w:t>E events as compared to placebo</w:t>
      </w:r>
      <w:r w:rsidR="00017083" w:rsidRPr="00E82F6F">
        <w:t xml:space="preserve"> (HR 0</w:t>
      </w:r>
      <w:r w:rsidRPr="00E82F6F">
        <w:t>.96, p</w:t>
      </w:r>
      <w:r>
        <w:t>=</w:t>
      </w:r>
      <w:r w:rsidRPr="00E82F6F">
        <w:t>&lt;0.001)</w:t>
      </w:r>
      <w:r w:rsidRPr="00285762">
        <w:t>.</w:t>
      </w:r>
      <w:r w:rsidR="00017083" w:rsidRPr="00285762">
        <w:t xml:space="preserve"> </w:t>
      </w:r>
      <w:r w:rsidRPr="00285762">
        <w:t xml:space="preserve"> </w:t>
      </w:r>
      <w:r w:rsidR="009A21E3" w:rsidRPr="00285762">
        <w:t xml:space="preserve">The TECOS trial </w:t>
      </w:r>
      <w:r w:rsidR="00285762" w:rsidRPr="00285762">
        <w:t xml:space="preserve">using </w:t>
      </w:r>
      <w:proofErr w:type="spellStart"/>
      <w:r w:rsidR="003C45AB">
        <w:t>S</w:t>
      </w:r>
      <w:r w:rsidR="009A21E3" w:rsidRPr="00285762">
        <w:t>itagliptin</w:t>
      </w:r>
      <w:proofErr w:type="spellEnd"/>
      <w:r w:rsidR="009A21E3" w:rsidRPr="00285762">
        <w:t xml:space="preserve"> </w:t>
      </w:r>
      <w:r w:rsidR="00155145" w:rsidRPr="00285762">
        <w:t xml:space="preserve">did not </w:t>
      </w:r>
      <w:r w:rsidR="00285762" w:rsidRPr="00285762">
        <w:t>show increased</w:t>
      </w:r>
      <w:r w:rsidR="00155145" w:rsidRPr="00285762">
        <w:t xml:space="preserve"> risk </w:t>
      </w:r>
      <w:r w:rsidR="009A21E3" w:rsidRPr="00285762">
        <w:t>for major adverse CV events or hospitalization for heart failure.</w:t>
      </w:r>
      <w:r w:rsidR="00155145" w:rsidRPr="00285762">
        <w:t xml:space="preserve">  </w:t>
      </w:r>
      <w:r w:rsidRPr="00285762">
        <w:t xml:space="preserve">The differences in heart failure outcomes notwithstanding, </w:t>
      </w:r>
      <w:r w:rsidR="003C45AB">
        <w:t xml:space="preserve">the </w:t>
      </w:r>
      <w:r w:rsidRPr="00285762">
        <w:t>studies show similar findings for hospitalization for unstable angina, myocardial infarction, and CV death.</w:t>
      </w:r>
    </w:p>
    <w:p w:rsidR="00EA4AEF" w:rsidRDefault="00BB134C" w:rsidP="00285762">
      <w:pPr>
        <w:pStyle w:val="CM3"/>
        <w:rPr>
          <w:rFonts w:cs="Calibri"/>
          <w:color w:val="000000"/>
          <w:sz w:val="23"/>
          <w:szCs w:val="23"/>
        </w:rPr>
      </w:pPr>
      <w:r w:rsidRPr="00017083">
        <w:rPr>
          <w:b/>
        </w:rPr>
        <w:t>Discussion:</w:t>
      </w:r>
      <w:r w:rsidR="00EA4AEF">
        <w:rPr>
          <w:b/>
        </w:rPr>
        <w:t xml:space="preserve">  </w:t>
      </w:r>
      <w:r w:rsidR="00155145">
        <w:rPr>
          <w:rFonts w:cs="Calibri"/>
          <w:color w:val="000000"/>
          <w:sz w:val="23"/>
          <w:szCs w:val="23"/>
        </w:rPr>
        <w:t xml:space="preserve">DPP-4 Inhibitors </w:t>
      </w:r>
      <w:r w:rsidR="00EA4AEF">
        <w:rPr>
          <w:rFonts w:cs="Calibri"/>
          <w:color w:val="000000"/>
          <w:sz w:val="23"/>
          <w:szCs w:val="23"/>
        </w:rPr>
        <w:t xml:space="preserve">have </w:t>
      </w:r>
      <w:r w:rsidR="003C45AB">
        <w:rPr>
          <w:rFonts w:cs="Calibri"/>
          <w:color w:val="000000"/>
          <w:sz w:val="23"/>
          <w:szCs w:val="23"/>
        </w:rPr>
        <w:t>shown</w:t>
      </w:r>
      <w:r w:rsidR="00EA4AEF">
        <w:rPr>
          <w:rFonts w:cs="Calibri"/>
          <w:color w:val="000000"/>
          <w:sz w:val="23"/>
          <w:szCs w:val="23"/>
        </w:rPr>
        <w:t xml:space="preserve"> proven efficacy </w:t>
      </w:r>
      <w:r w:rsidR="00155145">
        <w:rPr>
          <w:rFonts w:cs="Calibri"/>
          <w:color w:val="000000"/>
          <w:sz w:val="23"/>
          <w:szCs w:val="23"/>
        </w:rPr>
        <w:t xml:space="preserve">in controlling </w:t>
      </w:r>
      <w:proofErr w:type="spellStart"/>
      <w:r w:rsidR="00155145">
        <w:rPr>
          <w:rFonts w:cs="Calibri"/>
          <w:color w:val="000000"/>
          <w:sz w:val="23"/>
          <w:szCs w:val="23"/>
        </w:rPr>
        <w:t>glycemia</w:t>
      </w:r>
      <w:proofErr w:type="spellEnd"/>
      <w:r w:rsidR="00155145">
        <w:rPr>
          <w:rFonts w:cs="Calibri"/>
          <w:color w:val="000000"/>
          <w:sz w:val="23"/>
          <w:szCs w:val="23"/>
        </w:rPr>
        <w:t xml:space="preserve"> in T2DM</w:t>
      </w:r>
      <w:r w:rsidR="00EA4AEF">
        <w:rPr>
          <w:rFonts w:cs="Calibri"/>
          <w:color w:val="000000"/>
          <w:sz w:val="23"/>
          <w:szCs w:val="23"/>
        </w:rPr>
        <w:t xml:space="preserve">. </w:t>
      </w:r>
      <w:r w:rsidR="00285762" w:rsidRPr="00285762">
        <w:rPr>
          <w:rFonts w:cs="Calibri"/>
          <w:color w:val="000000"/>
          <w:sz w:val="23"/>
          <w:szCs w:val="23"/>
        </w:rPr>
        <w:t xml:space="preserve">Results of the major CV outcome trials with three DPP-4 inhibitors </w:t>
      </w:r>
      <w:r w:rsidR="00285762">
        <w:rPr>
          <w:rFonts w:cs="Calibri"/>
          <w:color w:val="000000"/>
          <w:sz w:val="23"/>
          <w:szCs w:val="23"/>
        </w:rPr>
        <w:t>reassure</w:t>
      </w:r>
      <w:r w:rsidR="00285762" w:rsidRPr="00285762">
        <w:rPr>
          <w:rFonts w:cs="Calibri"/>
          <w:color w:val="000000"/>
          <w:sz w:val="23"/>
          <w:szCs w:val="23"/>
        </w:rPr>
        <w:t xml:space="preserve"> that </w:t>
      </w:r>
      <w:proofErr w:type="spellStart"/>
      <w:r w:rsidR="00285762" w:rsidRPr="00285762">
        <w:rPr>
          <w:rFonts w:cs="Calibri"/>
          <w:color w:val="000000"/>
          <w:sz w:val="23"/>
          <w:szCs w:val="23"/>
        </w:rPr>
        <w:t>incretin</w:t>
      </w:r>
      <w:proofErr w:type="spellEnd"/>
      <w:r w:rsidR="00285762" w:rsidRPr="00285762">
        <w:rPr>
          <w:rFonts w:cs="Calibri"/>
          <w:color w:val="000000"/>
          <w:sz w:val="23"/>
          <w:szCs w:val="23"/>
        </w:rPr>
        <w:t>-based therapies have neutral</w:t>
      </w:r>
      <w:r w:rsidR="00285762">
        <w:rPr>
          <w:rFonts w:cs="Calibri"/>
          <w:color w:val="000000"/>
          <w:sz w:val="23"/>
          <w:szCs w:val="23"/>
        </w:rPr>
        <w:t xml:space="preserve"> </w:t>
      </w:r>
      <w:r w:rsidR="00285762" w:rsidRPr="00285762">
        <w:rPr>
          <w:rFonts w:cs="Calibri"/>
          <w:color w:val="000000"/>
          <w:sz w:val="23"/>
          <w:szCs w:val="23"/>
        </w:rPr>
        <w:t>CV</w:t>
      </w:r>
      <w:r w:rsidR="00285762">
        <w:rPr>
          <w:rFonts w:cs="Calibri"/>
          <w:color w:val="000000"/>
          <w:sz w:val="23"/>
          <w:szCs w:val="23"/>
        </w:rPr>
        <w:t xml:space="preserve"> </w:t>
      </w:r>
      <w:r w:rsidR="00285762" w:rsidRPr="00285762">
        <w:rPr>
          <w:rFonts w:cs="Calibri"/>
          <w:color w:val="000000"/>
          <w:sz w:val="23"/>
          <w:szCs w:val="23"/>
        </w:rPr>
        <w:t>safety profiles in patients with</w:t>
      </w:r>
      <w:r w:rsidR="00285762">
        <w:rPr>
          <w:rFonts w:cs="Calibri"/>
          <w:color w:val="000000"/>
          <w:sz w:val="23"/>
          <w:szCs w:val="23"/>
        </w:rPr>
        <w:t xml:space="preserve"> </w:t>
      </w:r>
      <w:r w:rsidR="00285762" w:rsidRPr="00285762">
        <w:rPr>
          <w:rFonts w:cs="Calibri"/>
          <w:color w:val="000000"/>
          <w:sz w:val="23"/>
          <w:szCs w:val="23"/>
        </w:rPr>
        <w:t>T2DM</w:t>
      </w:r>
      <w:r w:rsidR="00285762">
        <w:rPr>
          <w:rFonts w:cs="Calibri"/>
          <w:color w:val="000000"/>
          <w:sz w:val="23"/>
          <w:szCs w:val="23"/>
        </w:rPr>
        <w:t xml:space="preserve">.  </w:t>
      </w:r>
      <w:r w:rsidR="00285762" w:rsidRPr="00285762">
        <w:rPr>
          <w:rFonts w:cs="Calibri"/>
          <w:color w:val="000000"/>
          <w:sz w:val="23"/>
          <w:szCs w:val="23"/>
        </w:rPr>
        <w:t xml:space="preserve">The heart failure findings in SAVOR-TIMI 53 </w:t>
      </w:r>
      <w:r w:rsidR="00285762">
        <w:rPr>
          <w:rFonts w:cs="Calibri"/>
          <w:color w:val="000000"/>
          <w:sz w:val="23"/>
          <w:szCs w:val="23"/>
        </w:rPr>
        <w:t xml:space="preserve">require </w:t>
      </w:r>
      <w:r w:rsidR="00285762" w:rsidRPr="00285762">
        <w:rPr>
          <w:rFonts w:cs="Calibri"/>
          <w:color w:val="000000"/>
          <w:sz w:val="23"/>
          <w:szCs w:val="23"/>
        </w:rPr>
        <w:t xml:space="preserve">further </w:t>
      </w:r>
      <w:r w:rsidR="005507C2">
        <w:rPr>
          <w:rFonts w:cs="Calibri"/>
          <w:color w:val="000000"/>
          <w:sz w:val="23"/>
          <w:szCs w:val="23"/>
        </w:rPr>
        <w:t>s</w:t>
      </w:r>
      <w:r w:rsidR="003C45AB">
        <w:rPr>
          <w:rFonts w:cs="Calibri"/>
          <w:color w:val="000000"/>
          <w:sz w:val="23"/>
          <w:szCs w:val="23"/>
        </w:rPr>
        <w:t>tudy</w:t>
      </w:r>
      <w:r w:rsidR="00285762" w:rsidRPr="00285762">
        <w:rPr>
          <w:rFonts w:cs="Calibri"/>
          <w:color w:val="000000"/>
          <w:sz w:val="23"/>
          <w:szCs w:val="23"/>
        </w:rPr>
        <w:t xml:space="preserve"> </w:t>
      </w:r>
      <w:r w:rsidR="005507C2">
        <w:rPr>
          <w:rFonts w:cs="Calibri"/>
          <w:color w:val="000000"/>
          <w:sz w:val="23"/>
          <w:szCs w:val="23"/>
        </w:rPr>
        <w:t>of the mechanism of action of</w:t>
      </w:r>
      <w:r w:rsidR="00285762" w:rsidRPr="00285762">
        <w:rPr>
          <w:rFonts w:cs="Calibri"/>
          <w:color w:val="000000"/>
          <w:sz w:val="23"/>
          <w:szCs w:val="23"/>
        </w:rPr>
        <w:t xml:space="preserve"> </w:t>
      </w:r>
      <w:proofErr w:type="spellStart"/>
      <w:r w:rsidR="00285762" w:rsidRPr="00285762">
        <w:rPr>
          <w:rFonts w:cs="Calibri"/>
          <w:color w:val="000000"/>
          <w:sz w:val="23"/>
          <w:szCs w:val="23"/>
        </w:rPr>
        <w:t>sax</w:t>
      </w:r>
      <w:r w:rsidR="00285762">
        <w:rPr>
          <w:rFonts w:cs="Calibri"/>
          <w:color w:val="000000"/>
          <w:sz w:val="23"/>
          <w:szCs w:val="23"/>
        </w:rPr>
        <w:t>agliptin</w:t>
      </w:r>
      <w:proofErr w:type="spellEnd"/>
      <w:r w:rsidR="00285762">
        <w:rPr>
          <w:rFonts w:cs="Calibri"/>
          <w:color w:val="000000"/>
          <w:sz w:val="23"/>
          <w:szCs w:val="23"/>
        </w:rPr>
        <w:t xml:space="preserve"> on cardiac function in patients with T2DM</w:t>
      </w:r>
      <w:r w:rsidR="00285762" w:rsidRPr="00285762">
        <w:rPr>
          <w:rFonts w:cs="Calibri"/>
          <w:color w:val="000000"/>
          <w:sz w:val="23"/>
          <w:szCs w:val="23"/>
        </w:rPr>
        <w:t>.</w:t>
      </w:r>
    </w:p>
    <w:p w:rsidR="009373F7" w:rsidRDefault="009373F7" w:rsidP="009373F7">
      <w:pPr>
        <w:rPr>
          <w:lang w:eastAsia="en-GB"/>
        </w:rPr>
      </w:pPr>
      <w:bookmarkStart w:id="0" w:name="_GoBack"/>
      <w:bookmarkEnd w:id="0"/>
    </w:p>
    <w:p w:rsidR="009373F7" w:rsidRPr="00E84764" w:rsidRDefault="009373F7" w:rsidP="009373F7">
      <w:pPr>
        <w:rPr>
          <w:b/>
          <w:lang w:eastAsia="en-GB"/>
        </w:rPr>
      </w:pPr>
      <w:r w:rsidRPr="00E84764">
        <w:rPr>
          <w:b/>
          <w:lang w:eastAsia="en-GB"/>
        </w:rPr>
        <w:t xml:space="preserve">References: </w:t>
      </w:r>
    </w:p>
    <w:p w:rsidR="009373F7" w:rsidRDefault="009373F7" w:rsidP="009373F7">
      <w:pPr>
        <w:rPr>
          <w:lang w:eastAsia="en-GB"/>
        </w:rPr>
      </w:pPr>
      <w:proofErr w:type="spellStart"/>
      <w:r w:rsidRPr="009373F7">
        <w:rPr>
          <w:lang w:eastAsia="en-GB"/>
        </w:rPr>
        <w:t>Raz</w:t>
      </w:r>
      <w:proofErr w:type="spellEnd"/>
      <w:r w:rsidRPr="009373F7">
        <w:rPr>
          <w:lang w:eastAsia="en-GB"/>
        </w:rPr>
        <w:t>, I. et al.</w:t>
      </w:r>
      <w:proofErr w:type="gramStart"/>
      <w:r w:rsidRPr="009373F7">
        <w:rPr>
          <w:lang w:eastAsia="en-GB"/>
        </w:rPr>
        <w:t>,(</w:t>
      </w:r>
      <w:proofErr w:type="gramEnd"/>
      <w:r w:rsidRPr="009373F7">
        <w:rPr>
          <w:lang w:eastAsia="en-GB"/>
        </w:rPr>
        <w:t xml:space="preserve">2008). Efficacy and safety of </w:t>
      </w:r>
      <w:proofErr w:type="spellStart"/>
      <w:r w:rsidRPr="009373F7">
        <w:rPr>
          <w:lang w:eastAsia="en-GB"/>
        </w:rPr>
        <w:t>sitagliptin</w:t>
      </w:r>
      <w:proofErr w:type="spellEnd"/>
      <w:r w:rsidRPr="009373F7">
        <w:rPr>
          <w:lang w:eastAsia="en-GB"/>
        </w:rPr>
        <w:t xml:space="preserve"> added to ongoing metformin therapy in patients with type 2 diabetes. Current Medical Research &amp; Opinion, 24(2)</w:t>
      </w:r>
      <w:proofErr w:type="gramStart"/>
      <w:r w:rsidRPr="009373F7">
        <w:rPr>
          <w:lang w:eastAsia="en-GB"/>
        </w:rPr>
        <w:t>,pp.537</w:t>
      </w:r>
      <w:proofErr w:type="gramEnd"/>
      <w:r w:rsidRPr="009373F7">
        <w:rPr>
          <w:lang w:eastAsia="en-GB"/>
        </w:rPr>
        <w:t xml:space="preserve">-550. </w:t>
      </w:r>
    </w:p>
    <w:p w:rsidR="009373F7" w:rsidRPr="009373F7" w:rsidRDefault="009373F7" w:rsidP="009373F7">
      <w:pPr>
        <w:rPr>
          <w:lang w:eastAsia="en-GB"/>
        </w:rPr>
      </w:pPr>
      <w:r w:rsidRPr="009373F7">
        <w:rPr>
          <w:lang w:eastAsia="en-GB"/>
        </w:rPr>
        <w:t>Williams-Herman, D. et al.</w:t>
      </w:r>
      <w:proofErr w:type="gramStart"/>
      <w:r w:rsidRPr="009373F7">
        <w:rPr>
          <w:lang w:eastAsia="en-GB"/>
        </w:rPr>
        <w:t>,(</w:t>
      </w:r>
      <w:proofErr w:type="gramEnd"/>
      <w:r w:rsidRPr="009373F7">
        <w:rPr>
          <w:lang w:eastAsia="en-GB"/>
        </w:rPr>
        <w:t xml:space="preserve">2009). Efficacy and safety of initial combination therapy with </w:t>
      </w:r>
      <w:proofErr w:type="spellStart"/>
      <w:r w:rsidRPr="009373F7">
        <w:rPr>
          <w:lang w:eastAsia="en-GB"/>
        </w:rPr>
        <w:t>sitagliptin</w:t>
      </w:r>
      <w:proofErr w:type="spellEnd"/>
      <w:r w:rsidRPr="009373F7">
        <w:rPr>
          <w:lang w:eastAsia="en-GB"/>
        </w:rPr>
        <w:t xml:space="preserve"> and metformin in patients with type 2 diabetes: a 54 week study. Current Medical Research &amp; Opinion, 25(3)</w:t>
      </w:r>
      <w:proofErr w:type="gramStart"/>
      <w:r w:rsidRPr="009373F7">
        <w:rPr>
          <w:lang w:eastAsia="en-GB"/>
        </w:rPr>
        <w:t>,pp.569</w:t>
      </w:r>
      <w:proofErr w:type="gramEnd"/>
      <w:r w:rsidRPr="009373F7">
        <w:rPr>
          <w:lang w:eastAsia="en-GB"/>
        </w:rPr>
        <w:t>-583.</w:t>
      </w:r>
    </w:p>
    <w:p w:rsidR="00BB134C" w:rsidRDefault="003920D2">
      <w:r>
        <w:t>Presenting Author Details:</w:t>
      </w:r>
    </w:p>
    <w:p w:rsidR="003920D2" w:rsidRDefault="003920D2">
      <w:proofErr w:type="spellStart"/>
      <w:r>
        <w:t>Dr.</w:t>
      </w:r>
      <w:proofErr w:type="spellEnd"/>
      <w:r>
        <w:t xml:space="preserve"> Muhammad Umar Wahab</w:t>
      </w:r>
    </w:p>
    <w:p w:rsidR="003920D2" w:rsidRDefault="003920D2">
      <w:r>
        <w:t xml:space="preserve">MBBS, </w:t>
      </w:r>
      <w:proofErr w:type="spellStart"/>
      <w:r>
        <w:t>PgDpDM</w:t>
      </w:r>
      <w:proofErr w:type="spellEnd"/>
      <w:r>
        <w:t xml:space="preserve"> (UK), MSc Diabetes (UK)</w:t>
      </w:r>
    </w:p>
    <w:p w:rsidR="003920D2" w:rsidRDefault="003920D2">
      <w:r>
        <w:t xml:space="preserve">Email: </w:t>
      </w:r>
      <w:hyperlink r:id="rId4" w:history="1">
        <w:r w:rsidRPr="0009639E">
          <w:rPr>
            <w:rStyle w:val="Hyperlink"/>
          </w:rPr>
          <w:t>dromarwahab@yahoo.com</w:t>
        </w:r>
      </w:hyperlink>
    </w:p>
    <w:p w:rsidR="003920D2" w:rsidRDefault="003920D2">
      <w:r>
        <w:t>Contact Details: 00 92 3339158285</w:t>
      </w:r>
    </w:p>
    <w:p w:rsidR="003920D2" w:rsidRDefault="003920D2">
      <w:r>
        <w:t>Twitter: @</w:t>
      </w:r>
      <w:proofErr w:type="spellStart"/>
      <w:r>
        <w:t>dromarwahab</w:t>
      </w:r>
      <w:proofErr w:type="spellEnd"/>
    </w:p>
    <w:p w:rsidR="003920D2" w:rsidRDefault="003920D2">
      <w:r>
        <w:t>Passport Number: AB6130393</w:t>
      </w:r>
    </w:p>
    <w:p w:rsidR="009373F7" w:rsidRPr="009373F7" w:rsidRDefault="009373F7"/>
    <w:p w:rsidR="00313121" w:rsidRPr="001A10CD" w:rsidRDefault="00313121">
      <w:pPr>
        <w:rPr>
          <w:color w:val="A6A6A6" w:themeColor="background1" w:themeShade="A6"/>
        </w:rPr>
      </w:pPr>
      <w:r w:rsidRPr="001A10CD">
        <w:rPr>
          <w:color w:val="A6A6A6" w:themeColor="background1" w:themeShade="A6"/>
        </w:rPr>
        <w:t xml:space="preserve">Word Count: </w:t>
      </w:r>
      <w:r w:rsidR="00B36E86">
        <w:rPr>
          <w:color w:val="A6A6A6" w:themeColor="background1" w:themeShade="A6"/>
        </w:rPr>
        <w:t>554</w:t>
      </w:r>
      <w:r w:rsidR="00D23FA9" w:rsidRPr="001A10CD">
        <w:rPr>
          <w:color w:val="A6A6A6" w:themeColor="background1" w:themeShade="A6"/>
        </w:rPr>
        <w:t xml:space="preserve"> (700 allowed)</w:t>
      </w:r>
    </w:p>
    <w:p w:rsidR="00D4065F" w:rsidRPr="00017083" w:rsidRDefault="00D4065F">
      <w:pPr>
        <w:rPr>
          <w:b/>
        </w:rPr>
      </w:pPr>
    </w:p>
    <w:sectPr w:rsidR="00D4065F" w:rsidRPr="00017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34C"/>
    <w:rsid w:val="00007D6A"/>
    <w:rsid w:val="00017083"/>
    <w:rsid w:val="00102229"/>
    <w:rsid w:val="001168F0"/>
    <w:rsid w:val="0013760C"/>
    <w:rsid w:val="00155145"/>
    <w:rsid w:val="001A10CD"/>
    <w:rsid w:val="00282C4D"/>
    <w:rsid w:val="00285762"/>
    <w:rsid w:val="00313121"/>
    <w:rsid w:val="003920D2"/>
    <w:rsid w:val="003C45AB"/>
    <w:rsid w:val="005507C2"/>
    <w:rsid w:val="007B3F30"/>
    <w:rsid w:val="009373F7"/>
    <w:rsid w:val="00957EB2"/>
    <w:rsid w:val="009A21E3"/>
    <w:rsid w:val="00B36E86"/>
    <w:rsid w:val="00BB134C"/>
    <w:rsid w:val="00C15F7D"/>
    <w:rsid w:val="00C430A6"/>
    <w:rsid w:val="00D23FA9"/>
    <w:rsid w:val="00D4065F"/>
    <w:rsid w:val="00E506F3"/>
    <w:rsid w:val="00E82F6F"/>
    <w:rsid w:val="00E84764"/>
    <w:rsid w:val="00EA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5DE5A"/>
  <w15:docId w15:val="{4C8390AF-55D3-46CE-8A8E-FF3415062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M5">
    <w:name w:val="CM5"/>
    <w:basedOn w:val="Normal"/>
    <w:next w:val="Normal"/>
    <w:uiPriority w:val="99"/>
    <w:rsid w:val="00BB134C"/>
    <w:pPr>
      <w:widowControl w:val="0"/>
      <w:autoSpaceDE w:val="0"/>
      <w:autoSpaceDN w:val="0"/>
      <w:adjustRightInd w:val="0"/>
      <w:spacing w:after="0" w:line="328" w:lineRule="atLeast"/>
    </w:pPr>
    <w:rPr>
      <w:rFonts w:ascii="Calibri" w:eastAsiaTheme="minorEastAsia" w:hAnsi="Calibri"/>
      <w:sz w:val="24"/>
      <w:szCs w:val="24"/>
      <w:lang w:eastAsia="en-GB"/>
    </w:rPr>
  </w:style>
  <w:style w:type="paragraph" w:customStyle="1" w:styleId="CM3">
    <w:name w:val="CM3"/>
    <w:basedOn w:val="Normal"/>
    <w:next w:val="Normal"/>
    <w:uiPriority w:val="99"/>
    <w:rsid w:val="00BB134C"/>
    <w:pPr>
      <w:widowControl w:val="0"/>
      <w:autoSpaceDE w:val="0"/>
      <w:autoSpaceDN w:val="0"/>
      <w:adjustRightInd w:val="0"/>
      <w:spacing w:after="0" w:line="328" w:lineRule="atLeast"/>
    </w:pPr>
    <w:rPr>
      <w:rFonts w:ascii="Calibri" w:eastAsiaTheme="minorEastAsia" w:hAnsi="Calibri"/>
      <w:sz w:val="24"/>
      <w:szCs w:val="24"/>
      <w:lang w:eastAsia="en-GB"/>
    </w:rPr>
  </w:style>
  <w:style w:type="paragraph" w:customStyle="1" w:styleId="CM33">
    <w:name w:val="CM33"/>
    <w:basedOn w:val="Normal"/>
    <w:next w:val="Normal"/>
    <w:uiPriority w:val="99"/>
    <w:rsid w:val="00BB134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eastAsia="en-GB"/>
    </w:rPr>
  </w:style>
  <w:style w:type="paragraph" w:customStyle="1" w:styleId="Default">
    <w:name w:val="Default"/>
    <w:rsid w:val="00D4065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3920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romarwahab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Cleveland Clinic Abu Dhabi</Company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Imran Mirza</dc:creator>
  <cp:lastModifiedBy>TDC</cp:lastModifiedBy>
  <cp:revision>4</cp:revision>
  <dcterms:created xsi:type="dcterms:W3CDTF">2018-09-22T06:08:00Z</dcterms:created>
  <dcterms:modified xsi:type="dcterms:W3CDTF">2018-10-04T11:47:00Z</dcterms:modified>
</cp:coreProperties>
</file>