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08B8" w:rsidRPr="00F454EB" w:rsidRDefault="009B08B8" w:rsidP="009B08B8">
      <w:pPr>
        <w:jc w:val="center"/>
        <w:rPr>
          <w:rFonts w:asciiTheme="majorBidi" w:eastAsia="AvenirLTStd-Roman" w:hAnsiTheme="majorBidi" w:cstheme="majorBidi"/>
          <w:b/>
          <w:bCs/>
          <w:color w:val="000000"/>
          <w:sz w:val="24"/>
          <w:szCs w:val="24"/>
          <w:lang w:val="en-US"/>
        </w:rPr>
      </w:pPr>
      <w:r w:rsidRPr="00F454EB">
        <w:rPr>
          <w:rFonts w:asciiTheme="majorBidi" w:eastAsia="AvenirLTStd-Roman" w:hAnsiTheme="majorBidi" w:cstheme="majorBidi"/>
          <w:b/>
          <w:bCs/>
          <w:color w:val="000000"/>
          <w:sz w:val="24"/>
          <w:szCs w:val="24"/>
          <w:lang w:val="en-US"/>
        </w:rPr>
        <w:t>Abstract</w:t>
      </w:r>
    </w:p>
    <w:p w:rsidR="009B08B8" w:rsidRPr="00F454EB" w:rsidRDefault="009B08B8" w:rsidP="009B08B8">
      <w:pPr>
        <w:autoSpaceDE w:val="0"/>
        <w:autoSpaceDN w:val="0"/>
        <w:adjustRightInd w:val="0"/>
        <w:spacing w:before="0" w:beforeAutospacing="0" w:after="0" w:afterAutospacing="0" w:line="360" w:lineRule="auto"/>
        <w:ind w:left="0"/>
        <w:jc w:val="both"/>
        <w:rPr>
          <w:rFonts w:asciiTheme="majorBidi" w:eastAsia="AvenirLTStd-Roman" w:hAnsiTheme="majorBidi" w:cstheme="majorBidi"/>
          <w:color w:val="000000"/>
          <w:sz w:val="24"/>
          <w:szCs w:val="24"/>
          <w:lang w:val="en-US"/>
        </w:rPr>
      </w:pPr>
      <w:r w:rsidRPr="00F454EB">
        <w:rPr>
          <w:rFonts w:asciiTheme="majorBidi" w:eastAsia="AvenirLTStd-Roman" w:hAnsiTheme="majorBidi" w:cstheme="majorBidi"/>
          <w:color w:val="000000"/>
          <w:sz w:val="24"/>
          <w:szCs w:val="24"/>
          <w:lang w:val="en-US"/>
        </w:rPr>
        <w:t>Type 1 diabetes in children and adolescents has become a major public health problem worldwide. In Algeria, the prevalence of this disease is increasing alarmingly in urban and rural populations.</w:t>
      </w:r>
    </w:p>
    <w:p w:rsidR="009B08B8" w:rsidRPr="00F454EB" w:rsidRDefault="009B08B8" w:rsidP="009B08B8">
      <w:pPr>
        <w:autoSpaceDE w:val="0"/>
        <w:autoSpaceDN w:val="0"/>
        <w:adjustRightInd w:val="0"/>
        <w:spacing w:before="0" w:beforeAutospacing="0" w:after="0" w:afterAutospacing="0" w:line="360" w:lineRule="auto"/>
        <w:ind w:left="0"/>
        <w:jc w:val="both"/>
        <w:rPr>
          <w:rFonts w:asciiTheme="majorBidi" w:eastAsia="AvenirLTStd-Roman" w:hAnsiTheme="majorBidi" w:cstheme="majorBidi"/>
          <w:color w:val="000000"/>
          <w:sz w:val="24"/>
          <w:szCs w:val="24"/>
          <w:lang w:val="en-US"/>
        </w:rPr>
      </w:pPr>
      <w:r w:rsidRPr="00F454EB">
        <w:rPr>
          <w:rFonts w:asciiTheme="majorBidi" w:eastAsia="AvenirLTStd-Roman" w:hAnsiTheme="majorBidi" w:cstheme="majorBidi"/>
          <w:color w:val="000000"/>
          <w:sz w:val="24"/>
          <w:szCs w:val="24"/>
          <w:lang w:val="en-US"/>
        </w:rPr>
        <w:t>This work aims to identify metabolic disorders linked to typ</w:t>
      </w:r>
      <w:r>
        <w:rPr>
          <w:rFonts w:asciiTheme="majorBidi" w:eastAsia="AvenirLTStd-Roman" w:hAnsiTheme="majorBidi" w:cstheme="majorBidi"/>
          <w:color w:val="000000"/>
          <w:sz w:val="24"/>
          <w:szCs w:val="24"/>
          <w:lang w:val="en-US"/>
        </w:rPr>
        <w:t>e 1 diabetics</w:t>
      </w:r>
      <w:r w:rsidRPr="00F454EB">
        <w:rPr>
          <w:rFonts w:asciiTheme="majorBidi" w:eastAsia="AvenirLTStd-Roman" w:hAnsiTheme="majorBidi" w:cstheme="majorBidi"/>
          <w:color w:val="000000"/>
          <w:sz w:val="24"/>
          <w:szCs w:val="24"/>
          <w:lang w:val="en-US"/>
        </w:rPr>
        <w:t xml:space="preserve"> children </w:t>
      </w:r>
      <w:r w:rsidRPr="006A5188">
        <w:rPr>
          <w:rFonts w:asciiTheme="majorBidi" w:eastAsia="AvenirLTStd-Roman" w:hAnsiTheme="majorBidi" w:cstheme="majorBidi"/>
          <w:color w:val="000000"/>
          <w:sz w:val="24"/>
          <w:szCs w:val="24"/>
          <w:lang w:val="en-US"/>
        </w:rPr>
        <w:t xml:space="preserve">from </w:t>
      </w:r>
      <w:proofErr w:type="spellStart"/>
      <w:r w:rsidRPr="006A5188">
        <w:rPr>
          <w:rFonts w:asciiTheme="majorBidi" w:eastAsia="AvenirLTStd-Roman" w:hAnsiTheme="majorBidi" w:cstheme="majorBidi"/>
          <w:color w:val="000000"/>
          <w:sz w:val="24"/>
          <w:szCs w:val="24"/>
          <w:lang w:val="en-US"/>
        </w:rPr>
        <w:t>Tlemcen</w:t>
      </w:r>
      <w:proofErr w:type="spellEnd"/>
      <w:r w:rsidRPr="006A5188">
        <w:rPr>
          <w:rFonts w:asciiTheme="majorBidi" w:eastAsia="AvenirLTStd-Roman" w:hAnsiTheme="majorBidi" w:cstheme="majorBidi"/>
          <w:color w:val="000000"/>
          <w:sz w:val="24"/>
          <w:szCs w:val="24"/>
          <w:lang w:val="en-US"/>
        </w:rPr>
        <w:t>: A Western Algerian population</w:t>
      </w:r>
      <w:r>
        <w:rPr>
          <w:rFonts w:asciiTheme="majorBidi" w:eastAsia="AvenirLTStd-Roman" w:hAnsiTheme="majorBidi" w:cstheme="majorBidi"/>
          <w:color w:val="000000"/>
          <w:sz w:val="24"/>
          <w:szCs w:val="24"/>
          <w:lang w:val="en-US"/>
        </w:rPr>
        <w:t>.</w:t>
      </w:r>
      <w:r w:rsidRPr="006A5188">
        <w:rPr>
          <w:rFonts w:asciiTheme="majorBidi" w:eastAsia="AvenirLTStd-Roman" w:hAnsiTheme="majorBidi" w:cstheme="majorBidi"/>
          <w:color w:val="000000"/>
          <w:sz w:val="24"/>
          <w:szCs w:val="24"/>
          <w:lang w:val="en-US"/>
        </w:rPr>
        <w:t xml:space="preserve"> </w:t>
      </w:r>
      <w:r w:rsidRPr="00F454EB">
        <w:rPr>
          <w:rFonts w:asciiTheme="majorBidi" w:eastAsia="AvenirLTStd-Roman" w:hAnsiTheme="majorBidi" w:cstheme="majorBidi"/>
          <w:color w:val="000000"/>
          <w:sz w:val="24"/>
          <w:szCs w:val="24"/>
          <w:lang w:val="en-US"/>
        </w:rPr>
        <w:t xml:space="preserve">We carried out a cross-sectional survey on a sample of 80 children including 50 diabetic and 30 control. We looked for possible associations between environmental factors and the risk of T1D and checked the lipid, renal and hepatic profiles to assess the potential for the installation of complications secondary to diabetes (by assaying </w:t>
      </w:r>
      <w:proofErr w:type="spellStart"/>
      <w:r>
        <w:rPr>
          <w:rFonts w:asciiTheme="majorBidi" w:eastAsia="AvenirLTStd-Roman" w:hAnsiTheme="majorBidi" w:cstheme="majorBidi"/>
          <w:color w:val="000000"/>
          <w:sz w:val="24"/>
          <w:szCs w:val="24"/>
          <w:lang w:val="en-US"/>
        </w:rPr>
        <w:t>g</w:t>
      </w:r>
      <w:r w:rsidRPr="00F454EB">
        <w:rPr>
          <w:rFonts w:asciiTheme="majorBidi" w:eastAsia="AvenirLTStd-Roman" w:hAnsiTheme="majorBidi" w:cstheme="majorBidi"/>
          <w:color w:val="000000"/>
          <w:sz w:val="24"/>
          <w:szCs w:val="24"/>
          <w:lang w:val="en-US"/>
        </w:rPr>
        <w:t>lycemia</w:t>
      </w:r>
      <w:proofErr w:type="spellEnd"/>
      <w:r w:rsidRPr="00F454EB">
        <w:rPr>
          <w:rFonts w:asciiTheme="majorBidi" w:eastAsia="AvenirLTStd-Roman" w:hAnsiTheme="majorBidi" w:cstheme="majorBidi"/>
          <w:color w:val="000000"/>
          <w:sz w:val="24"/>
          <w:szCs w:val="24"/>
          <w:lang w:val="en-US"/>
        </w:rPr>
        <w:t xml:space="preserve">, HbA1c, </w:t>
      </w:r>
      <w:r>
        <w:rPr>
          <w:rFonts w:asciiTheme="majorBidi" w:eastAsia="AvenirLTStd-Roman" w:hAnsiTheme="majorBidi" w:cstheme="majorBidi"/>
          <w:color w:val="000000"/>
          <w:sz w:val="24"/>
          <w:szCs w:val="24"/>
          <w:lang w:val="en-US"/>
        </w:rPr>
        <w:t>C</w:t>
      </w:r>
      <w:r w:rsidRPr="00F454EB">
        <w:rPr>
          <w:rFonts w:asciiTheme="majorBidi" w:eastAsia="AvenirLTStd-Roman" w:hAnsiTheme="majorBidi" w:cstheme="majorBidi"/>
          <w:color w:val="000000"/>
          <w:sz w:val="24"/>
          <w:szCs w:val="24"/>
          <w:lang w:val="en-US"/>
        </w:rPr>
        <w:t xml:space="preserve">holesterol, Triglycerides, HDL-C, LDL-C, Urea, </w:t>
      </w:r>
      <w:proofErr w:type="spellStart"/>
      <w:r w:rsidRPr="00F454EB">
        <w:rPr>
          <w:rFonts w:asciiTheme="majorBidi" w:eastAsia="AvenirLTStd-Roman" w:hAnsiTheme="majorBidi" w:cstheme="majorBidi"/>
          <w:color w:val="000000"/>
          <w:sz w:val="24"/>
          <w:szCs w:val="24"/>
          <w:lang w:val="en-US"/>
        </w:rPr>
        <w:t>Creatinine</w:t>
      </w:r>
      <w:proofErr w:type="spellEnd"/>
      <w:r w:rsidRPr="00F454EB">
        <w:rPr>
          <w:rFonts w:asciiTheme="majorBidi" w:eastAsia="AvenirLTStd-Roman" w:hAnsiTheme="majorBidi" w:cstheme="majorBidi"/>
          <w:color w:val="000000"/>
          <w:sz w:val="24"/>
          <w:szCs w:val="24"/>
          <w:lang w:val="en-US"/>
        </w:rPr>
        <w:t>, TGP and TGO).</w:t>
      </w:r>
    </w:p>
    <w:p w:rsidR="009B08B8" w:rsidRPr="00F454EB" w:rsidRDefault="009B08B8" w:rsidP="009B08B8">
      <w:pPr>
        <w:autoSpaceDE w:val="0"/>
        <w:autoSpaceDN w:val="0"/>
        <w:adjustRightInd w:val="0"/>
        <w:spacing w:before="0" w:beforeAutospacing="0" w:after="0" w:afterAutospacing="0" w:line="360" w:lineRule="auto"/>
        <w:ind w:left="0"/>
        <w:jc w:val="both"/>
        <w:rPr>
          <w:rFonts w:asciiTheme="majorBidi" w:eastAsia="AvenirLTStd-Roman" w:hAnsiTheme="majorBidi" w:cstheme="majorBidi"/>
          <w:color w:val="000000"/>
          <w:sz w:val="24"/>
          <w:szCs w:val="24"/>
          <w:lang w:val="en-US"/>
        </w:rPr>
      </w:pPr>
      <w:r w:rsidRPr="00F454EB">
        <w:rPr>
          <w:rFonts w:asciiTheme="majorBidi" w:eastAsia="AvenirLTStd-Roman" w:hAnsiTheme="majorBidi" w:cstheme="majorBidi"/>
          <w:color w:val="000000"/>
          <w:sz w:val="24"/>
          <w:szCs w:val="24"/>
          <w:lang w:val="en-US"/>
        </w:rPr>
        <w:t xml:space="preserve">The age group most represented in our population is that between 10-15 with a female predominance (58%). 46%. Of our population had a normal </w:t>
      </w:r>
      <w:r>
        <w:rPr>
          <w:rFonts w:asciiTheme="majorBidi" w:eastAsia="AvenirLTStd-Roman" w:hAnsiTheme="majorBidi" w:cstheme="majorBidi"/>
          <w:color w:val="000000"/>
          <w:sz w:val="24"/>
          <w:szCs w:val="24"/>
          <w:lang w:val="en-US"/>
        </w:rPr>
        <w:t>BMI</w:t>
      </w:r>
      <w:r w:rsidRPr="00F454EB">
        <w:rPr>
          <w:rFonts w:asciiTheme="majorBidi" w:eastAsia="AvenirLTStd-Roman" w:hAnsiTheme="majorBidi" w:cstheme="majorBidi"/>
          <w:color w:val="000000"/>
          <w:sz w:val="24"/>
          <w:szCs w:val="24"/>
          <w:lang w:val="en-US"/>
        </w:rPr>
        <w:t xml:space="preserve">. The significant fact of the predisposition to diabetes (58%), the absence of breastfeeding (54%), physical inactivity (78%) and non-observance of the diet could constitute potential risk factors for the occurrence of type 1 diabetes in children, as well as related complications. However, a disturbance in </w:t>
      </w:r>
      <w:proofErr w:type="spellStart"/>
      <w:r w:rsidRPr="00F454EB">
        <w:rPr>
          <w:rFonts w:asciiTheme="majorBidi" w:eastAsia="AvenirLTStd-Roman" w:hAnsiTheme="majorBidi" w:cstheme="majorBidi"/>
          <w:color w:val="000000"/>
          <w:sz w:val="24"/>
          <w:szCs w:val="24"/>
          <w:lang w:val="en-US"/>
        </w:rPr>
        <w:t>glycemic</w:t>
      </w:r>
      <w:proofErr w:type="spellEnd"/>
      <w:r w:rsidRPr="00F454EB">
        <w:rPr>
          <w:rFonts w:asciiTheme="majorBidi" w:eastAsia="AvenirLTStd-Roman" w:hAnsiTheme="majorBidi" w:cstheme="majorBidi"/>
          <w:color w:val="000000"/>
          <w:sz w:val="24"/>
          <w:szCs w:val="24"/>
          <w:lang w:val="en-US"/>
        </w:rPr>
        <w:t xml:space="preserve"> control was highlighted and a significant increase in </w:t>
      </w:r>
      <w:proofErr w:type="spellStart"/>
      <w:r w:rsidRPr="00F454EB">
        <w:rPr>
          <w:rFonts w:asciiTheme="majorBidi" w:eastAsia="AvenirLTStd-Roman" w:hAnsiTheme="majorBidi" w:cstheme="majorBidi"/>
          <w:color w:val="000000"/>
          <w:sz w:val="24"/>
          <w:szCs w:val="24"/>
          <w:lang w:val="en-US"/>
        </w:rPr>
        <w:t>glycemia</w:t>
      </w:r>
      <w:proofErr w:type="spellEnd"/>
      <w:r w:rsidRPr="00F454EB">
        <w:rPr>
          <w:rFonts w:asciiTheme="majorBidi" w:eastAsia="AvenirLTStd-Roman" w:hAnsiTheme="majorBidi" w:cstheme="majorBidi"/>
          <w:color w:val="000000"/>
          <w:sz w:val="24"/>
          <w:szCs w:val="24"/>
          <w:lang w:val="en-US"/>
        </w:rPr>
        <w:t xml:space="preserve"> and in HbA1C was noted in the patients (9.25 ± 2.04 g / l), which explains poor </w:t>
      </w:r>
      <w:proofErr w:type="spellStart"/>
      <w:r w:rsidRPr="00F454EB">
        <w:rPr>
          <w:rFonts w:asciiTheme="majorBidi" w:eastAsia="AvenirLTStd-Roman" w:hAnsiTheme="majorBidi" w:cstheme="majorBidi"/>
          <w:color w:val="000000"/>
          <w:sz w:val="24"/>
          <w:szCs w:val="24"/>
          <w:lang w:val="en-US"/>
        </w:rPr>
        <w:t>glycemic</w:t>
      </w:r>
      <w:proofErr w:type="spellEnd"/>
      <w:r w:rsidRPr="00F454EB">
        <w:rPr>
          <w:rFonts w:asciiTheme="majorBidi" w:eastAsia="AvenirLTStd-Roman" w:hAnsiTheme="majorBidi" w:cstheme="majorBidi"/>
          <w:color w:val="000000"/>
          <w:sz w:val="24"/>
          <w:szCs w:val="24"/>
          <w:lang w:val="en-US"/>
        </w:rPr>
        <w:t xml:space="preserve"> control (2, 47 ± 0.85 g / l). Nevertheless, the means of the lipid, hepatic and renal parameters in diabetic children are generally normal.</w:t>
      </w:r>
    </w:p>
    <w:p w:rsidR="009B08B8" w:rsidRPr="00F454EB" w:rsidRDefault="009B08B8" w:rsidP="009B08B8">
      <w:pPr>
        <w:autoSpaceDE w:val="0"/>
        <w:autoSpaceDN w:val="0"/>
        <w:adjustRightInd w:val="0"/>
        <w:spacing w:before="0" w:beforeAutospacing="0" w:after="0" w:afterAutospacing="0" w:line="360" w:lineRule="auto"/>
        <w:ind w:left="0"/>
        <w:jc w:val="both"/>
        <w:rPr>
          <w:rFonts w:asciiTheme="majorBidi" w:eastAsia="AvenirLTStd-Roman" w:hAnsiTheme="majorBidi" w:cstheme="majorBidi"/>
          <w:color w:val="000000"/>
          <w:sz w:val="24"/>
          <w:szCs w:val="24"/>
          <w:lang w:val="en-US"/>
        </w:rPr>
      </w:pPr>
      <w:r w:rsidRPr="00F454EB">
        <w:rPr>
          <w:rFonts w:asciiTheme="majorBidi" w:eastAsia="AvenirLTStd-Roman" w:hAnsiTheme="majorBidi" w:cstheme="majorBidi"/>
          <w:color w:val="000000"/>
          <w:sz w:val="24"/>
          <w:szCs w:val="24"/>
          <w:lang w:val="en-US"/>
        </w:rPr>
        <w:t>Efforts are still needed to improve the care and prevention measures for diabetic children, particularly the most disadvantaged.</w:t>
      </w:r>
    </w:p>
    <w:p w:rsidR="009B08B8" w:rsidRPr="00F454EB" w:rsidRDefault="009B08B8" w:rsidP="009B08B8">
      <w:pPr>
        <w:autoSpaceDE w:val="0"/>
        <w:autoSpaceDN w:val="0"/>
        <w:adjustRightInd w:val="0"/>
        <w:spacing w:before="0" w:beforeAutospacing="0" w:after="0" w:afterAutospacing="0" w:line="360" w:lineRule="auto"/>
        <w:ind w:left="0"/>
        <w:jc w:val="both"/>
        <w:rPr>
          <w:rFonts w:asciiTheme="majorBidi" w:eastAsia="AvenirLTStd-Roman" w:hAnsiTheme="majorBidi" w:cstheme="majorBidi"/>
          <w:color w:val="000000"/>
          <w:sz w:val="24"/>
          <w:szCs w:val="24"/>
          <w:lang w:val="en-US"/>
        </w:rPr>
      </w:pPr>
    </w:p>
    <w:p w:rsidR="009B08B8" w:rsidRPr="00F454EB" w:rsidRDefault="009B08B8" w:rsidP="009B08B8">
      <w:pPr>
        <w:autoSpaceDE w:val="0"/>
        <w:autoSpaceDN w:val="0"/>
        <w:adjustRightInd w:val="0"/>
        <w:spacing w:before="0" w:beforeAutospacing="0" w:after="0" w:afterAutospacing="0" w:line="360" w:lineRule="auto"/>
        <w:ind w:left="0"/>
        <w:jc w:val="both"/>
        <w:rPr>
          <w:rFonts w:asciiTheme="majorBidi" w:eastAsia="AvenirLTStd-Roman" w:hAnsiTheme="majorBidi" w:cstheme="majorBidi"/>
          <w:color w:val="000000"/>
          <w:sz w:val="24"/>
          <w:szCs w:val="24"/>
        </w:rPr>
      </w:pPr>
      <w:r w:rsidRPr="00F454EB">
        <w:rPr>
          <w:rFonts w:asciiTheme="majorBidi" w:eastAsia="AvenirLTStd-Roman" w:hAnsiTheme="majorBidi" w:cstheme="majorBidi"/>
          <w:color w:val="000000"/>
          <w:sz w:val="24"/>
          <w:szCs w:val="24"/>
        </w:rPr>
        <w:t>Keywords :</w:t>
      </w:r>
    </w:p>
    <w:p w:rsidR="009B08B8" w:rsidRDefault="009B08B8" w:rsidP="009B08B8">
      <w:pPr>
        <w:autoSpaceDE w:val="0"/>
        <w:autoSpaceDN w:val="0"/>
        <w:adjustRightInd w:val="0"/>
        <w:spacing w:before="0" w:beforeAutospacing="0" w:after="0" w:afterAutospacing="0" w:line="360" w:lineRule="auto"/>
        <w:ind w:left="0"/>
        <w:jc w:val="both"/>
        <w:rPr>
          <w:rFonts w:asciiTheme="majorBidi" w:eastAsia="AvenirLTStd-Roman" w:hAnsiTheme="majorBidi" w:cstheme="majorBidi"/>
          <w:color w:val="000000"/>
          <w:sz w:val="24"/>
          <w:szCs w:val="24"/>
        </w:rPr>
      </w:pPr>
      <w:r w:rsidRPr="00F454EB">
        <w:rPr>
          <w:rFonts w:asciiTheme="majorBidi" w:eastAsia="AvenirLTStd-Roman" w:hAnsiTheme="majorBidi" w:cstheme="majorBidi"/>
          <w:color w:val="000000"/>
          <w:sz w:val="24"/>
          <w:szCs w:val="24"/>
        </w:rPr>
        <w:t xml:space="preserve">Type 1 </w:t>
      </w:r>
      <w:proofErr w:type="spellStart"/>
      <w:r w:rsidRPr="00F454EB">
        <w:rPr>
          <w:rFonts w:asciiTheme="majorBidi" w:eastAsia="AvenirLTStd-Roman" w:hAnsiTheme="majorBidi" w:cstheme="majorBidi"/>
          <w:color w:val="000000"/>
          <w:sz w:val="24"/>
          <w:szCs w:val="24"/>
        </w:rPr>
        <w:t>diabetes</w:t>
      </w:r>
      <w:proofErr w:type="spellEnd"/>
      <w:r w:rsidRPr="00F454EB">
        <w:rPr>
          <w:rFonts w:asciiTheme="majorBidi" w:eastAsia="AvenirLTStd-Roman" w:hAnsiTheme="majorBidi" w:cstheme="majorBidi"/>
          <w:color w:val="000000"/>
          <w:sz w:val="24"/>
          <w:szCs w:val="24"/>
        </w:rPr>
        <w:t xml:space="preserve">, </w:t>
      </w:r>
      <w:proofErr w:type="spellStart"/>
      <w:r w:rsidRPr="00F454EB">
        <w:rPr>
          <w:rFonts w:asciiTheme="majorBidi" w:eastAsia="AvenirLTStd-Roman" w:hAnsiTheme="majorBidi" w:cstheme="majorBidi"/>
          <w:color w:val="000000"/>
          <w:sz w:val="24"/>
          <w:szCs w:val="24"/>
        </w:rPr>
        <w:t>survey</w:t>
      </w:r>
      <w:proofErr w:type="spellEnd"/>
      <w:r w:rsidRPr="00F454EB">
        <w:rPr>
          <w:rFonts w:asciiTheme="majorBidi" w:eastAsia="AvenirLTStd-Roman" w:hAnsiTheme="majorBidi" w:cstheme="majorBidi"/>
          <w:color w:val="000000"/>
          <w:sz w:val="24"/>
          <w:szCs w:val="24"/>
        </w:rPr>
        <w:t xml:space="preserve">, </w:t>
      </w:r>
      <w:proofErr w:type="spellStart"/>
      <w:r w:rsidRPr="00F454EB">
        <w:rPr>
          <w:rFonts w:asciiTheme="majorBidi" w:eastAsia="AvenirLTStd-Roman" w:hAnsiTheme="majorBidi" w:cstheme="majorBidi"/>
          <w:color w:val="000000"/>
          <w:sz w:val="24"/>
          <w:szCs w:val="24"/>
        </w:rPr>
        <w:t>environmental</w:t>
      </w:r>
      <w:proofErr w:type="spellEnd"/>
      <w:r w:rsidRPr="00F454EB">
        <w:rPr>
          <w:rFonts w:asciiTheme="majorBidi" w:eastAsia="AvenirLTStd-Roman" w:hAnsiTheme="majorBidi" w:cstheme="majorBidi"/>
          <w:color w:val="000000"/>
          <w:sz w:val="24"/>
          <w:szCs w:val="24"/>
        </w:rPr>
        <w:t xml:space="preserve"> </w:t>
      </w:r>
      <w:proofErr w:type="spellStart"/>
      <w:r w:rsidRPr="00F454EB">
        <w:rPr>
          <w:rFonts w:asciiTheme="majorBidi" w:eastAsia="AvenirLTStd-Roman" w:hAnsiTheme="majorBidi" w:cstheme="majorBidi"/>
          <w:color w:val="000000"/>
          <w:sz w:val="24"/>
          <w:szCs w:val="24"/>
        </w:rPr>
        <w:t>factors</w:t>
      </w:r>
      <w:proofErr w:type="spellEnd"/>
      <w:r w:rsidRPr="00F454EB">
        <w:rPr>
          <w:rFonts w:asciiTheme="majorBidi" w:eastAsia="AvenirLTStd-Roman" w:hAnsiTheme="majorBidi" w:cstheme="majorBidi"/>
          <w:color w:val="000000"/>
          <w:sz w:val="24"/>
          <w:szCs w:val="24"/>
        </w:rPr>
        <w:t>, complications.</w:t>
      </w:r>
    </w:p>
    <w:p w:rsidR="00094558" w:rsidRDefault="00094558"/>
    <w:sectPr w:rsidR="00094558" w:rsidSect="0009455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venirLTStd-Roman">
    <w:altName w:val="Arial Unicode MS"/>
    <w:panose1 w:val="00000000000000000000"/>
    <w:charset w:val="80"/>
    <w:family w:val="swiss"/>
    <w:notTrueType/>
    <w:pitch w:val="default"/>
    <w:sig w:usb0="00000001" w:usb1="08070000" w:usb2="00000010" w:usb3="00000000" w:csb0="0002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9B08B8"/>
    <w:rsid w:val="00094558"/>
    <w:rsid w:val="009B08B8"/>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8B8"/>
    <w:pPr>
      <w:spacing w:before="100" w:beforeAutospacing="1" w:after="100" w:afterAutospacing="1"/>
      <w:ind w:left="851"/>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264</Words>
  <Characters>1456</Characters>
  <Application>Microsoft Office Word</Application>
  <DocSecurity>0</DocSecurity>
  <Lines>12</Lines>
  <Paragraphs>3</Paragraphs>
  <ScaleCrop>false</ScaleCrop>
  <Company/>
  <LinksUpToDate>false</LinksUpToDate>
  <CharactersWithSpaces>1717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nag</dc:creator>
  <cp:lastModifiedBy>nag</cp:lastModifiedBy>
  <cp:revision>1</cp:revision>
  <dcterms:created xsi:type="dcterms:W3CDTF">2022-11-05T16:24:00Z</dcterms:created>
  <dcterms:modified xsi:type="dcterms:W3CDTF">2022-11-05T16:25:00Z</dcterms:modified>
</cp:coreProperties>
</file>