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rFonts w:hint="eastAsia" w:ascii="Times New Roman" w:hAnsi="Times New Roman" w:cs="Times New Roman"/>
          <w:b/>
          <w:bCs/>
          <w:color w:val="auto"/>
          <w:sz w:val="24"/>
          <w:szCs w:val="24"/>
        </w:rPr>
      </w:pPr>
      <w:bookmarkStart w:id="0" w:name="OLE_LINK1"/>
      <w:r>
        <w:rPr>
          <w:rFonts w:ascii="Times New Roman" w:hAnsi="Times New Roman" w:cs="Times New Roman"/>
          <w:b/>
          <w:bCs/>
          <w:color w:val="auto"/>
          <w:sz w:val="24"/>
          <w:szCs w:val="24"/>
        </w:rPr>
        <w:drawing>
          <wp:inline distT="0" distB="0" distL="0" distR="0">
            <wp:extent cx="5267325" cy="933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67325" cy="933450"/>
                    </a:xfrm>
                    <a:prstGeom prst="rect">
                      <a:avLst/>
                    </a:prstGeom>
                    <a:noFill/>
                    <a:ln>
                      <a:noFill/>
                    </a:ln>
                  </pic:spPr>
                </pic:pic>
              </a:graphicData>
            </a:graphic>
          </wp:inline>
        </w:drawing>
      </w:r>
    </w:p>
    <w:p>
      <w:pPr>
        <w:pStyle w:val="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Interaction of TAGLN and USP1 promotes ZEB1 ubiquitination degradation in UV-induced skin photoaging </w:t>
      </w:r>
    </w:p>
    <w:bookmarkEnd w:id="0"/>
    <w:p>
      <w:pPr>
        <w:spacing w:before="156" w:beforeLines="50" w:after="156" w:afterLines="50" w:line="360" w:lineRule="auto"/>
        <w:rPr>
          <w:rFonts w:ascii="Times New Roman" w:hAnsi="Times New Roman" w:cs="Times New Roman"/>
          <w:sz w:val="24"/>
        </w:rPr>
      </w:pPr>
      <w:r>
        <w:rPr>
          <w:rFonts w:ascii="Times New Roman" w:hAnsi="Times New Roman" w:cs="Times New Roman"/>
          <w:sz w:val="24"/>
        </w:rPr>
        <w:t>Yinan Li</w:t>
      </w:r>
      <w:bookmarkStart w:id="1" w:name="OLE_LINK58"/>
      <w:r>
        <w:rPr>
          <w:rFonts w:ascii="Times New Roman" w:hAnsi="Times New Roman" w:cs="Times New Roman"/>
          <w:sz w:val="24"/>
          <w:vertAlign w:val="superscript"/>
        </w:rPr>
        <w:t>1,2</w:t>
      </w:r>
      <w:bookmarkEnd w:id="1"/>
      <w:r>
        <w:rPr>
          <w:rFonts w:ascii="Times New Roman" w:hAnsi="Times New Roman" w:cs="Times New Roman"/>
          <w:sz w:val="24"/>
          <w:vertAlign w:val="superscript"/>
        </w:rPr>
        <w:t>,*</w:t>
      </w:r>
      <w:r>
        <w:rPr>
          <w:rFonts w:ascii="Times New Roman" w:hAnsi="Times New Roman" w:cs="Times New Roman"/>
          <w:sz w:val="24"/>
        </w:rPr>
        <w:t>, Jing Jin</w:t>
      </w:r>
      <w:r>
        <w:rPr>
          <w:rFonts w:ascii="Times New Roman" w:hAnsi="Times New Roman" w:cs="Times New Roman"/>
          <w:sz w:val="24"/>
          <w:vertAlign w:val="superscript"/>
        </w:rPr>
        <w:t>1,*</w:t>
      </w:r>
      <w:r>
        <w:rPr>
          <w:rFonts w:ascii="Times New Roman" w:hAnsi="Times New Roman" w:cs="Times New Roman"/>
          <w:sz w:val="24"/>
        </w:rPr>
        <w:t>, Haohao Zhang</w:t>
      </w:r>
      <w:r>
        <w:rPr>
          <w:rFonts w:ascii="Times New Roman" w:hAnsi="Times New Roman" w:cs="Times New Roman"/>
          <w:sz w:val="24"/>
          <w:vertAlign w:val="superscript"/>
        </w:rPr>
        <w:t>1,2,*</w:t>
      </w:r>
      <w:r>
        <w:rPr>
          <w:rFonts w:ascii="Times New Roman" w:hAnsi="Times New Roman" w:cs="Times New Roman"/>
          <w:sz w:val="24"/>
        </w:rPr>
        <w:t>, Xiu Huang</w:t>
      </w:r>
      <w:r>
        <w:rPr>
          <w:rFonts w:ascii="Times New Roman" w:hAnsi="Times New Roman" w:cs="Times New Roman"/>
          <w:sz w:val="24"/>
          <w:vertAlign w:val="superscript"/>
        </w:rPr>
        <w:t>1,2,*</w:t>
      </w:r>
      <w:r>
        <w:rPr>
          <w:rFonts w:ascii="Times New Roman" w:hAnsi="Times New Roman" w:cs="Times New Roman"/>
          <w:sz w:val="24"/>
        </w:rPr>
        <w:t>, Kai Yang</w:t>
      </w:r>
      <w:r>
        <w:rPr>
          <w:rFonts w:ascii="Times New Roman" w:hAnsi="Times New Roman" w:cs="Times New Roman"/>
          <w:sz w:val="24"/>
          <w:vertAlign w:val="superscript"/>
        </w:rPr>
        <w:t>1</w:t>
      </w:r>
      <w:r>
        <w:rPr>
          <w:rFonts w:ascii="Times New Roman" w:hAnsi="Times New Roman" w:cs="Times New Roman"/>
          <w:sz w:val="24"/>
        </w:rPr>
        <w:t>, Jingxia Han</w:t>
      </w:r>
      <w:r>
        <w:rPr>
          <w:rFonts w:ascii="Times New Roman" w:hAnsi="Times New Roman" w:cs="Times New Roman"/>
          <w:sz w:val="24"/>
          <w:vertAlign w:val="superscript"/>
        </w:rPr>
        <w:t>2</w:t>
      </w:r>
      <w:r>
        <w:rPr>
          <w:rFonts w:ascii="Times New Roman" w:hAnsi="Times New Roman" w:cs="Times New Roman"/>
          <w:sz w:val="24"/>
        </w:rPr>
        <w:t>, Ying Lv</w:t>
      </w:r>
      <w:r>
        <w:rPr>
          <w:rFonts w:ascii="Times New Roman" w:hAnsi="Times New Roman" w:cs="Times New Roman"/>
          <w:sz w:val="24"/>
          <w:vertAlign w:val="superscript"/>
        </w:rPr>
        <w:t>2</w:t>
      </w:r>
      <w:r>
        <w:rPr>
          <w:rFonts w:ascii="Times New Roman" w:hAnsi="Times New Roman" w:cs="Times New Roman"/>
          <w:sz w:val="24"/>
        </w:rPr>
        <w:t>, Yu Sun</w:t>
      </w:r>
      <w:r>
        <w:rPr>
          <w:rFonts w:ascii="Times New Roman" w:hAnsi="Times New Roman" w:cs="Times New Roman"/>
          <w:sz w:val="24"/>
          <w:vertAlign w:val="superscript"/>
        </w:rPr>
        <w:t>2</w:t>
      </w:r>
      <w:r>
        <w:rPr>
          <w:rFonts w:ascii="Times New Roman" w:hAnsi="Times New Roman" w:cs="Times New Roman"/>
          <w:sz w:val="24"/>
        </w:rPr>
        <w:t>, Cheng Yao</w:t>
      </w:r>
      <w:r>
        <w:rPr>
          <w:rFonts w:ascii="Times New Roman" w:hAnsi="Times New Roman" w:cs="Times New Roman"/>
          <w:sz w:val="24"/>
          <w:vertAlign w:val="superscript"/>
        </w:rPr>
        <w:t>1,#</w:t>
      </w:r>
      <w:r>
        <w:rPr>
          <w:rFonts w:ascii="Times New Roman" w:hAnsi="Times New Roman" w:cs="Times New Roman"/>
          <w:sz w:val="24"/>
        </w:rPr>
        <w:t>, Tingting Lin</w:t>
      </w:r>
      <w:r>
        <w:rPr>
          <w:rFonts w:ascii="Times New Roman" w:hAnsi="Times New Roman" w:cs="Times New Roman"/>
          <w:sz w:val="24"/>
          <w:vertAlign w:val="superscript"/>
        </w:rPr>
        <w:t>3,#</w:t>
      </w:r>
      <w:r>
        <w:rPr>
          <w:rFonts w:ascii="Times New Roman" w:hAnsi="Times New Roman" w:cs="Times New Roman"/>
          <w:sz w:val="24"/>
        </w:rPr>
        <w:t>, Caibin Zhu</w:t>
      </w:r>
      <w:r>
        <w:rPr>
          <w:rFonts w:ascii="Times New Roman" w:hAnsi="Times New Roman" w:cs="Times New Roman"/>
          <w:sz w:val="24"/>
          <w:vertAlign w:val="superscript"/>
        </w:rPr>
        <w:t>1,#</w:t>
      </w:r>
      <w:r>
        <w:rPr>
          <w:rFonts w:ascii="Times New Roman" w:hAnsi="Times New Roman" w:cs="Times New Roman"/>
          <w:sz w:val="24"/>
        </w:rPr>
        <w:t>, and Huijuan Liu</w:t>
      </w:r>
      <w:r>
        <w:rPr>
          <w:rFonts w:ascii="Times New Roman" w:hAnsi="Times New Roman" w:cs="Times New Roman"/>
          <w:sz w:val="24"/>
          <w:vertAlign w:val="superscript"/>
        </w:rPr>
        <w:t>1,2,#</w:t>
      </w:r>
    </w:p>
    <w:p>
      <w:pPr>
        <w:rPr>
          <w:rFonts w:ascii="Times New Roman" w:hAnsi="Times New Roman" w:cs="Times New Roman"/>
          <w:sz w:val="24"/>
        </w:rPr>
      </w:pPr>
      <w:r>
        <w:rPr>
          <w:rFonts w:ascii="Times New Roman" w:hAnsi="Times New Roman" w:cs="Times New Roman"/>
          <w:sz w:val="24"/>
        </w:rPr>
        <w:t>1</w:t>
      </w:r>
      <w:r>
        <w:rPr>
          <w:rFonts w:hint="eastAsia" w:ascii="Times New Roman" w:hAnsi="Times New Roman" w:cs="Times New Roman"/>
          <w:sz w:val="24"/>
        </w:rPr>
        <w:t xml:space="preserve"> </w:t>
      </w:r>
      <w:r>
        <w:rPr>
          <w:rFonts w:ascii="Times New Roman" w:hAnsi="Times New Roman" w:cs="Times New Roman"/>
          <w:sz w:val="24"/>
        </w:rPr>
        <w:t>Cheermore Cosmetic Dermatology Laboratory, Shanghai, China</w:t>
      </w:r>
    </w:p>
    <w:p>
      <w:pPr>
        <w:rPr>
          <w:rFonts w:ascii="Times New Roman" w:hAnsi="Times New Roman" w:cs="Times New Roman"/>
          <w:sz w:val="24"/>
        </w:rPr>
      </w:pPr>
      <w:r>
        <w:rPr>
          <w:rFonts w:hint="eastAsia" w:ascii="Times New Roman" w:hAnsi="Times New Roman" w:cs="Times New Roman" w:eastAsiaTheme="minorEastAsia"/>
          <w:sz w:val="24"/>
          <w:lang w:eastAsia="zh-CN"/>
        </w:rPr>
        <w:drawing>
          <wp:anchor distT="0" distB="0" distL="114300" distR="114300" simplePos="0" relativeHeight="251660288" behindDoc="0" locked="0" layoutInCell="1" allowOverlap="1">
            <wp:simplePos x="0" y="0"/>
            <wp:positionH relativeFrom="column">
              <wp:posOffset>4164965</wp:posOffset>
            </wp:positionH>
            <wp:positionV relativeFrom="paragraph">
              <wp:posOffset>234950</wp:posOffset>
            </wp:positionV>
            <wp:extent cx="1172845" cy="1172845"/>
            <wp:effectExtent l="12700" t="12700" r="18415" b="18415"/>
            <wp:wrapSquare wrapText="bothSides"/>
            <wp:docPr id="3" name="图片 3" descr="微信图片_2023052209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30522094544"/>
                    <pic:cNvPicPr>
                      <a:picLocks noChangeAspect="1"/>
                    </pic:cNvPicPr>
                  </pic:nvPicPr>
                  <pic:blipFill>
                    <a:blip r:embed="rId5"/>
                    <a:stretch>
                      <a:fillRect/>
                    </a:stretch>
                  </pic:blipFill>
                  <pic:spPr>
                    <a:xfrm>
                      <a:off x="0" y="0"/>
                      <a:ext cx="1172845" cy="1172845"/>
                    </a:xfrm>
                    <a:prstGeom prst="roundRect">
                      <a:avLst/>
                    </a:prstGeom>
                    <a:ln w="12700">
                      <a:solidFill>
                        <a:srgbClr val="EE8B2F"/>
                      </a:solidFill>
                    </a:ln>
                  </pic:spPr>
                </pic:pic>
              </a:graphicData>
            </a:graphic>
          </wp:anchor>
        </w:drawing>
      </w:r>
      <w:r>
        <w:rPr>
          <w:rFonts w:ascii="Times New Roman" w:hAnsi="Times New Roman" w:cs="Times New Roman"/>
          <w:sz w:val="24"/>
        </w:rPr>
        <w:t>2 State Key Laboratory of Medicinal Chemical Biology and College of Pharmacy, Nankai University, Tianjin, China</w:t>
      </w:r>
    </w:p>
    <w:p>
      <w:pPr>
        <w:rPr>
          <w:rFonts w:hint="eastAsia" w:ascii="Times New Roman" w:hAnsi="Times New Roman" w:cs="Times New Roman" w:eastAsiaTheme="minorEastAsia"/>
          <w:sz w:val="24"/>
          <w:lang w:eastAsia="zh-CN"/>
        </w:rPr>
      </w:pPr>
      <w:r>
        <w:rPr>
          <w:rFonts w:ascii="Times New Roman" w:hAnsi="Times New Roman" w:cs="Times New Roman"/>
          <w:sz w:val="24"/>
        </w:rPr>
        <w:t>3</w:t>
      </w:r>
      <w:r>
        <w:rPr>
          <w:rFonts w:hint="eastAsia" w:ascii="Times New Roman" w:hAnsi="Times New Roman" w:cs="Times New Roman"/>
          <w:sz w:val="24"/>
        </w:rPr>
        <w:t xml:space="preserve"> </w:t>
      </w:r>
      <w:r>
        <w:rPr>
          <w:rFonts w:ascii="Times New Roman" w:hAnsi="Times New Roman" w:cs="Times New Roman"/>
          <w:sz w:val="24"/>
        </w:rPr>
        <w:t>Medical plastic and cosmetic center, Tianjin Branch of National Clinical Research Center for Ocular Disease, Tianjin Medical University Eye Hospital, Tianjin, China</w:t>
      </w:r>
    </w:p>
    <w:p>
      <w:pPr>
        <w:rPr>
          <w:rFonts w:ascii="Times New Roman" w:hAnsi="Times New Roman" w:cs="Times New Roman"/>
          <w:sz w:val="24"/>
        </w:rPr>
      </w:pPr>
    </w:p>
    <w:p>
      <w:pPr>
        <w:rPr>
          <w:rFonts w:ascii="Times New Roman" w:hAnsi="Times New Roman" w:cs="Times New Roman"/>
          <w:sz w:val="24"/>
        </w:rPr>
      </w:pPr>
      <w:r>
        <w:rPr>
          <w:rFonts w:hint="eastAsia" w:ascii="Times New Roman" w:hAnsi="Times New Roman" w:cs="Times New Roman"/>
          <w:sz w:val="24"/>
        </w:rPr>
        <w:drawing>
          <wp:anchor distT="0" distB="0" distL="114300" distR="114300" simplePos="0" relativeHeight="251659264" behindDoc="0" locked="0" layoutInCell="1" allowOverlap="1">
            <wp:simplePos x="0" y="0"/>
            <wp:positionH relativeFrom="column">
              <wp:posOffset>4164965</wp:posOffset>
            </wp:positionH>
            <wp:positionV relativeFrom="paragraph">
              <wp:posOffset>396875</wp:posOffset>
            </wp:positionV>
            <wp:extent cx="1177925" cy="4622800"/>
            <wp:effectExtent l="0" t="0" r="10795" b="10160"/>
            <wp:wrapSquare wrapText="bothSides"/>
            <wp:docPr id="1" name="图片 1" descr="未标题-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1-01"/>
                    <pic:cNvPicPr>
                      <a:picLocks noChangeAspect="1"/>
                    </pic:cNvPicPr>
                  </pic:nvPicPr>
                  <pic:blipFill>
                    <a:blip r:embed="rId6"/>
                    <a:stretch>
                      <a:fillRect/>
                    </a:stretch>
                  </pic:blipFill>
                  <pic:spPr>
                    <a:xfrm>
                      <a:off x="0" y="0"/>
                      <a:ext cx="1177925" cy="4622800"/>
                    </a:xfrm>
                    <a:prstGeom prst="rect">
                      <a:avLst/>
                    </a:prstGeom>
                  </pic:spPr>
                </pic:pic>
              </a:graphicData>
            </a:graphic>
          </wp:anchor>
        </w:drawing>
      </w:r>
      <w:r>
        <w:rPr>
          <w:rFonts w:ascii="Times New Roman" w:hAnsi="Times New Roman" w:cs="Times New Roman"/>
          <w:sz w:val="24"/>
        </w:rPr>
        <w:t>Abstract：</w:t>
      </w:r>
    </w:p>
    <w:p>
      <w:pPr>
        <w:rPr>
          <w:rFonts w:ascii="Times New Roman" w:hAnsi="Times New Roman" w:cs="Times New Roman"/>
          <w:sz w:val="24"/>
        </w:rPr>
      </w:pPr>
      <w:r>
        <w:rPr>
          <w:rFonts w:ascii="Times New Roman" w:hAnsi="Times New Roman" w:cs="Times New Roman"/>
          <w:sz w:val="24"/>
        </w:rPr>
        <w:t>Statement of the Problem:</w:t>
      </w:r>
      <w:r>
        <w:rPr>
          <w:rFonts w:hint="eastAsia" w:ascii="Times New Roman" w:hAnsi="Times New Roman" w:cs="Times New Roman"/>
          <w:sz w:val="24"/>
        </w:rPr>
        <w:t xml:space="preserve"> Ultraviolet A (UVA) irradiation can lead to skin damage and premature skin aging known as photoaging. This work found that UVA irradiation caused an </w:t>
      </w:r>
      <w:bookmarkStart w:id="6" w:name="_GoBack"/>
      <w:bookmarkEnd w:id="6"/>
      <w:r>
        <w:rPr>
          <w:rFonts w:hint="eastAsia" w:ascii="Times New Roman" w:hAnsi="Times New Roman" w:cs="Times New Roman"/>
          <w:sz w:val="24"/>
        </w:rPr>
        <w:t>imbalance between dermal matrix synthesis and degradation through the aberrant upregulation of transgelin (TAGLN) and studied the underlying molecular mechanism.</w:t>
      </w:r>
    </w:p>
    <w:p>
      <w:pPr>
        <w:rPr>
          <w:rFonts w:ascii="Times New Roman" w:hAnsi="Times New Roman" w:cs="Times New Roman"/>
          <w:sz w:val="24"/>
        </w:rPr>
      </w:pPr>
      <w:r>
        <w:rPr>
          <w:rFonts w:hint="eastAsia" w:ascii="Times New Roman" w:hAnsi="Times New Roman" w:cs="Times New Roman"/>
          <w:sz w:val="24"/>
        </w:rPr>
        <w:t>Methodology and Theoretical Orientation: A photoaging model was established to preliminarily explore the relationship between TAGLN and photoaging. Then Co-immunoprecipitation (Co-IP) combined with mass spectrometry was implemented to analyze the underlying molecular mechanism of TAGLN regulating photoaging. Finally, virtual docking was used to screen out active small molecules targeting TAGLN to inhibit photoaging, and their efficacy was verified through a series of in vivo and in vitro experiments.</w:t>
      </w:r>
    </w:p>
    <w:p>
      <w:pPr>
        <w:rPr>
          <w:rFonts w:ascii="Times New Roman" w:hAnsi="Times New Roman" w:cs="Times New Roman"/>
          <w:sz w:val="24"/>
        </w:rPr>
      </w:pPr>
      <w:r>
        <w:rPr>
          <w:rFonts w:hint="eastAsia" w:ascii="Times New Roman" w:hAnsi="Times New Roman" w:cs="Times New Roman"/>
          <w:sz w:val="24"/>
        </w:rPr>
        <w:t>Findings: Co-IP and proximal ligation assay results showed that TAGLN can interact with USP1. USP1 can be retained in the cytoplasm by TAGLN in UVA-induced cells, which inhibits the interaction between USP1/zinc finger E-box binding homeobox 1 (ZEB1), promote the ubiquitination degradation of ZEB1, and lead to photoaging. TAGLN knockdown can release USP1 retention and help human skin fibroblasts (HSFs) resist UVA-induced damage. The interactive interface inhibitors of TAGLN/USP1 were screened via virtual docking to search for small molecules that inhibit photoaging. Zerumbone (Zer), a natural product isolated from Zingiber zerumbet (L.) Smith, was screened out. Zer can competitively bind TAGLN to reduce the retention of USP1 in the cytoplasm and the degradation of ZEB1 ubiquitination in UV-induced HSFs. The poor solubility and permeability of Zer can be improved by preparing it as a nanoemulsion, which can effectively prevent skin photoaging caused by UVA in wild-type (WT) mice. Zer cannot effectively resist the photoaging caused by UVA in Tagln-/- mice because of target loss.</w:t>
      </w:r>
    </w:p>
    <w:p>
      <w:pPr>
        <w:rPr>
          <w:rFonts w:ascii="Times New Roman" w:hAnsi="Times New Roman" w:cs="Times New Roman"/>
          <w:sz w:val="24"/>
        </w:rPr>
      </w:pPr>
      <w:r>
        <w:rPr>
          <w:rFonts w:hint="eastAsia" w:ascii="Times New Roman" w:hAnsi="Times New Roman" w:cs="Times New Roman"/>
          <w:sz w:val="24"/>
        </w:rPr>
        <w:t xml:space="preserve">Conclusion &amp; Significance: </w:t>
      </w:r>
      <w:bookmarkStart w:id="2" w:name="OLE_LINK5"/>
      <w:r>
        <w:rPr>
          <w:rFonts w:hint="eastAsia" w:ascii="Times New Roman" w:hAnsi="Times New Roman" w:cs="Times New Roman"/>
          <w:sz w:val="24"/>
        </w:rPr>
        <w:t xml:space="preserve">The present results showed that the interaction of TAGLN and USP1 can promote ZEB1 ubiquitination degradation in UV-induced skin photoaging, and Zer can be used as an interactive interface inhibitor of TAGLN/USP1 to prevent photoaging. </w:t>
      </w:r>
    </w:p>
    <w:bookmarkEnd w:id="2"/>
    <w:p>
      <w:pPr>
        <w:rPr>
          <w:rFonts w:ascii="Times New Roman" w:hAnsi="Times New Roman" w:cs="Times New Roman"/>
          <w:sz w:val="24"/>
        </w:rPr>
      </w:pPr>
    </w:p>
    <w:p>
      <w:pPr>
        <w:rPr>
          <w:rFonts w:ascii="Times New Roman" w:hAnsi="Times New Roman" w:cs="Times New Roman"/>
          <w:sz w:val="24"/>
        </w:rPr>
      </w:pPr>
      <w:r>
        <w:rPr>
          <w:rFonts w:ascii="Times New Roman" w:hAnsi="Times New Roman" w:cs="Times New Roman"/>
          <w:sz w:val="24"/>
        </w:rPr>
        <w:t>Biography</w:t>
      </w:r>
    </w:p>
    <w:p>
      <w:pPr>
        <w:rPr>
          <w:rStyle w:val="10"/>
          <w:rFonts w:ascii="Times New Roman" w:hAnsi="Times New Roman" w:cs="Times New Roman"/>
          <w:color w:val="2A2B2E"/>
          <w:sz w:val="24"/>
          <w:shd w:val="clear" w:color="auto" w:fill="FFFFFF"/>
        </w:rPr>
      </w:pPr>
      <w:bookmarkStart w:id="3" w:name="OLE_LINK4"/>
      <w:r>
        <w:rPr>
          <w:rStyle w:val="10"/>
          <w:rFonts w:ascii="Times New Roman" w:hAnsi="Times New Roman" w:cs="Times New Roman"/>
          <w:color w:val="2A2B2E"/>
          <w:sz w:val="24"/>
        </w:rPr>
        <w:t>Zhu Caibin is the CEO of Shanghai Cheermore Biotechnology Co. L</w:t>
      </w:r>
      <w:r>
        <w:rPr>
          <w:rStyle w:val="10"/>
          <w:rFonts w:hint="eastAsia" w:ascii="Times New Roman" w:hAnsi="Times New Roman" w:cs="Times New Roman"/>
          <w:color w:val="2A2B2E"/>
          <w:sz w:val="24"/>
        </w:rPr>
        <w:t>td</w:t>
      </w:r>
      <w:r>
        <w:rPr>
          <w:rStyle w:val="10"/>
          <w:rFonts w:ascii="Times New Roman" w:hAnsi="Times New Roman" w:cs="Times New Roman"/>
          <w:color w:val="2A2B2E"/>
          <w:sz w:val="24"/>
        </w:rPr>
        <w:t xml:space="preserve">. and the founder of </w:t>
      </w:r>
      <w:r>
        <w:rPr>
          <w:rFonts w:ascii="Times New Roman" w:hAnsi="Times New Roman" w:cs="Times New Roman"/>
          <w:sz w:val="24"/>
        </w:rPr>
        <w:t>Cheermore Cosmetic Dermatology Laboratory</w:t>
      </w:r>
      <w:r>
        <w:rPr>
          <w:rStyle w:val="10"/>
          <w:rFonts w:ascii="Times New Roman" w:hAnsi="Times New Roman" w:cs="Times New Roman"/>
          <w:color w:val="2A2B2E"/>
          <w:sz w:val="24"/>
        </w:rPr>
        <w:t xml:space="preserve">. </w:t>
      </w:r>
      <w:r>
        <w:rPr>
          <w:rStyle w:val="10"/>
          <w:rFonts w:ascii="Times New Roman" w:hAnsi="Times New Roman" w:cs="Times New Roman"/>
          <w:color w:val="2A2B2E"/>
          <w:sz w:val="24"/>
          <w:shd w:val="clear" w:color="auto" w:fill="FFFFFF"/>
        </w:rPr>
        <w:t xml:space="preserve">Through many years of efforts and development, the laboratory breaks through the R&amp;D bottleneck of domestic skincare enterprises in innovative functional raw material research and development technology. </w:t>
      </w:r>
      <w:r>
        <w:rPr>
          <w:rStyle w:val="10"/>
          <w:rFonts w:ascii="Times New Roman" w:hAnsi="Times New Roman" w:cs="Times New Roman"/>
          <w:color w:val="2A2B2E"/>
          <w:sz w:val="24"/>
        </w:rPr>
        <w:t xml:space="preserve">Zhu Caibin has </w:t>
      </w:r>
      <w:r>
        <w:rPr>
          <w:rStyle w:val="10"/>
          <w:rFonts w:ascii="Times New Roman" w:hAnsi="Times New Roman" w:cs="Times New Roman"/>
          <w:color w:val="2A2B2E"/>
          <w:sz w:val="24"/>
          <w:shd w:val="clear" w:color="auto" w:fill="FFFFFF"/>
        </w:rPr>
        <w:t>successively developed more than 10 original active molecul</w:t>
      </w:r>
      <w:r>
        <w:rPr>
          <w:rStyle w:val="10"/>
          <w:rFonts w:hint="eastAsia" w:ascii="Times New Roman" w:hAnsi="Times New Roman" w:cs="Times New Roman"/>
          <w:color w:val="2A2B2E"/>
          <w:sz w:val="24"/>
          <w:shd w:val="clear" w:color="auto" w:fill="FFFFFF"/>
        </w:rPr>
        <w:t>e</w:t>
      </w:r>
      <w:r>
        <w:rPr>
          <w:rStyle w:val="10"/>
          <w:rFonts w:ascii="Times New Roman" w:hAnsi="Times New Roman" w:cs="Times New Roman"/>
          <w:color w:val="2A2B2E"/>
          <w:sz w:val="24"/>
          <w:shd w:val="clear" w:color="auto" w:fill="FFFFFF"/>
        </w:rPr>
        <w:t xml:space="preserve">s and the research work </w:t>
      </w:r>
      <w:r>
        <w:rPr>
          <w:rStyle w:val="10"/>
          <w:rFonts w:hint="eastAsia" w:ascii="Times New Roman" w:hAnsi="Times New Roman" w:cs="Times New Roman"/>
          <w:color w:val="2A2B2E"/>
          <w:sz w:val="24"/>
          <w:shd w:val="clear" w:color="auto" w:fill="FFFFFF"/>
        </w:rPr>
        <w:t>was</w:t>
      </w:r>
      <w:r>
        <w:rPr>
          <w:rStyle w:val="10"/>
          <w:rFonts w:ascii="Times New Roman" w:hAnsi="Times New Roman" w:cs="Times New Roman"/>
          <w:color w:val="2A2B2E"/>
          <w:sz w:val="24"/>
          <w:shd w:val="clear" w:color="auto" w:fill="FFFFFF"/>
        </w:rPr>
        <w:t xml:space="preserve"> published in SCI journals such as</w:t>
      </w:r>
      <w:r>
        <w:rPr>
          <w:rStyle w:val="10"/>
          <w:rFonts w:hint="eastAsia" w:ascii="Times New Roman" w:hAnsi="Times New Roman" w:cs="Times New Roman"/>
          <w:color w:val="2A2B2E"/>
          <w:sz w:val="24"/>
          <w:shd w:val="clear" w:color="auto" w:fill="FFFFFF"/>
        </w:rPr>
        <w:t xml:space="preserve"> the</w:t>
      </w:r>
      <w:r>
        <w:rPr>
          <w:rStyle w:val="10"/>
          <w:rFonts w:ascii="Times New Roman" w:hAnsi="Times New Roman" w:cs="Times New Roman"/>
          <w:color w:val="2A2B2E"/>
          <w:sz w:val="24"/>
          <w:shd w:val="clear" w:color="auto" w:fill="FFFFFF"/>
        </w:rPr>
        <w:t xml:space="preserve"> British Journal of Pharmacology, </w:t>
      </w:r>
      <w:r>
        <w:rPr>
          <w:rFonts w:ascii="Times New Roman" w:hAnsi="Times New Roman" w:eastAsia="微软雅黑" w:cs="Times New Roman"/>
          <w:spacing w:val="7"/>
          <w:sz w:val="24"/>
          <w:shd w:val="clear" w:color="auto" w:fill="FFFFFF"/>
        </w:rPr>
        <w:t>Cell &amp; Bioscience</w:t>
      </w:r>
      <w:r>
        <w:rPr>
          <w:rFonts w:hint="eastAsia" w:ascii="Times New Roman" w:hAnsi="Times New Roman" w:eastAsia="微软雅黑" w:cs="Times New Roman"/>
          <w:spacing w:val="7"/>
          <w:sz w:val="24"/>
          <w:shd w:val="clear" w:color="auto" w:fill="FFFFFF"/>
        </w:rPr>
        <w:t>,</w:t>
      </w:r>
      <w:r>
        <w:rPr>
          <w:rFonts w:ascii="Times New Roman" w:hAnsi="Times New Roman" w:eastAsia="微软雅黑" w:cs="Times New Roman"/>
          <w:spacing w:val="7"/>
          <w:sz w:val="24"/>
          <w:shd w:val="clear" w:color="auto" w:fill="FFFFFF"/>
        </w:rPr>
        <w:t xml:space="preserve"> and </w:t>
      </w:r>
      <w:r>
        <w:rPr>
          <w:rFonts w:hint="eastAsia" w:ascii="Times New Roman" w:hAnsi="Times New Roman" w:eastAsia="微软雅黑" w:cs="Times New Roman"/>
          <w:spacing w:val="7"/>
          <w:sz w:val="24"/>
          <w:shd w:val="clear" w:color="auto" w:fill="FFFFFF"/>
        </w:rPr>
        <w:t>the J</w:t>
      </w:r>
      <w:r>
        <w:rPr>
          <w:rFonts w:ascii="Times New Roman" w:hAnsi="Times New Roman" w:eastAsia="微软雅黑" w:cs="Times New Roman"/>
          <w:spacing w:val="7"/>
          <w:sz w:val="24"/>
          <w:shd w:val="clear" w:color="auto" w:fill="FFFFFF"/>
        </w:rPr>
        <w:t>ournal of biomedical nanotechnology</w:t>
      </w:r>
      <w:r>
        <w:rPr>
          <w:rStyle w:val="10"/>
          <w:rFonts w:ascii="Times New Roman" w:hAnsi="Times New Roman" w:cs="Times New Roman"/>
          <w:color w:val="2A2B2E"/>
          <w:sz w:val="24"/>
          <w:shd w:val="clear" w:color="auto" w:fill="FFFFFF"/>
        </w:rPr>
        <w:t xml:space="preserve">. At present, he has 47 valid invention patents, including 3 international patents, and the relevant scientific research achievements won the second prize </w:t>
      </w:r>
      <w:r>
        <w:rPr>
          <w:rStyle w:val="10"/>
          <w:rFonts w:hint="eastAsia" w:ascii="Times New Roman" w:hAnsi="Times New Roman" w:cs="Times New Roman"/>
          <w:color w:val="2A2B2E"/>
          <w:sz w:val="24"/>
          <w:shd w:val="clear" w:color="auto" w:fill="FFFFFF"/>
        </w:rPr>
        <w:t>in</w:t>
      </w:r>
      <w:r>
        <w:rPr>
          <w:rStyle w:val="10"/>
          <w:rFonts w:ascii="Times New Roman" w:hAnsi="Times New Roman" w:cs="Times New Roman"/>
          <w:color w:val="2A2B2E"/>
          <w:sz w:val="24"/>
          <w:shd w:val="clear" w:color="auto" w:fill="FFFFFF"/>
        </w:rPr>
        <w:t xml:space="preserve"> Tianjin Science and Technology Progress Award.</w:t>
      </w:r>
    </w:p>
    <w:bookmarkEnd w:id="3"/>
    <w:p>
      <w:pPr>
        <w:rPr>
          <w:rFonts w:ascii="Times New Roman" w:hAnsi="Times New Roman" w:cs="Times New Roman"/>
          <w:sz w:val="24"/>
        </w:rPr>
      </w:pPr>
    </w:p>
    <w:p>
      <w:pPr>
        <w:rPr>
          <w:rFonts w:ascii="Times New Roman" w:hAnsi="Times New Roman" w:cs="Times New Roman"/>
          <w:sz w:val="24"/>
        </w:rPr>
      </w:pPr>
      <w:r>
        <w:rPr>
          <w:rFonts w:ascii="Times New Roman" w:hAnsi="Times New Roman" w:cs="Times New Roman"/>
          <w:sz w:val="24"/>
        </w:rPr>
        <w:t>About Research Topic</w:t>
      </w:r>
    </w:p>
    <w:p>
      <w:pPr>
        <w:rPr>
          <w:rFonts w:ascii="Times New Roman" w:hAnsi="Times New Roman" w:cs="Times New Roman"/>
          <w:sz w:val="24"/>
        </w:rPr>
      </w:pPr>
      <w:r>
        <w:rPr>
          <w:rFonts w:ascii="Times New Roman" w:hAnsi="Times New Roman" w:cs="Times New Roman"/>
          <w:sz w:val="24"/>
        </w:rPr>
        <w:t xml:space="preserve">Skin aging can be divided into internal aging and external aging. Internal aging is an inevitable natural process along with aging. </w:t>
      </w:r>
      <w:r>
        <w:rPr>
          <w:rFonts w:hint="eastAsia" w:ascii="Times New Roman" w:hAnsi="Times New Roman" w:cs="Times New Roman"/>
          <w:sz w:val="24"/>
        </w:rPr>
        <w:t>E</w:t>
      </w:r>
      <w:r>
        <w:rPr>
          <w:rFonts w:ascii="Times New Roman" w:hAnsi="Times New Roman" w:cs="Times New Roman"/>
          <w:sz w:val="24"/>
        </w:rPr>
        <w:t>xternal aging is mainly affected by environmental pollution, excessive ultraviolet radiation, bad living habits</w:t>
      </w:r>
      <w:r>
        <w:rPr>
          <w:rFonts w:hint="eastAsia" w:ascii="Times New Roman" w:hAnsi="Times New Roman" w:cs="Times New Roman"/>
          <w:sz w:val="24"/>
        </w:rPr>
        <w:t>,</w:t>
      </w:r>
      <w:r>
        <w:rPr>
          <w:rFonts w:ascii="Times New Roman" w:hAnsi="Times New Roman" w:cs="Times New Roman"/>
          <w:sz w:val="24"/>
        </w:rPr>
        <w:t xml:space="preserve"> and other factors. Damage to the skin caused by long-term exposure to ultraviolet (UV) rays from the sun, also known as photoaging, is the main cause of skin aging. UV exposure causes skin cells to produce large amounts of reactive oxygen species, which can lead to a variety of chronic skin damage, including patchy/spotty pigmentation and increased wrinkles and dryness.</w:t>
      </w:r>
    </w:p>
    <w:p>
      <w:pPr>
        <w:rPr>
          <w:rFonts w:ascii="Times New Roman" w:hAnsi="Times New Roman" w:cs="Times New Roman"/>
          <w:sz w:val="24"/>
        </w:rPr>
      </w:pPr>
    </w:p>
    <w:p>
      <w:pPr>
        <w:rPr>
          <w:rFonts w:ascii="Times New Roman" w:hAnsi="Times New Roman" w:cs="Times New Roman"/>
          <w:sz w:val="24"/>
        </w:rPr>
      </w:pPr>
      <w:r>
        <w:rPr>
          <w:rFonts w:ascii="Times New Roman" w:hAnsi="Times New Roman" w:cs="Times New Roman"/>
          <w:sz w:val="24"/>
        </w:rPr>
        <w:t>About Institution:</w:t>
      </w:r>
    </w:p>
    <w:p>
      <w:pPr>
        <w:rPr>
          <w:rFonts w:ascii="Times New Roman" w:hAnsi="Times New Roman" w:cs="Times New Roman"/>
          <w:sz w:val="24"/>
        </w:rPr>
      </w:pPr>
      <w:r>
        <w:rPr>
          <w:rStyle w:val="10"/>
          <w:rFonts w:ascii="Times New Roman" w:hAnsi="Times New Roman" w:cs="Times New Roman"/>
          <w:color w:val="2A2B2E"/>
          <w:sz w:val="24"/>
          <w:shd w:val="clear" w:color="auto" w:fill="FFFFFF"/>
        </w:rPr>
        <w:t xml:space="preserve">Cheermore Cosmetic Dermatology Laboratory is the R&amp;D Center of Shanghai </w:t>
      </w:r>
      <w:bookmarkStart w:id="4" w:name="OLE_LINK3"/>
      <w:r>
        <w:rPr>
          <w:rStyle w:val="10"/>
          <w:rFonts w:ascii="Times New Roman" w:hAnsi="Times New Roman" w:cs="Times New Roman"/>
          <w:color w:val="2A2B2E"/>
          <w:sz w:val="24"/>
          <w:shd w:val="clear" w:color="auto" w:fill="FFFFFF"/>
        </w:rPr>
        <w:t>Cheermore</w:t>
      </w:r>
      <w:bookmarkEnd w:id="4"/>
      <w:r>
        <w:rPr>
          <w:rStyle w:val="10"/>
          <w:rFonts w:ascii="Times New Roman" w:hAnsi="Times New Roman" w:cs="Times New Roman"/>
          <w:color w:val="2A2B2E"/>
          <w:sz w:val="24"/>
          <w:shd w:val="clear" w:color="auto" w:fill="FFFFFF"/>
        </w:rPr>
        <w:t xml:space="preserve"> Biotechnology Co. Ltd., which was founded in 2012. The laboratory was built with a high standard and focused on the original active molecular research to improve various skin problems such as skin aging, pigment formation, skin inflammation, etc.</w:t>
      </w:r>
      <w:r>
        <w:rPr>
          <w:rStyle w:val="10"/>
          <w:rFonts w:hint="eastAsia" w:ascii="Times New Roman" w:hAnsi="Times New Roman" w:cs="Times New Roman"/>
          <w:color w:val="2A2B2E"/>
          <w:sz w:val="24"/>
          <w:shd w:val="clear" w:color="auto" w:fill="FFFFFF"/>
        </w:rPr>
        <w:t xml:space="preserve"> </w:t>
      </w:r>
      <w:r>
        <w:rPr>
          <w:rStyle w:val="10"/>
          <w:rFonts w:ascii="Times New Roman" w:hAnsi="Times New Roman" w:cs="Times New Roman"/>
          <w:color w:val="2A2B2E"/>
          <w:sz w:val="24"/>
          <w:shd w:val="clear" w:color="auto" w:fill="FFFFFF"/>
        </w:rPr>
        <w:t>The laboratory has also collaborated with Nankai University to combine cutting-edge scientific research achievements with product development.</w:t>
      </w:r>
      <w:r>
        <w:rPr>
          <w:rFonts w:ascii="Times New Roman" w:hAnsi="Times New Roman" w:cs="Times New Roman"/>
          <w:sz w:val="24"/>
        </w:rPr>
        <w:t xml:space="preserve"> The laboratory has discovered multiple active molecules, obtained 47 patent authorizations, and published relevant research results in journals such as</w:t>
      </w:r>
      <w:r>
        <w:rPr>
          <w:rFonts w:hint="eastAsia" w:ascii="Times New Roman" w:hAnsi="Times New Roman" w:cs="Times New Roman"/>
          <w:sz w:val="24"/>
        </w:rPr>
        <w:t xml:space="preserve"> the</w:t>
      </w:r>
      <w:r>
        <w:rPr>
          <w:rFonts w:ascii="Times New Roman" w:hAnsi="Times New Roman" w:cs="Times New Roman"/>
          <w:sz w:val="24"/>
        </w:rPr>
        <w:t xml:space="preserve"> </w:t>
      </w:r>
      <w:r>
        <w:rPr>
          <w:rStyle w:val="10"/>
          <w:rFonts w:ascii="Times New Roman" w:hAnsi="Times New Roman" w:cs="Times New Roman"/>
          <w:color w:val="2A2B2E"/>
          <w:sz w:val="24"/>
          <w:shd w:val="clear" w:color="auto" w:fill="FFFFFF"/>
        </w:rPr>
        <w:t xml:space="preserve">British Journal of Pharmacology, </w:t>
      </w:r>
      <w:r>
        <w:rPr>
          <w:rFonts w:ascii="Times New Roman" w:hAnsi="Times New Roman" w:eastAsia="微软雅黑" w:cs="Times New Roman"/>
          <w:spacing w:val="7"/>
          <w:sz w:val="24"/>
          <w:shd w:val="clear" w:color="auto" w:fill="FFFFFF"/>
        </w:rPr>
        <w:t xml:space="preserve">Cell </w:t>
      </w:r>
      <w:r>
        <w:rPr>
          <w:rFonts w:hint="eastAsia" w:ascii="Times New Roman" w:hAnsi="Times New Roman" w:eastAsia="微软雅黑" w:cs="Times New Roman"/>
          <w:spacing w:val="7"/>
          <w:sz w:val="24"/>
          <w:shd w:val="clear" w:color="auto" w:fill="FFFFFF"/>
        </w:rPr>
        <w:t>&amp;</w:t>
      </w:r>
      <w:r>
        <w:rPr>
          <w:rFonts w:ascii="Times New Roman" w:hAnsi="Times New Roman" w:eastAsia="微软雅黑" w:cs="Times New Roman"/>
          <w:spacing w:val="7"/>
          <w:sz w:val="24"/>
          <w:shd w:val="clear" w:color="auto" w:fill="FFFFFF"/>
        </w:rPr>
        <w:t xml:space="preserve"> Bioscience</w:t>
      </w:r>
      <w:r>
        <w:rPr>
          <w:rFonts w:hint="eastAsia" w:ascii="Times New Roman" w:hAnsi="Times New Roman" w:eastAsia="微软雅黑" w:cs="Times New Roman"/>
          <w:spacing w:val="7"/>
          <w:sz w:val="24"/>
          <w:shd w:val="clear" w:color="auto" w:fill="FFFFFF"/>
        </w:rPr>
        <w:t>,</w:t>
      </w:r>
      <w:r>
        <w:rPr>
          <w:rFonts w:ascii="Times New Roman" w:hAnsi="Times New Roman" w:eastAsia="微软雅黑" w:cs="Times New Roman"/>
          <w:spacing w:val="7"/>
          <w:sz w:val="24"/>
          <w:shd w:val="clear" w:color="auto" w:fill="FFFFFF"/>
        </w:rPr>
        <w:t xml:space="preserve"> and journal of biomedical nanotechnology</w:t>
      </w:r>
      <w:r>
        <w:rPr>
          <w:rStyle w:val="10"/>
          <w:rFonts w:ascii="Times New Roman" w:hAnsi="Times New Roman" w:cs="Times New Roman"/>
          <w:color w:val="2A2B2E"/>
          <w:sz w:val="24"/>
          <w:shd w:val="clear" w:color="auto" w:fill="FFFFFF"/>
        </w:rPr>
        <w:t>.</w:t>
      </w:r>
    </w:p>
    <w:p>
      <w:pPr>
        <w:rPr>
          <w:rFonts w:ascii="Times New Roman" w:hAnsi="Times New Roman" w:cs="Times New Roman"/>
          <w:sz w:val="24"/>
        </w:rPr>
      </w:pPr>
      <w:r>
        <w:rPr>
          <w:rFonts w:ascii="Times New Roman" w:hAnsi="Times New Roman" w:cs="Times New Roman"/>
          <w:sz w:val="24"/>
        </w:rPr>
        <w:t>Reference：</w:t>
      </w:r>
    </w:p>
    <w:p>
      <w:pPr>
        <w:pStyle w:val="11"/>
        <w:numPr>
          <w:ilvl w:val="0"/>
          <w:numId w:val="1"/>
        </w:numPr>
        <w:ind w:firstLineChars="0"/>
        <w:rPr>
          <w:rFonts w:ascii="Times New Roman" w:hAnsi="Times New Roman" w:cs="Times New Roman"/>
          <w:sz w:val="24"/>
        </w:rPr>
      </w:pPr>
      <w:bookmarkStart w:id="5" w:name="OLE_LINK2"/>
      <w:r>
        <w:rPr>
          <w:rFonts w:ascii="Times New Roman" w:hAnsi="Times New Roman" w:cs="Times New Roman"/>
          <w:sz w:val="24"/>
        </w:rPr>
        <w:t xml:space="preserve">Yi Y, Xie H, Xiao X, Wang B, Du R, Liu Y, et al. Ultraviolet a irradiation induces senescence in human dermal fibroblasts by down-regulating DNMT1 via ZEB1. Aging. 2018;10(2):212–28. </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Hseu YC, Chang CT, Gowrisankar YV, Chen XZ, Lin HC, Yen HR, et al. Zerumbone Exhibits Antiphotoaging and Dermatoprotective Properties in Ultraviolet A-Irradiated Human skin fibroblast cells via the activation of Nrf2/ ARE defensive pathway. Oxid Med Cell Longev. 2019;2019:4098674.</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 xml:space="preserve">Krebs AM, Mitschke J, Lasierra Losada M, Schmalhofer O, Boerries M, Busch H, et al. The EMT-activator Zeb1 is a key factor for cell plasticity and promotes metastasis in pancreatic cancer. Nat Cell Biol. 2017;19(5):518–29. Li et al. Cell &amp; Bioscience (2023) 13:80 Page 14 of 14 </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 xml:space="preserve">Smit MA, Peeper DS. Epithelial-mesenchymal transition and senescence: two cancer-related processes are crossing paths. Aging. 2010;2(10):735–41. </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 xml:space="preserve">Li X, Yuan J, Song C, Lei Y, Xu J, Zhang G, et al. Deubiquitinase USP39 and E3 ligase TRIM26 balance the level of ZEB1 ubiquitination and thereby determine the progression of hepatocellular carcinoma. Cell Death Differ. 2021;28(8):2315–32. </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Rennie ML, Arkinson C, Chaugule VK, Toth R, Walden H. Structural basis of FANCD2 deubiquitination by USP1-UAF1. Nat Struct Mol Biol. 2021;28(4):356–64.</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 xml:space="preserve">Choo YS, Zhang Z. Detection of protein ubiquitination. J Vis Exp. 2009(30). </w:t>
      </w:r>
    </w:p>
    <w:p>
      <w:pPr>
        <w:pStyle w:val="11"/>
        <w:numPr>
          <w:ilvl w:val="0"/>
          <w:numId w:val="1"/>
        </w:numPr>
        <w:ind w:firstLineChars="0"/>
        <w:rPr>
          <w:rFonts w:ascii="Times New Roman" w:hAnsi="Times New Roman" w:cs="Times New Roman"/>
          <w:sz w:val="24"/>
        </w:rPr>
      </w:pPr>
      <w:r>
        <w:rPr>
          <w:rFonts w:ascii="Times New Roman" w:hAnsi="Times New Roman" w:cs="Times New Roman"/>
          <w:sz w:val="24"/>
        </w:rPr>
        <w:t>Zhang Z, Li J, Ou Y, Yang G, Deng K, Wang Q, et al. CDK4/6 inhibition blocks cancer metastasis through a USP51-ZEB1-dependent deubiquitination mechanism. Signal Transduct Target Ther. 2020;5(1):25.</w:t>
      </w:r>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7156A"/>
    <w:multiLevelType w:val="multilevel"/>
    <w:tmpl w:val="16B7156A"/>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yMGQ1NGVhOWE0ODdkZjNjMDhlZTVjNTQ3MTI5ZjEifQ=="/>
  </w:docVars>
  <w:rsids>
    <w:rsidRoot w:val="00224611"/>
    <w:rsid w:val="00033C8A"/>
    <w:rsid w:val="00196B68"/>
    <w:rsid w:val="001A459A"/>
    <w:rsid w:val="001A6A9B"/>
    <w:rsid w:val="001C31B4"/>
    <w:rsid w:val="0020391A"/>
    <w:rsid w:val="00224611"/>
    <w:rsid w:val="00257ED0"/>
    <w:rsid w:val="00330B08"/>
    <w:rsid w:val="00376660"/>
    <w:rsid w:val="00396D54"/>
    <w:rsid w:val="003F63FC"/>
    <w:rsid w:val="00405C75"/>
    <w:rsid w:val="00476FB8"/>
    <w:rsid w:val="00496A3B"/>
    <w:rsid w:val="004E5893"/>
    <w:rsid w:val="004F775B"/>
    <w:rsid w:val="00606CF8"/>
    <w:rsid w:val="006F60D8"/>
    <w:rsid w:val="007574AA"/>
    <w:rsid w:val="00824168"/>
    <w:rsid w:val="00825355"/>
    <w:rsid w:val="00A614CA"/>
    <w:rsid w:val="00AA4A59"/>
    <w:rsid w:val="00B16A00"/>
    <w:rsid w:val="00B66250"/>
    <w:rsid w:val="00B836BA"/>
    <w:rsid w:val="00BE22A7"/>
    <w:rsid w:val="00CB5F5E"/>
    <w:rsid w:val="00D51ED0"/>
    <w:rsid w:val="00DA274A"/>
    <w:rsid w:val="00F02AE9"/>
    <w:rsid w:val="00F33040"/>
    <w:rsid w:val="00F56A17"/>
    <w:rsid w:val="02BD67CC"/>
    <w:rsid w:val="0923288D"/>
    <w:rsid w:val="18E007CB"/>
    <w:rsid w:val="199F05D2"/>
    <w:rsid w:val="2039200A"/>
    <w:rsid w:val="353A340B"/>
    <w:rsid w:val="6BA93327"/>
    <w:rsid w:val="6D9D2682"/>
    <w:rsid w:val="70E150EF"/>
    <w:rsid w:val="72D27981"/>
    <w:rsid w:val="75654BB4"/>
    <w:rsid w:val="7CC7607D"/>
    <w:rsid w:val="7D874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9"/>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2 字符"/>
    <w:basedOn w:val="6"/>
    <w:link w:val="2"/>
    <w:qFormat/>
    <w:uiPriority w:val="9"/>
    <w:rPr>
      <w:rFonts w:asciiTheme="majorHAnsi" w:hAnsiTheme="majorHAnsi" w:eastAsiaTheme="majorEastAsia" w:cstheme="majorBidi"/>
      <w:color w:val="2F5597" w:themeColor="accent1" w:themeShade="BF"/>
      <w:sz w:val="26"/>
      <w:szCs w:val="26"/>
    </w:rPr>
  </w:style>
  <w:style w:type="character" w:customStyle="1" w:styleId="10">
    <w:name w:val="transsent"/>
    <w:basedOn w:val="6"/>
    <w:qFormat/>
    <w:uiPriority w:val="0"/>
  </w:style>
  <w:style w:type="paragraph" w:styleId="11">
    <w:name w:val="List Paragraph"/>
    <w:basedOn w:val="1"/>
    <w:qFormat/>
    <w:uiPriority w:val="34"/>
    <w:pPr>
      <w:ind w:firstLine="420" w:firstLineChars="200"/>
    </w:p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3">
    <w:name w:val="Revision"/>
    <w:hidden/>
    <w:semiHidden/>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8ACD2-38BB-40EE-83BE-E5B48274ED58}">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951</Words>
  <Characters>5607</Characters>
  <Lines>46</Lines>
  <Paragraphs>13</Paragraphs>
  <TotalTime>52</TotalTime>
  <ScaleCrop>false</ScaleCrop>
  <LinksUpToDate>false</LinksUpToDate>
  <CharactersWithSpaces>6538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2023-05-18T03:55:00Z</dcterms:created>
  <dc:creator>不 明真相的吃桃天子</dc:creator>
  <cp:lastModifiedBy>李伊楠</cp:lastModifiedBy>
  <dcterms:modified xsi:type="dcterms:W3CDTF">2023-05-22T01:59:42Z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44DE7852B1A54059BC1C057FFDF6BA71</vt:lpwstr>
  </property>
</Properties>
</file>